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D7C0" w14:textId="533DB96F" w:rsidR="00971E74" w:rsidRDefault="00971E74" w:rsidP="00757FD1">
      <w:bookmarkStart w:id="0" w:name="_GoBack"/>
      <w:bookmarkEnd w:id="0"/>
    </w:p>
    <w:p w14:paraId="1F648CA2" w14:textId="77777777" w:rsidR="00085FFF" w:rsidRDefault="00085FFF" w:rsidP="00085FFF">
      <w:pPr>
        <w:pStyle w:val="Heading2"/>
      </w:pPr>
      <w:r>
        <w:t>Alliance calls for equal access to assistive technology</w:t>
      </w:r>
    </w:p>
    <w:p w14:paraId="6F73F592" w14:textId="77777777" w:rsidR="00085FFF" w:rsidRDefault="00085FFF" w:rsidP="00085FFF">
      <w:pPr>
        <w:pStyle w:val="Bodycopy"/>
      </w:pPr>
      <w:r w:rsidRPr="00B4019A">
        <w:t>A national aids, equipment and assistive technology program should be established to meet the needs of people with disability who are not eligible for the National Disability Insurance Scheme, says an alliance of organisations spanning the ageing and disability sectors.</w:t>
      </w:r>
    </w:p>
    <w:p w14:paraId="4EA0D042" w14:textId="36040038" w:rsidR="00085FFF" w:rsidRDefault="00085FFF" w:rsidP="00085FFF">
      <w:pPr>
        <w:pStyle w:val="Bodycopy"/>
      </w:pPr>
      <w:r w:rsidRPr="00B4019A">
        <w:t xml:space="preserve">In its submission to the Royal Commission into Aged Care Quality and Safety, </w:t>
      </w:r>
      <w:r w:rsidRPr="00B4019A">
        <w:rPr>
          <w:i/>
        </w:rPr>
        <w:t>The Assistive Technology for All</w:t>
      </w:r>
      <w:r w:rsidRPr="00B4019A">
        <w:t xml:space="preserve"> </w:t>
      </w:r>
      <w:r w:rsidRPr="004E15ED">
        <w:rPr>
          <w:i/>
          <w:iCs/>
        </w:rPr>
        <w:t>Alliance</w:t>
      </w:r>
      <w:r w:rsidRPr="00B4019A">
        <w:t xml:space="preserve"> </w:t>
      </w:r>
      <w:r>
        <w:t>(ATFA)</w:t>
      </w:r>
      <w:r w:rsidR="00B237EF">
        <w:t xml:space="preserve"> – lodged last week -</w:t>
      </w:r>
      <w:r>
        <w:t xml:space="preserve"> </w:t>
      </w:r>
      <w:r w:rsidRPr="00B4019A">
        <w:t>has called for people with disability over the age of 65 to have the same access to assistive technology as younger people who qualify for the NDIS.</w:t>
      </w:r>
    </w:p>
    <w:p w14:paraId="0A625550" w14:textId="77777777" w:rsidR="00085FFF" w:rsidRDefault="00085FFF" w:rsidP="00085FFF">
      <w:pPr>
        <w:pStyle w:val="Bodycopy"/>
      </w:pPr>
      <w:r w:rsidRPr="00B4019A">
        <w:t>Assistive technology can help people with disability perform a range of everyday tasks safely and independently. It can take the form of specialised computer software, mobility aids such as wheelchairs, electronic communication devices and prosthetic aids but the list is wide and varied. These devices facilitate independence and participation in everyday life.</w:t>
      </w:r>
    </w:p>
    <w:p w14:paraId="796F8FA9" w14:textId="77777777" w:rsidR="00085FFF" w:rsidRDefault="00085FFF" w:rsidP="00085FFF">
      <w:pPr>
        <w:pStyle w:val="Bodycopy"/>
      </w:pPr>
      <w:r w:rsidRPr="00B4019A">
        <w:t xml:space="preserve">The NDIS </w:t>
      </w:r>
      <w:r>
        <w:t>is able to meet</w:t>
      </w:r>
      <w:r w:rsidRPr="00B4019A">
        <w:t xml:space="preserve"> the cost of assistive technology for eligible people with disability who are under 65. People who are over 65 are not eligible for the NDIS.</w:t>
      </w:r>
    </w:p>
    <w:p w14:paraId="47E7500A" w14:textId="77777777" w:rsidR="00085FFF" w:rsidRPr="00B4019A" w:rsidRDefault="00085FFF" w:rsidP="00085FFF">
      <w:pPr>
        <w:pStyle w:val="Bodycopy"/>
      </w:pPr>
      <w:r w:rsidRPr="00B4019A">
        <w:t>‘We are increasingly concerned about the level of unmet need that exists for older people with disability who are not eligible for the NDIS,’ said ATFA coordinator Lauren Henley.</w:t>
      </w:r>
    </w:p>
    <w:p w14:paraId="0FF65D09" w14:textId="77777777" w:rsidR="00085FFF" w:rsidRPr="00B4019A" w:rsidRDefault="00085FFF" w:rsidP="00085FFF">
      <w:pPr>
        <w:pStyle w:val="Bodycopy"/>
      </w:pPr>
      <w:r w:rsidRPr="00B4019A">
        <w:t xml:space="preserve">‘People over 65 who need assistive technology must be catered for within the aged care system. This system lacks specialist disability expertise and funding for assistive technology is limited.’ </w:t>
      </w:r>
    </w:p>
    <w:p w14:paraId="795BEE18" w14:textId="3268F127" w:rsidR="00085FFF" w:rsidRPr="00B4019A" w:rsidRDefault="00951762" w:rsidP="00085FFF">
      <w:pPr>
        <w:pStyle w:val="Bodycopy"/>
      </w:pPr>
      <w:r>
        <w:t>Key issues can be summaris</w:t>
      </w:r>
      <w:r w:rsidR="00085FFF" w:rsidRPr="00B4019A">
        <w:t>ed as follows:</w:t>
      </w:r>
    </w:p>
    <w:p w14:paraId="56CA0807" w14:textId="77777777" w:rsidR="00085FFF" w:rsidRPr="00197A51" w:rsidRDefault="00085FFF" w:rsidP="00085FFF">
      <w:pPr>
        <w:pStyle w:val="Bodycopybullets"/>
      </w:pPr>
      <w:r w:rsidRPr="00197A51">
        <w:t>Information about how to access funding for assistive technology outside the NDIS is limited, causing widespread confusion.</w:t>
      </w:r>
    </w:p>
    <w:p w14:paraId="1FA2D162" w14:textId="77777777" w:rsidR="00085FFF" w:rsidRPr="00197A51" w:rsidRDefault="00085FFF" w:rsidP="00085FFF">
      <w:pPr>
        <w:pStyle w:val="Bodycopybullets"/>
      </w:pPr>
      <w:r w:rsidRPr="00197A51">
        <w:t>There are no skilled assessment and review processes for assistive technology within the aged care system.</w:t>
      </w:r>
    </w:p>
    <w:p w14:paraId="4447521A" w14:textId="44E9C41F" w:rsidR="00085FFF" w:rsidRPr="00197A51" w:rsidRDefault="00085FFF" w:rsidP="00085FFF">
      <w:pPr>
        <w:pStyle w:val="Bodycopybullets"/>
      </w:pPr>
      <w:r w:rsidRPr="00197A51">
        <w:t xml:space="preserve">Many older people with disability </w:t>
      </w:r>
      <w:r>
        <w:t xml:space="preserve">face </w:t>
      </w:r>
      <w:r w:rsidRPr="00197A51">
        <w:t>wait</w:t>
      </w:r>
      <w:r>
        <w:t>ing</w:t>
      </w:r>
      <w:r w:rsidRPr="00197A51">
        <w:t xml:space="preserve"> </w:t>
      </w:r>
      <w:r>
        <w:t xml:space="preserve">lists of up to </w:t>
      </w:r>
      <w:r w:rsidRPr="00197A51">
        <w:t xml:space="preserve">two years </w:t>
      </w:r>
      <w:r>
        <w:t>to access funding for assistive technology. In the m</w:t>
      </w:r>
      <w:r w:rsidR="002A6DD5">
        <w:t xml:space="preserve">eantime, they are forced </w:t>
      </w:r>
      <w:r>
        <w:t xml:space="preserve">to self-fund the equipment they need or to go without. </w:t>
      </w:r>
    </w:p>
    <w:p w14:paraId="7F257D71" w14:textId="77777777" w:rsidR="00085FFF" w:rsidRDefault="00085FFF" w:rsidP="00085FFF">
      <w:pPr>
        <w:pStyle w:val="Bodycopybullets"/>
      </w:pPr>
      <w:r w:rsidRPr="00197A51">
        <w:t>People in residential aged care cannot access funding for assistive technology.</w:t>
      </w:r>
    </w:p>
    <w:p w14:paraId="5C4A5BA0" w14:textId="77777777" w:rsidR="00085FFF" w:rsidRPr="00B4019A" w:rsidRDefault="00085FFF" w:rsidP="00085FFF">
      <w:pPr>
        <w:pStyle w:val="Bodycopy"/>
      </w:pPr>
      <w:r w:rsidRPr="00B4019A">
        <w:t>In September, a delegation to the United Nations representing disability advocacy groups raised the issue as part of the review of Australia’s performance under the Convention on the Rights of Persons with Disabilities. The International Committee that monitors Australia’s compliance with the convention recommended the Australian Government ensure older people with disability have equitable access to disability-related supports. Ensuring older people with disability have timely access to assistive technology will go a long way towards ensuring Australia is meeting its obligations under the UN Convention on the Rights of Persons with Disabilities.</w:t>
      </w:r>
    </w:p>
    <w:p w14:paraId="2BA9E178" w14:textId="77777777" w:rsidR="00085FFF" w:rsidRPr="00B4019A" w:rsidRDefault="00085FFF" w:rsidP="00085FFF">
      <w:pPr>
        <w:pStyle w:val="Bodycopy"/>
      </w:pPr>
      <w:r w:rsidRPr="00B4019A">
        <w:t>ATFA encourages other organisations and individuals who are concerned about access to assistive technology for older people with disability to consider making a submission to the Royal Commission into Aged Care Quality and Safety.</w:t>
      </w:r>
    </w:p>
    <w:p w14:paraId="66D75DF4" w14:textId="77777777" w:rsidR="00085FFF" w:rsidRDefault="00085FFF" w:rsidP="00085FFF">
      <w:pPr>
        <w:pStyle w:val="Heading2"/>
        <w:sectPr w:rsidR="00085FFF" w:rsidSect="00971E74">
          <w:headerReference w:type="default" r:id="rId11"/>
          <w:footerReference w:type="default" r:id="rId12"/>
          <w:headerReference w:type="first" r:id="rId13"/>
          <w:pgSz w:w="11906" w:h="16838"/>
          <w:pgMar w:top="568" w:right="1021" w:bottom="709" w:left="1021" w:header="737" w:footer="964" w:gutter="0"/>
          <w:cols w:space="708"/>
          <w:docGrid w:linePitch="360"/>
        </w:sectPr>
      </w:pPr>
    </w:p>
    <w:p w14:paraId="37834D64" w14:textId="77777777" w:rsidR="00085FFF" w:rsidRDefault="00085FFF" w:rsidP="00085FFF">
      <w:pPr>
        <w:pStyle w:val="Heading2"/>
      </w:pPr>
    </w:p>
    <w:p w14:paraId="0C5DB365" w14:textId="77777777" w:rsidR="00085FFF" w:rsidRDefault="00085FFF" w:rsidP="00085FFF">
      <w:pPr>
        <w:pStyle w:val="Heading2"/>
      </w:pPr>
    </w:p>
    <w:p w14:paraId="10A8594F" w14:textId="77777777" w:rsidR="00085FFF" w:rsidRDefault="00085FFF" w:rsidP="00085FFF">
      <w:pPr>
        <w:pStyle w:val="Heading2"/>
      </w:pPr>
    </w:p>
    <w:p w14:paraId="2F3B71FD" w14:textId="3A3EA763" w:rsidR="00085FFF" w:rsidRDefault="00085FFF" w:rsidP="00085FFF">
      <w:pPr>
        <w:pStyle w:val="Heading2"/>
      </w:pPr>
      <w:r>
        <w:t xml:space="preserve">About the </w:t>
      </w:r>
      <w:r w:rsidRPr="00E41A36">
        <w:rPr>
          <w:i/>
          <w:iCs/>
        </w:rPr>
        <w:t>ATFA Alliance</w:t>
      </w:r>
    </w:p>
    <w:p w14:paraId="1690D5FF" w14:textId="77777777" w:rsidR="00085FFF" w:rsidRDefault="00085FFF" w:rsidP="00085FFF">
      <w:pPr>
        <w:pStyle w:val="Bodycopy"/>
        <w:rPr>
          <w:szCs w:val="24"/>
        </w:rPr>
      </w:pPr>
      <w:r w:rsidRPr="00F07ADE">
        <w:rPr>
          <w:i/>
          <w:iCs/>
        </w:rPr>
        <w:t>Assistive Technology for All</w:t>
      </w:r>
      <w:r w:rsidRPr="006A6F35">
        <w:t xml:space="preserve"> is a national alliance of </w:t>
      </w:r>
      <w:r>
        <w:t xml:space="preserve">organisations </w:t>
      </w:r>
      <w:r w:rsidRPr="006A6F35">
        <w:t>and consumer representatives</w:t>
      </w:r>
      <w:r>
        <w:t xml:space="preserve"> </w:t>
      </w:r>
      <w:r w:rsidRPr="006A6F35">
        <w:t>spanning th</w:t>
      </w:r>
      <w:r>
        <w:t xml:space="preserve">e ageing and disability sectors. Supporting organisations who have endorsed ATFA’s </w:t>
      </w:r>
      <w:r w:rsidRPr="002A1893">
        <w:rPr>
          <w:szCs w:val="24"/>
        </w:rPr>
        <w:t>submission to the Royal Commission into Aged Care Quality and Safety include:</w:t>
      </w:r>
    </w:p>
    <w:p w14:paraId="4D6E5E5E" w14:textId="77777777" w:rsidR="00085FFF" w:rsidRPr="00DF33E5" w:rsidRDefault="00085FFF" w:rsidP="00085FFF">
      <w:pPr>
        <w:pStyle w:val="Bodycopy"/>
        <w:rPr>
          <w:szCs w:val="24"/>
        </w:rPr>
      </w:pPr>
      <w:r w:rsidRPr="00280A57">
        <w:rPr>
          <w:szCs w:val="24"/>
        </w:rPr>
        <w:t xml:space="preserve">Council on the Ageing Australia, </w:t>
      </w:r>
      <w:r w:rsidRPr="00280A57">
        <w:rPr>
          <w:color w:val="000000" w:themeColor="text1"/>
          <w:szCs w:val="24"/>
        </w:rPr>
        <w:t xml:space="preserve">Australian Association of Gerontology, </w:t>
      </w:r>
      <w:r w:rsidRPr="00280A57">
        <w:rPr>
          <w:rFonts w:eastAsia="Times New Roman"/>
          <w:szCs w:val="24"/>
        </w:rPr>
        <w:t>Every Australian Counts, National Disability and Carer Alliance</w:t>
      </w:r>
      <w:r w:rsidRPr="00280A57">
        <w:rPr>
          <w:szCs w:val="24"/>
        </w:rPr>
        <w:t xml:space="preserve">, The Australian Federation of Disability Organisations, </w:t>
      </w:r>
      <w:r w:rsidRPr="00280A57">
        <w:rPr>
          <w:color w:val="000000" w:themeColor="text1"/>
          <w:szCs w:val="24"/>
        </w:rPr>
        <w:t xml:space="preserve">People with Disability Australia, </w:t>
      </w:r>
      <w:r w:rsidRPr="00280A57">
        <w:rPr>
          <w:szCs w:val="24"/>
        </w:rPr>
        <w:t xml:space="preserve">Australian Rehabilitation and Assistive Technology Association, </w:t>
      </w:r>
      <w:r w:rsidRPr="00280A57">
        <w:rPr>
          <w:color w:val="000000" w:themeColor="text1"/>
          <w:szCs w:val="24"/>
        </w:rPr>
        <w:t>Occupational Therapy Australia</w:t>
      </w:r>
      <w:r w:rsidRPr="00280A57">
        <w:rPr>
          <w:szCs w:val="24"/>
        </w:rPr>
        <w:t xml:space="preserve">, </w:t>
      </w:r>
      <w:r w:rsidRPr="00280A57">
        <w:rPr>
          <w:color w:val="000000" w:themeColor="text1"/>
          <w:szCs w:val="24"/>
        </w:rPr>
        <w:t>Assistive Technology Suppliers Australia</w:t>
      </w:r>
      <w:r w:rsidRPr="00280A57">
        <w:rPr>
          <w:szCs w:val="24"/>
        </w:rPr>
        <w:t xml:space="preserve">, </w:t>
      </w:r>
      <w:r w:rsidRPr="00280A57">
        <w:rPr>
          <w:color w:val="000000" w:themeColor="text1"/>
          <w:szCs w:val="24"/>
        </w:rPr>
        <w:t>TAD Australia</w:t>
      </w:r>
      <w:r w:rsidRPr="00280A57">
        <w:rPr>
          <w:szCs w:val="24"/>
        </w:rPr>
        <w:t xml:space="preserve">, </w:t>
      </w:r>
      <w:r w:rsidRPr="00280A57">
        <w:rPr>
          <w:color w:val="000000" w:themeColor="text1"/>
          <w:szCs w:val="24"/>
        </w:rPr>
        <w:t>Blind Citizens Australia</w:t>
      </w:r>
      <w:r w:rsidRPr="00280A57">
        <w:rPr>
          <w:szCs w:val="24"/>
        </w:rPr>
        <w:t xml:space="preserve">, </w:t>
      </w:r>
      <w:r>
        <w:rPr>
          <w:szCs w:val="24"/>
        </w:rPr>
        <w:t xml:space="preserve">, </w:t>
      </w:r>
      <w:r w:rsidRPr="00280A57">
        <w:rPr>
          <w:color w:val="000000" w:themeColor="text1"/>
          <w:szCs w:val="24"/>
        </w:rPr>
        <w:t>Leukodystrophy Australia</w:t>
      </w:r>
      <w:r w:rsidRPr="00280A57">
        <w:rPr>
          <w:szCs w:val="24"/>
        </w:rPr>
        <w:t xml:space="preserve">, </w:t>
      </w:r>
      <w:proofErr w:type="spellStart"/>
      <w:r w:rsidRPr="00280A57">
        <w:rPr>
          <w:color w:val="000000" w:themeColor="text1"/>
          <w:szCs w:val="24"/>
        </w:rPr>
        <w:t>LifeTec</w:t>
      </w:r>
      <w:proofErr w:type="spellEnd"/>
      <w:r w:rsidRPr="00280A57">
        <w:rPr>
          <w:szCs w:val="24"/>
        </w:rPr>
        <w:t xml:space="preserve">, </w:t>
      </w:r>
      <w:r w:rsidRPr="00280A57">
        <w:rPr>
          <w:color w:val="000000" w:themeColor="text1"/>
          <w:szCs w:val="24"/>
        </w:rPr>
        <w:t>Limbs 4 Life Australia</w:t>
      </w:r>
      <w:r w:rsidRPr="00280A57">
        <w:rPr>
          <w:szCs w:val="24"/>
        </w:rPr>
        <w:t xml:space="preserve">, </w:t>
      </w:r>
      <w:r w:rsidRPr="00280A57">
        <w:rPr>
          <w:color w:val="000000" w:themeColor="text1"/>
          <w:szCs w:val="24"/>
        </w:rPr>
        <w:t>MS Australia</w:t>
      </w:r>
      <w:r w:rsidRPr="00280A57">
        <w:rPr>
          <w:szCs w:val="24"/>
        </w:rPr>
        <w:t xml:space="preserve">, </w:t>
      </w:r>
      <w:r w:rsidRPr="00280A57">
        <w:rPr>
          <w:color w:val="000000" w:themeColor="text1"/>
          <w:szCs w:val="24"/>
        </w:rPr>
        <w:t>Polio Australia</w:t>
      </w:r>
      <w:bookmarkStart w:id="1" w:name="_Hlk26513377"/>
      <w:r w:rsidRPr="00280A57">
        <w:rPr>
          <w:color w:val="000000" w:themeColor="text1"/>
          <w:szCs w:val="24"/>
        </w:rPr>
        <w:t xml:space="preserve">, </w:t>
      </w:r>
      <w:r w:rsidRPr="00280A57">
        <w:rPr>
          <w:rFonts w:eastAsia="Times New Roman"/>
          <w:szCs w:val="24"/>
        </w:rPr>
        <w:t>Spinal Cord Injuries Australia</w:t>
      </w:r>
      <w:bookmarkEnd w:id="1"/>
      <w:r w:rsidRPr="00280A57">
        <w:rPr>
          <w:szCs w:val="24"/>
        </w:rPr>
        <w:t xml:space="preserve">, </w:t>
      </w:r>
      <w:r w:rsidRPr="00280A57">
        <w:rPr>
          <w:color w:val="000000" w:themeColor="text1"/>
          <w:szCs w:val="24"/>
        </w:rPr>
        <w:t xml:space="preserve">Vision Australia, </w:t>
      </w:r>
      <w:r w:rsidRPr="00280A57">
        <w:rPr>
          <w:rFonts w:eastAsia="Times New Roman"/>
          <w:szCs w:val="24"/>
        </w:rPr>
        <w:t>Bayside Polio Group</w:t>
      </w:r>
      <w:r>
        <w:rPr>
          <w:szCs w:val="24"/>
        </w:rPr>
        <w:t xml:space="preserve">, Council on the Ageing Victoria, </w:t>
      </w:r>
      <w:r w:rsidRPr="00280A57">
        <w:rPr>
          <w:color w:val="000000" w:themeColor="text1"/>
          <w:szCs w:val="24"/>
        </w:rPr>
        <w:t>Huntington’s NSW ACT</w:t>
      </w:r>
      <w:r w:rsidRPr="00280A57">
        <w:rPr>
          <w:szCs w:val="24"/>
        </w:rPr>
        <w:t xml:space="preserve">, </w:t>
      </w:r>
      <w:r w:rsidRPr="00280A57">
        <w:rPr>
          <w:color w:val="000000" w:themeColor="text1"/>
          <w:szCs w:val="24"/>
        </w:rPr>
        <w:t>Independent Living Centre WA</w:t>
      </w:r>
      <w:r w:rsidRPr="00280A57">
        <w:rPr>
          <w:szCs w:val="24"/>
        </w:rPr>
        <w:t xml:space="preserve">, </w:t>
      </w:r>
      <w:r w:rsidRPr="00280A57">
        <w:rPr>
          <w:color w:val="000000" w:themeColor="text1"/>
          <w:szCs w:val="24"/>
        </w:rPr>
        <w:t>MND Victoria</w:t>
      </w:r>
      <w:r w:rsidRPr="00280A57">
        <w:rPr>
          <w:szCs w:val="24"/>
        </w:rPr>
        <w:t xml:space="preserve">, </w:t>
      </w:r>
      <w:r w:rsidRPr="00280A57">
        <w:rPr>
          <w:color w:val="000000" w:themeColor="text1"/>
          <w:szCs w:val="24"/>
        </w:rPr>
        <w:t>Parkinson’s Victoria</w:t>
      </w:r>
      <w:r w:rsidRPr="00280A57">
        <w:rPr>
          <w:szCs w:val="24"/>
        </w:rPr>
        <w:t xml:space="preserve">, </w:t>
      </w:r>
      <w:r w:rsidRPr="00280A57">
        <w:rPr>
          <w:color w:val="000000" w:themeColor="text1"/>
          <w:szCs w:val="24"/>
        </w:rPr>
        <w:t>Post Polio Victoria</w:t>
      </w:r>
    </w:p>
    <w:p w14:paraId="1E2727F9" w14:textId="77777777" w:rsidR="00085FFF" w:rsidRPr="00043756" w:rsidRDefault="00085FFF" w:rsidP="00085FFF">
      <w:pPr>
        <w:pStyle w:val="Heading2"/>
      </w:pPr>
      <w:r w:rsidRPr="00043756">
        <w:t>Media contact:</w:t>
      </w:r>
    </w:p>
    <w:p w14:paraId="5F353D8B" w14:textId="77777777" w:rsidR="00085FFF" w:rsidRDefault="00085FFF" w:rsidP="00085FFF">
      <w:pPr>
        <w:pStyle w:val="Bodycopy"/>
        <w:spacing w:before="0" w:after="0"/>
      </w:pPr>
      <w:r>
        <w:t>Phillip Money</w:t>
      </w:r>
    </w:p>
    <w:p w14:paraId="1886DF48" w14:textId="77777777" w:rsidR="00085FFF" w:rsidRDefault="00085FFF" w:rsidP="00085FFF">
      <w:pPr>
        <w:pStyle w:val="Bodycopy"/>
        <w:spacing w:before="0" w:after="0"/>
      </w:pPr>
      <w:r>
        <w:t>Senior Media and Communications Advisor</w:t>
      </w:r>
    </w:p>
    <w:p w14:paraId="09308236" w14:textId="77777777" w:rsidR="00085FFF" w:rsidRDefault="00085FFF" w:rsidP="00085FFF">
      <w:pPr>
        <w:pStyle w:val="Bodycopy"/>
        <w:spacing w:before="0" w:after="0"/>
      </w:pPr>
      <w:r>
        <w:t>Council on the Ageing Victoria</w:t>
      </w:r>
    </w:p>
    <w:p w14:paraId="24FFF5CF" w14:textId="77777777" w:rsidR="00085FFF" w:rsidRPr="00197A51" w:rsidRDefault="00085FFF" w:rsidP="00085FFF">
      <w:pPr>
        <w:pStyle w:val="Bodycopy"/>
        <w:spacing w:before="0" w:after="0"/>
      </w:pPr>
      <w:r>
        <w:t xml:space="preserve">M: </w:t>
      </w:r>
      <w:r w:rsidRPr="00BF79F3">
        <w:t>0407 329 055</w:t>
      </w:r>
    </w:p>
    <w:p w14:paraId="0A85D5C7" w14:textId="77777777" w:rsidR="00085FFF" w:rsidRDefault="00085FFF" w:rsidP="00085FFF">
      <w:pPr>
        <w:pStyle w:val="Bodycopy"/>
        <w:spacing w:before="0" w:after="0"/>
      </w:pPr>
      <w:r w:rsidRPr="00043756">
        <w:t xml:space="preserve">E: </w:t>
      </w:r>
      <w:hyperlink r:id="rId14" w:history="1">
        <w:r w:rsidRPr="0063728A">
          <w:rPr>
            <w:rStyle w:val="Hyperlink"/>
          </w:rPr>
          <w:t>pmoney@cotavic.org.au</w:t>
        </w:r>
      </w:hyperlink>
    </w:p>
    <w:p w14:paraId="2A83123B" w14:textId="2CE5C376" w:rsidR="00085FFF" w:rsidRDefault="00085FFF" w:rsidP="00757FD1"/>
    <w:p w14:paraId="05886003" w14:textId="01E69393" w:rsidR="00085FFF" w:rsidRDefault="00085FFF" w:rsidP="00757FD1">
      <w:pPr>
        <w:rPr>
          <w:b/>
        </w:rPr>
      </w:pPr>
      <w:r w:rsidRPr="00085FFF">
        <w:rPr>
          <w:b/>
        </w:rPr>
        <w:t>See over for case studies</w:t>
      </w:r>
    </w:p>
    <w:p w14:paraId="5E518A34" w14:textId="77777777" w:rsidR="00085FFF" w:rsidRDefault="00085FFF" w:rsidP="00757FD1">
      <w:pPr>
        <w:rPr>
          <w:b/>
        </w:rPr>
        <w:sectPr w:rsidR="00085FFF" w:rsidSect="00085FFF">
          <w:pgSz w:w="11906" w:h="16838"/>
          <w:pgMar w:top="568" w:right="1021" w:bottom="709" w:left="1021" w:header="737" w:footer="964" w:gutter="0"/>
          <w:cols w:space="708"/>
          <w:titlePg/>
          <w:docGrid w:linePitch="360"/>
        </w:sectPr>
      </w:pPr>
    </w:p>
    <w:p w14:paraId="05B82BB3" w14:textId="07A0FC72" w:rsidR="00085FFF" w:rsidRDefault="00085FFF" w:rsidP="00757FD1">
      <w:pPr>
        <w:rPr>
          <w:b/>
        </w:rPr>
      </w:pPr>
    </w:p>
    <w:p w14:paraId="46014A40" w14:textId="3A8A52DD" w:rsidR="00085FFF" w:rsidRDefault="00085FFF" w:rsidP="00757FD1">
      <w:pPr>
        <w:rPr>
          <w:b/>
        </w:rPr>
      </w:pPr>
    </w:p>
    <w:p w14:paraId="6799CB6A" w14:textId="121D8743" w:rsidR="00085FFF" w:rsidRDefault="00085FFF" w:rsidP="00757FD1">
      <w:pPr>
        <w:rPr>
          <w:b/>
        </w:rPr>
      </w:pPr>
    </w:p>
    <w:p w14:paraId="152DDF5F" w14:textId="77777777" w:rsidR="00085FFF" w:rsidRPr="00F25F37"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jc w:val="center"/>
        <w:rPr>
          <w:b/>
          <w:bCs/>
          <w:i/>
          <w:iCs/>
          <w:sz w:val="24"/>
          <w:szCs w:val="24"/>
        </w:rPr>
      </w:pPr>
      <w:r>
        <w:rPr>
          <w:b/>
          <w:bCs/>
          <w:i/>
          <w:iCs/>
          <w:sz w:val="24"/>
          <w:szCs w:val="24"/>
        </w:rPr>
        <w:t>Case study: t</w:t>
      </w:r>
      <w:r w:rsidRPr="00C8057D">
        <w:rPr>
          <w:b/>
          <w:bCs/>
          <w:i/>
          <w:iCs/>
          <w:sz w:val="24"/>
          <w:szCs w:val="24"/>
        </w:rPr>
        <w:t>wo people living with an above knee amputation –</w:t>
      </w:r>
      <w:r>
        <w:rPr>
          <w:b/>
          <w:bCs/>
          <w:i/>
          <w:iCs/>
          <w:sz w:val="24"/>
          <w:szCs w:val="24"/>
        </w:rPr>
        <w:t xml:space="preserve"> differences between</w:t>
      </w:r>
      <w:r>
        <w:rPr>
          <w:b/>
          <w:bCs/>
          <w:i/>
          <w:iCs/>
          <w:sz w:val="24"/>
          <w:szCs w:val="24"/>
        </w:rPr>
        <w:br/>
      </w:r>
      <w:r w:rsidRPr="00C8057D">
        <w:rPr>
          <w:b/>
          <w:bCs/>
          <w:i/>
          <w:iCs/>
          <w:sz w:val="24"/>
          <w:szCs w:val="24"/>
        </w:rPr>
        <w:t xml:space="preserve"> state-based Artificial Limb Scheme Funding and the NDIS</w:t>
      </w:r>
      <w:r>
        <w:rPr>
          <w:b/>
          <w:bCs/>
          <w:i/>
          <w:iCs/>
          <w:sz w:val="24"/>
          <w:szCs w:val="24"/>
        </w:rPr>
        <w:t xml:space="preserve"> support </w:t>
      </w:r>
    </w:p>
    <w:p w14:paraId="1BDEFC95" w14:textId="77777777" w:rsidR="00085FFF" w:rsidRPr="0044315F"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sz w:val="24"/>
          <w:szCs w:val="24"/>
        </w:rPr>
      </w:pPr>
      <w:r w:rsidRPr="0044315F">
        <w:rPr>
          <w:sz w:val="24"/>
          <w:szCs w:val="24"/>
        </w:rPr>
        <w:t>Robert and Steve</w:t>
      </w:r>
      <w:r>
        <w:rPr>
          <w:sz w:val="24"/>
          <w:szCs w:val="24"/>
        </w:rPr>
        <w:t xml:space="preserve"> </w:t>
      </w:r>
      <w:r w:rsidRPr="0044315F">
        <w:rPr>
          <w:sz w:val="24"/>
          <w:szCs w:val="24"/>
        </w:rPr>
        <w:t xml:space="preserve">underwent </w:t>
      </w:r>
      <w:r>
        <w:rPr>
          <w:sz w:val="24"/>
          <w:szCs w:val="24"/>
        </w:rPr>
        <w:t xml:space="preserve">above-knee </w:t>
      </w:r>
      <w:r w:rsidRPr="0044315F">
        <w:rPr>
          <w:sz w:val="24"/>
          <w:szCs w:val="24"/>
        </w:rPr>
        <w:t>amputation</w:t>
      </w:r>
      <w:r>
        <w:rPr>
          <w:sz w:val="24"/>
          <w:szCs w:val="24"/>
        </w:rPr>
        <w:t>s</w:t>
      </w:r>
      <w:r w:rsidRPr="0044315F">
        <w:rPr>
          <w:sz w:val="24"/>
          <w:szCs w:val="24"/>
        </w:rPr>
        <w:t xml:space="preserve"> due to aggressive infection</w:t>
      </w:r>
      <w:r>
        <w:rPr>
          <w:sz w:val="24"/>
          <w:szCs w:val="24"/>
        </w:rPr>
        <w:t>s</w:t>
      </w:r>
      <w:r w:rsidRPr="0044315F">
        <w:rPr>
          <w:sz w:val="24"/>
          <w:szCs w:val="24"/>
        </w:rPr>
        <w:t>. As Robert</w:t>
      </w:r>
      <w:r>
        <w:rPr>
          <w:sz w:val="24"/>
          <w:szCs w:val="24"/>
        </w:rPr>
        <w:t xml:space="preserve">, 67, </w:t>
      </w:r>
      <w:r w:rsidRPr="0044315F">
        <w:rPr>
          <w:sz w:val="24"/>
          <w:szCs w:val="24"/>
        </w:rPr>
        <w:t>is only eligible for his state-based Artificial Limb Scheme, he does not have appropriate access to supports, assistive technology or home modifications. Steve</w:t>
      </w:r>
      <w:r>
        <w:rPr>
          <w:sz w:val="24"/>
          <w:szCs w:val="24"/>
        </w:rPr>
        <w:t>, 56,</w:t>
      </w:r>
      <w:r w:rsidRPr="0044315F">
        <w:rPr>
          <w:sz w:val="24"/>
          <w:szCs w:val="24"/>
        </w:rPr>
        <w:t xml:space="preserve"> has an NDIS Plan </w:t>
      </w:r>
      <w:r>
        <w:rPr>
          <w:sz w:val="24"/>
          <w:szCs w:val="24"/>
        </w:rPr>
        <w:t xml:space="preserve">and can </w:t>
      </w:r>
      <w:r w:rsidRPr="0044315F">
        <w:rPr>
          <w:sz w:val="24"/>
          <w:szCs w:val="24"/>
        </w:rPr>
        <w:t>access an array of reasonable and necessary funded supports.</w:t>
      </w:r>
    </w:p>
    <w:p w14:paraId="548C9507" w14:textId="77777777" w:rsidR="00085FFF" w:rsidRPr="00200F95"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b/>
          <w:sz w:val="24"/>
          <w:szCs w:val="24"/>
        </w:rPr>
      </w:pPr>
      <w:r>
        <w:rPr>
          <w:b/>
          <w:sz w:val="24"/>
          <w:szCs w:val="24"/>
        </w:rPr>
        <w:t>Robert, 67</w:t>
      </w:r>
    </w:p>
    <w:p w14:paraId="303E1086" w14:textId="77777777" w:rsidR="00085FFF" w:rsidRPr="0044315F"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sz w:val="24"/>
          <w:szCs w:val="24"/>
        </w:rPr>
      </w:pPr>
      <w:r w:rsidRPr="0044315F">
        <w:rPr>
          <w:sz w:val="24"/>
          <w:szCs w:val="24"/>
        </w:rPr>
        <w:t xml:space="preserve">Robert uses a mechanical knee unit </w:t>
      </w:r>
      <w:r>
        <w:rPr>
          <w:sz w:val="24"/>
          <w:szCs w:val="24"/>
        </w:rPr>
        <w:t>that is not safe</w:t>
      </w:r>
      <w:r w:rsidRPr="0044315F">
        <w:rPr>
          <w:sz w:val="24"/>
          <w:szCs w:val="24"/>
        </w:rPr>
        <w:t xml:space="preserve"> and consequently he falls</w:t>
      </w:r>
      <w:r>
        <w:rPr>
          <w:sz w:val="24"/>
          <w:szCs w:val="24"/>
        </w:rPr>
        <w:t xml:space="preserve"> often</w:t>
      </w:r>
      <w:r w:rsidRPr="0044315F">
        <w:rPr>
          <w:sz w:val="24"/>
          <w:szCs w:val="24"/>
        </w:rPr>
        <w:t xml:space="preserve">. </w:t>
      </w:r>
      <w:r>
        <w:rPr>
          <w:sz w:val="24"/>
          <w:szCs w:val="24"/>
        </w:rPr>
        <w:t>His</w:t>
      </w:r>
      <w:r w:rsidRPr="0044315F">
        <w:rPr>
          <w:sz w:val="24"/>
          <w:szCs w:val="24"/>
        </w:rPr>
        <w:t xml:space="preserve"> prosthetic foot</w:t>
      </w:r>
      <w:r>
        <w:rPr>
          <w:sz w:val="24"/>
          <w:szCs w:val="24"/>
        </w:rPr>
        <w:t xml:space="preserve"> </w:t>
      </w:r>
      <w:r w:rsidRPr="0044315F">
        <w:rPr>
          <w:sz w:val="24"/>
          <w:szCs w:val="24"/>
        </w:rPr>
        <w:t xml:space="preserve">does not provide energy return and leads to fatigue. Robert </w:t>
      </w:r>
      <w:r>
        <w:rPr>
          <w:sz w:val="24"/>
          <w:szCs w:val="24"/>
        </w:rPr>
        <w:t xml:space="preserve">cannot choose </w:t>
      </w:r>
      <w:r w:rsidRPr="0044315F">
        <w:rPr>
          <w:sz w:val="24"/>
          <w:szCs w:val="24"/>
        </w:rPr>
        <w:t xml:space="preserve">the type of prosthesis he receives. </w:t>
      </w:r>
      <w:r>
        <w:rPr>
          <w:sz w:val="24"/>
          <w:szCs w:val="24"/>
        </w:rPr>
        <w:t xml:space="preserve">If he falls or feels fatigued, he </w:t>
      </w:r>
      <w:r w:rsidRPr="0044315F">
        <w:rPr>
          <w:sz w:val="24"/>
          <w:szCs w:val="24"/>
        </w:rPr>
        <w:t xml:space="preserve">uses an old wheelchair, which is </w:t>
      </w:r>
      <w:r>
        <w:rPr>
          <w:sz w:val="24"/>
          <w:szCs w:val="24"/>
        </w:rPr>
        <w:t xml:space="preserve">heavy </w:t>
      </w:r>
      <w:r w:rsidRPr="0044315F">
        <w:rPr>
          <w:sz w:val="24"/>
          <w:szCs w:val="24"/>
        </w:rPr>
        <w:t xml:space="preserve">and </w:t>
      </w:r>
      <w:r>
        <w:rPr>
          <w:sz w:val="24"/>
          <w:szCs w:val="24"/>
        </w:rPr>
        <w:t xml:space="preserve">hard </w:t>
      </w:r>
      <w:r w:rsidRPr="0044315F">
        <w:rPr>
          <w:sz w:val="24"/>
          <w:szCs w:val="24"/>
        </w:rPr>
        <w:t xml:space="preserve">for him to push around. The impact of the regular falls </w:t>
      </w:r>
      <w:r>
        <w:rPr>
          <w:sz w:val="24"/>
          <w:szCs w:val="24"/>
        </w:rPr>
        <w:t xml:space="preserve">has meant that Robert has reduced his working hours to </w:t>
      </w:r>
      <w:r w:rsidRPr="0044315F">
        <w:rPr>
          <w:sz w:val="24"/>
          <w:szCs w:val="24"/>
        </w:rPr>
        <w:t>part-time.</w:t>
      </w:r>
    </w:p>
    <w:p w14:paraId="580CBC7F" w14:textId="77777777" w:rsidR="00085FFF" w:rsidRPr="0044315F"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sz w:val="24"/>
          <w:szCs w:val="24"/>
        </w:rPr>
      </w:pPr>
      <w:r w:rsidRPr="0044315F">
        <w:rPr>
          <w:sz w:val="24"/>
          <w:szCs w:val="24"/>
        </w:rPr>
        <w:t xml:space="preserve">Robert </w:t>
      </w:r>
      <w:r>
        <w:rPr>
          <w:sz w:val="24"/>
          <w:szCs w:val="24"/>
        </w:rPr>
        <w:t xml:space="preserve">must pay for any modifications to his home himself. Consequently, he </w:t>
      </w:r>
      <w:r w:rsidRPr="0044315F">
        <w:rPr>
          <w:sz w:val="24"/>
          <w:szCs w:val="24"/>
        </w:rPr>
        <w:t>only uses a board across his bath for personal washing</w:t>
      </w:r>
      <w:r>
        <w:rPr>
          <w:sz w:val="24"/>
          <w:szCs w:val="24"/>
        </w:rPr>
        <w:t xml:space="preserve"> and does not </w:t>
      </w:r>
      <w:r w:rsidRPr="0044315F">
        <w:rPr>
          <w:sz w:val="24"/>
          <w:szCs w:val="24"/>
        </w:rPr>
        <w:t>have grip bars in the wet areas (bathroom, toilet)</w:t>
      </w:r>
      <w:r>
        <w:rPr>
          <w:sz w:val="24"/>
          <w:szCs w:val="24"/>
        </w:rPr>
        <w:t xml:space="preserve"> - </w:t>
      </w:r>
      <w:r w:rsidRPr="0044315F">
        <w:rPr>
          <w:sz w:val="24"/>
          <w:szCs w:val="24"/>
        </w:rPr>
        <w:t xml:space="preserve">which increases his </w:t>
      </w:r>
      <w:r>
        <w:rPr>
          <w:sz w:val="24"/>
          <w:szCs w:val="24"/>
        </w:rPr>
        <w:t>chance of falling</w:t>
      </w:r>
      <w:r w:rsidRPr="0044315F">
        <w:rPr>
          <w:sz w:val="24"/>
          <w:szCs w:val="24"/>
        </w:rPr>
        <w:t>.</w:t>
      </w:r>
    </w:p>
    <w:p w14:paraId="7BA8297A" w14:textId="77777777" w:rsidR="00085FFF" w:rsidRPr="00200F95"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b/>
          <w:sz w:val="24"/>
          <w:szCs w:val="24"/>
        </w:rPr>
      </w:pPr>
      <w:r w:rsidRPr="00200F95">
        <w:rPr>
          <w:b/>
          <w:sz w:val="24"/>
          <w:szCs w:val="24"/>
        </w:rPr>
        <w:t>Steve, 56</w:t>
      </w:r>
    </w:p>
    <w:p w14:paraId="7D4C2940" w14:textId="520201CC" w:rsidR="00085FFF" w:rsidRPr="0044315F"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before="80" w:after="80" w:line="276" w:lineRule="auto"/>
        <w:rPr>
          <w:sz w:val="24"/>
          <w:szCs w:val="24"/>
        </w:rPr>
      </w:pPr>
      <w:r w:rsidRPr="0044315F">
        <w:rPr>
          <w:sz w:val="24"/>
          <w:szCs w:val="24"/>
        </w:rPr>
        <w:t xml:space="preserve">Steve was funded for a Microprocessor Knee Unit (MPK) and multi-axis prosthetic foot in his first NDIS Plan two years ago. </w:t>
      </w:r>
      <w:r>
        <w:rPr>
          <w:sz w:val="24"/>
          <w:szCs w:val="24"/>
        </w:rPr>
        <w:t xml:space="preserve">Because of the safety of the </w:t>
      </w:r>
      <w:r w:rsidRPr="0044315F">
        <w:rPr>
          <w:sz w:val="24"/>
          <w:szCs w:val="24"/>
        </w:rPr>
        <w:t>MPK prosthesis</w:t>
      </w:r>
      <w:r w:rsidR="00951762">
        <w:rPr>
          <w:sz w:val="24"/>
          <w:szCs w:val="24"/>
        </w:rPr>
        <w:t>,</w:t>
      </w:r>
      <w:r w:rsidRPr="0044315F">
        <w:rPr>
          <w:sz w:val="24"/>
          <w:szCs w:val="24"/>
        </w:rPr>
        <w:t xml:space="preserve"> Steve </w:t>
      </w:r>
      <w:r>
        <w:rPr>
          <w:sz w:val="24"/>
          <w:szCs w:val="24"/>
        </w:rPr>
        <w:t xml:space="preserve">has </w:t>
      </w:r>
      <w:r w:rsidRPr="0044315F">
        <w:rPr>
          <w:sz w:val="24"/>
          <w:szCs w:val="24"/>
        </w:rPr>
        <w:t>return</w:t>
      </w:r>
      <w:r>
        <w:rPr>
          <w:sz w:val="24"/>
          <w:szCs w:val="24"/>
        </w:rPr>
        <w:t>ed</w:t>
      </w:r>
      <w:r w:rsidRPr="0044315F">
        <w:rPr>
          <w:sz w:val="24"/>
          <w:szCs w:val="24"/>
        </w:rPr>
        <w:t xml:space="preserve"> to full-time work.</w:t>
      </w:r>
      <w:r>
        <w:rPr>
          <w:sz w:val="24"/>
          <w:szCs w:val="24"/>
        </w:rPr>
        <w:t xml:space="preserve"> He has never had a fall while using it.</w:t>
      </w:r>
      <w:r w:rsidRPr="0044315F">
        <w:rPr>
          <w:sz w:val="24"/>
          <w:szCs w:val="24"/>
        </w:rPr>
        <w:t xml:space="preserve"> </w:t>
      </w:r>
      <w:r>
        <w:rPr>
          <w:sz w:val="24"/>
          <w:szCs w:val="24"/>
        </w:rPr>
        <w:t xml:space="preserve">The NDIS Plan has funded bathroom modifications and a ramp at the back of his house. Steve </w:t>
      </w:r>
      <w:r w:rsidRPr="0044315F">
        <w:rPr>
          <w:sz w:val="24"/>
          <w:szCs w:val="24"/>
        </w:rPr>
        <w:t>lead</w:t>
      </w:r>
      <w:r>
        <w:rPr>
          <w:sz w:val="24"/>
          <w:szCs w:val="24"/>
        </w:rPr>
        <w:t>s</w:t>
      </w:r>
      <w:r w:rsidRPr="0044315F">
        <w:rPr>
          <w:sz w:val="24"/>
          <w:szCs w:val="24"/>
        </w:rPr>
        <w:t xml:space="preserve"> an </w:t>
      </w:r>
      <w:r>
        <w:rPr>
          <w:sz w:val="24"/>
          <w:szCs w:val="24"/>
        </w:rPr>
        <w:t xml:space="preserve">active life including daily walks with his </w:t>
      </w:r>
      <w:r w:rsidRPr="0044315F">
        <w:rPr>
          <w:sz w:val="24"/>
          <w:szCs w:val="24"/>
        </w:rPr>
        <w:t>dog on the beach</w:t>
      </w:r>
      <w:r>
        <w:rPr>
          <w:sz w:val="24"/>
          <w:szCs w:val="24"/>
        </w:rPr>
        <w:t xml:space="preserve">. </w:t>
      </w:r>
    </w:p>
    <w:p w14:paraId="6DD766DF" w14:textId="6859D1BF" w:rsidR="00085FFF" w:rsidRPr="0044315F" w:rsidRDefault="00085FFF" w:rsidP="00085FFF">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rPr>
          <w:sz w:val="24"/>
          <w:szCs w:val="24"/>
        </w:rPr>
      </w:pPr>
      <w:r>
        <w:rPr>
          <w:sz w:val="24"/>
          <w:szCs w:val="24"/>
        </w:rPr>
        <w:t xml:space="preserve">With the NDIS plan, Steve tested several </w:t>
      </w:r>
      <w:r w:rsidRPr="0044315F">
        <w:rPr>
          <w:sz w:val="24"/>
          <w:szCs w:val="24"/>
        </w:rPr>
        <w:t xml:space="preserve">prosthetic devices to determine which </w:t>
      </w:r>
      <w:r>
        <w:rPr>
          <w:sz w:val="24"/>
          <w:szCs w:val="24"/>
        </w:rPr>
        <w:t>one best met</w:t>
      </w:r>
      <w:r w:rsidRPr="0044315F">
        <w:rPr>
          <w:sz w:val="24"/>
          <w:szCs w:val="24"/>
        </w:rPr>
        <w:t xml:space="preserve"> his needs. He has been able to </w:t>
      </w:r>
      <w:r>
        <w:rPr>
          <w:rStyle w:val="fontstyle01"/>
        </w:rPr>
        <w:t>exercise choice and control over the assistive devices he</w:t>
      </w:r>
      <w:r>
        <w:rPr>
          <w:rFonts w:ascii="Calibri" w:hAnsi="Calibri" w:cs="Calibri"/>
          <w:color w:val="000000"/>
        </w:rPr>
        <w:br/>
      </w:r>
      <w:r>
        <w:rPr>
          <w:rStyle w:val="fontstyle01"/>
        </w:rPr>
        <w:t>uses</w:t>
      </w:r>
      <w:r w:rsidR="00951762">
        <w:rPr>
          <w:rStyle w:val="fontstyle01"/>
        </w:rPr>
        <w:t xml:space="preserve"> </w:t>
      </w:r>
      <w:proofErr w:type="gramStart"/>
      <w:r w:rsidR="00951762">
        <w:rPr>
          <w:rStyle w:val="fontstyle01"/>
        </w:rPr>
        <w:t>and also</w:t>
      </w:r>
      <w:proofErr w:type="gramEnd"/>
      <w:r w:rsidR="00951762">
        <w:rPr>
          <w:rStyle w:val="fontstyle01"/>
        </w:rPr>
        <w:t xml:space="preserve"> his service providers</w:t>
      </w:r>
      <w:r>
        <w:rPr>
          <w:rStyle w:val="fontstyle01"/>
        </w:rPr>
        <w:t>.</w:t>
      </w:r>
    </w:p>
    <w:p w14:paraId="7B926521" w14:textId="77777777" w:rsidR="00085FFF" w:rsidRPr="00043756" w:rsidRDefault="00085FFF" w:rsidP="00085FFF">
      <w:pPr>
        <w:pStyle w:val="Bodycopy"/>
        <w:spacing w:before="0" w:after="0"/>
      </w:pPr>
    </w:p>
    <w:p w14:paraId="11DAE272" w14:textId="77777777" w:rsidR="00085FFF" w:rsidRPr="00085FFF" w:rsidRDefault="00085FFF" w:rsidP="00757FD1">
      <w:pPr>
        <w:rPr>
          <w:b/>
        </w:rPr>
      </w:pPr>
    </w:p>
    <w:sectPr w:rsidR="00085FFF" w:rsidRPr="00085FFF" w:rsidSect="00085FFF">
      <w:pgSz w:w="11906" w:h="16838"/>
      <w:pgMar w:top="568" w:right="1021" w:bottom="709" w:left="1021" w:header="73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029C" w14:textId="77777777" w:rsidR="00160B06" w:rsidRDefault="00160B06" w:rsidP="00C77C8C">
      <w:pPr>
        <w:spacing w:after="0" w:line="240" w:lineRule="auto"/>
      </w:pPr>
      <w:r>
        <w:separator/>
      </w:r>
    </w:p>
  </w:endnote>
  <w:endnote w:type="continuationSeparator" w:id="0">
    <w:p w14:paraId="0D0F7CB7" w14:textId="77777777" w:rsidR="00160B06" w:rsidRDefault="00160B06" w:rsidP="00C7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895723"/>
      <w:docPartObj>
        <w:docPartGallery w:val="Page Numbers (Bottom of Page)"/>
        <w:docPartUnique/>
      </w:docPartObj>
    </w:sdtPr>
    <w:sdtEndPr>
      <w:rPr>
        <w:noProof/>
      </w:rPr>
    </w:sdtEndPr>
    <w:sdtContent>
      <w:p w14:paraId="3A8EA0A9" w14:textId="5CE699F8" w:rsidR="003A027E" w:rsidRDefault="003A027E">
        <w:pPr>
          <w:pStyle w:val="Footer"/>
          <w:jc w:val="center"/>
        </w:pPr>
        <w:r>
          <w:fldChar w:fldCharType="begin"/>
        </w:r>
        <w:r>
          <w:instrText xml:space="preserve"> PAGE   \* MERGEFORMAT </w:instrText>
        </w:r>
        <w:r>
          <w:fldChar w:fldCharType="separate"/>
        </w:r>
        <w:r w:rsidR="0052699D">
          <w:rPr>
            <w:noProof/>
          </w:rPr>
          <w:t>1</w:t>
        </w:r>
        <w:r>
          <w:rPr>
            <w:noProof/>
          </w:rPr>
          <w:fldChar w:fldCharType="end"/>
        </w:r>
      </w:p>
    </w:sdtContent>
  </w:sdt>
  <w:p w14:paraId="262FD389" w14:textId="77777777" w:rsidR="003A027E" w:rsidRDefault="003A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0C8" w14:textId="77777777" w:rsidR="00160B06" w:rsidRDefault="00160B06" w:rsidP="00C77C8C">
      <w:pPr>
        <w:spacing w:after="0" w:line="240" w:lineRule="auto"/>
      </w:pPr>
      <w:r>
        <w:separator/>
      </w:r>
    </w:p>
  </w:footnote>
  <w:footnote w:type="continuationSeparator" w:id="0">
    <w:p w14:paraId="3774DF6E" w14:textId="77777777" w:rsidR="00160B06" w:rsidRDefault="00160B06" w:rsidP="00C7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56AD" w14:textId="66195C5A" w:rsidR="00971E74" w:rsidRPr="00971E74" w:rsidRDefault="00757FD1" w:rsidP="00757FD1">
    <w:pPr>
      <w:pStyle w:val="Heading1"/>
      <w:spacing w:before="0"/>
      <w:jc w:val="center"/>
      <w:rPr>
        <w:b w:val="0"/>
        <w:i/>
        <w:sz w:val="22"/>
        <w:szCs w:val="22"/>
        <w:lang w:val="en-US"/>
      </w:rPr>
    </w:pPr>
    <w:r>
      <w:rPr>
        <w:noProof/>
        <w:lang w:val="en-US"/>
      </w:rPr>
      <w:drawing>
        <wp:anchor distT="0" distB="0" distL="114300" distR="114300" simplePos="0" relativeHeight="251658240" behindDoc="1" locked="0" layoutInCell="1" allowOverlap="1" wp14:anchorId="4AACF4CA" wp14:editId="09B61E3A">
          <wp:simplePos x="0" y="0"/>
          <wp:positionH relativeFrom="column">
            <wp:posOffset>3886200</wp:posOffset>
          </wp:positionH>
          <wp:positionV relativeFrom="page">
            <wp:posOffset>130810</wp:posOffset>
          </wp:positionV>
          <wp:extent cx="2567940" cy="978535"/>
          <wp:effectExtent l="0" t="0" r="3810" b="0"/>
          <wp:wrapTight wrapText="bothSides">
            <wp:wrapPolygon edited="0">
              <wp:start x="0" y="1262"/>
              <wp:lineTo x="0" y="21025"/>
              <wp:lineTo x="21472" y="21025"/>
              <wp:lineTo x="21472" y="1262"/>
              <wp:lineTo x="0" y="1262"/>
            </wp:wrapPolygon>
          </wp:wrapTight>
          <wp:docPr id="2" name="Picture 2" title="ATFA logo of 3 connecting people in red, blue and green. One is using a mobility scooter and another a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FA Logo horizontal.jpg"/>
                  <pic:cNvPicPr/>
                </pic:nvPicPr>
                <pic:blipFill rotWithShape="1">
                  <a:blip r:embed="rId1" cstate="print">
                    <a:extLst>
                      <a:ext uri="{28A0092B-C50C-407E-A947-70E740481C1C}">
                        <a14:useLocalDpi xmlns:a14="http://schemas.microsoft.com/office/drawing/2010/main" val="0"/>
                      </a:ext>
                    </a:extLst>
                  </a:blip>
                  <a:srcRect l="96" t="-10278" r="-96" b="10278"/>
                  <a:stretch/>
                </pic:blipFill>
                <pic:spPr bwMode="auto">
                  <a:xfrm>
                    <a:off x="0" y="0"/>
                    <a:ext cx="2567940" cy="97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E74" w:rsidRPr="00971E74">
      <w:rPr>
        <w:b w:val="0"/>
        <w:sz w:val="56"/>
        <w:szCs w:val="56"/>
        <w:lang w:val="en-US"/>
      </w:rPr>
      <w:t>Media Release</w:t>
    </w:r>
    <w:r w:rsidR="00971E74" w:rsidRPr="00971E74">
      <w:rPr>
        <w:sz w:val="30"/>
        <w:szCs w:val="30"/>
        <w:lang w:val="en-US"/>
      </w:rPr>
      <w:br/>
    </w:r>
    <w:proofErr w:type="spellStart"/>
    <w:r w:rsidR="00B237EF">
      <w:rPr>
        <w:b w:val="0"/>
        <w:i/>
        <w:sz w:val="22"/>
        <w:szCs w:val="22"/>
        <w:lang w:val="en-US"/>
      </w:rPr>
      <w:t>Tuedsay</w:t>
    </w:r>
    <w:proofErr w:type="spellEnd"/>
    <w:r w:rsidR="00B237EF">
      <w:rPr>
        <w:b w:val="0"/>
        <w:i/>
        <w:sz w:val="22"/>
        <w:szCs w:val="22"/>
        <w:lang w:val="en-US"/>
      </w:rPr>
      <w:t xml:space="preserve"> 17 December 2019</w:t>
    </w:r>
  </w:p>
  <w:p w14:paraId="5ECAE139" w14:textId="52C2772A" w:rsidR="00C77C8C" w:rsidRDefault="00C77C8C">
    <w:pPr>
      <w:pStyle w:val="Header"/>
    </w:pPr>
    <w:r>
      <w:rPr>
        <w:noProof/>
        <w:lang w:eastAsia="en-AU"/>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4D82" w14:textId="1ACFD4F9" w:rsidR="00085FFF" w:rsidRDefault="00085FFF">
    <w:pPr>
      <w:pStyle w:val="Header"/>
    </w:pPr>
    <w:r>
      <w:rPr>
        <w:noProof/>
        <w:lang w:val="en-US"/>
      </w:rPr>
      <w:drawing>
        <wp:anchor distT="0" distB="0" distL="114300" distR="114300" simplePos="0" relativeHeight="251659264" behindDoc="1" locked="0" layoutInCell="1" allowOverlap="1" wp14:anchorId="07C4EEF5" wp14:editId="54137E97">
          <wp:simplePos x="0" y="0"/>
          <wp:positionH relativeFrom="margin">
            <wp:posOffset>4037965</wp:posOffset>
          </wp:positionH>
          <wp:positionV relativeFrom="margin">
            <wp:posOffset>-466725</wp:posOffset>
          </wp:positionV>
          <wp:extent cx="2567940" cy="978535"/>
          <wp:effectExtent l="0" t="0" r="3810" b="0"/>
          <wp:wrapNone/>
          <wp:docPr id="3" name="Picture 3" title="ATFA logo of 3 connecting people in red, blue and green. One is using a mobility scooter and another a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FA Logo horizontal.jpg"/>
                  <pic:cNvPicPr/>
                </pic:nvPicPr>
                <pic:blipFill rotWithShape="1">
                  <a:blip r:embed="rId1" cstate="print">
                    <a:extLst>
                      <a:ext uri="{28A0092B-C50C-407E-A947-70E740481C1C}">
                        <a14:useLocalDpi xmlns:a14="http://schemas.microsoft.com/office/drawing/2010/main" val="0"/>
                      </a:ext>
                    </a:extLst>
                  </a:blip>
                  <a:srcRect l="96" t="-10278" r="-96" b="10278"/>
                  <a:stretch/>
                </pic:blipFill>
                <pic:spPr bwMode="auto">
                  <a:xfrm>
                    <a:off x="0" y="0"/>
                    <a:ext cx="2567940" cy="9785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1A49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5360F"/>
    <w:multiLevelType w:val="hybridMultilevel"/>
    <w:tmpl w:val="8EF8467A"/>
    <w:lvl w:ilvl="0" w:tplc="342CC960">
      <w:start w:val="1"/>
      <w:numFmt w:val="bullet"/>
      <w:pStyle w:val="Bodycopybullets"/>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0E35005"/>
    <w:multiLevelType w:val="hybridMultilevel"/>
    <w:tmpl w:val="3236A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5F7A71"/>
    <w:multiLevelType w:val="hybridMultilevel"/>
    <w:tmpl w:val="052A9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640C79"/>
    <w:multiLevelType w:val="hybridMultilevel"/>
    <w:tmpl w:val="0D805E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97"/>
    <w:rsid w:val="00011276"/>
    <w:rsid w:val="00064D0F"/>
    <w:rsid w:val="00085FFF"/>
    <w:rsid w:val="000A110D"/>
    <w:rsid w:val="000C5310"/>
    <w:rsid w:val="000E4D0D"/>
    <w:rsid w:val="00113FCC"/>
    <w:rsid w:val="00130893"/>
    <w:rsid w:val="00145A97"/>
    <w:rsid w:val="00160B06"/>
    <w:rsid w:val="00256936"/>
    <w:rsid w:val="0027530F"/>
    <w:rsid w:val="00275B44"/>
    <w:rsid w:val="0028669F"/>
    <w:rsid w:val="002A0FD2"/>
    <w:rsid w:val="002A6DD5"/>
    <w:rsid w:val="002F2EDC"/>
    <w:rsid w:val="0031026D"/>
    <w:rsid w:val="0031297D"/>
    <w:rsid w:val="00315055"/>
    <w:rsid w:val="00343FB3"/>
    <w:rsid w:val="0038721F"/>
    <w:rsid w:val="00392704"/>
    <w:rsid w:val="003A027E"/>
    <w:rsid w:val="003A1FD2"/>
    <w:rsid w:val="003E10CB"/>
    <w:rsid w:val="003E2319"/>
    <w:rsid w:val="004007AF"/>
    <w:rsid w:val="00422874"/>
    <w:rsid w:val="00493105"/>
    <w:rsid w:val="004A1D8B"/>
    <w:rsid w:val="004A619B"/>
    <w:rsid w:val="004A6671"/>
    <w:rsid w:val="004F6679"/>
    <w:rsid w:val="005028BA"/>
    <w:rsid w:val="00505792"/>
    <w:rsid w:val="005059C1"/>
    <w:rsid w:val="0052699D"/>
    <w:rsid w:val="005468D1"/>
    <w:rsid w:val="005A30DF"/>
    <w:rsid w:val="00671BF7"/>
    <w:rsid w:val="006852BD"/>
    <w:rsid w:val="006A3992"/>
    <w:rsid w:val="006C45C4"/>
    <w:rsid w:val="006E75F4"/>
    <w:rsid w:val="007000E3"/>
    <w:rsid w:val="00757FD1"/>
    <w:rsid w:val="007969CB"/>
    <w:rsid w:val="00797609"/>
    <w:rsid w:val="007D31FE"/>
    <w:rsid w:val="007D78CA"/>
    <w:rsid w:val="00831406"/>
    <w:rsid w:val="00886B1F"/>
    <w:rsid w:val="008B3F0C"/>
    <w:rsid w:val="00951762"/>
    <w:rsid w:val="00970821"/>
    <w:rsid w:val="00971E74"/>
    <w:rsid w:val="00973097"/>
    <w:rsid w:val="0098036F"/>
    <w:rsid w:val="009B0C42"/>
    <w:rsid w:val="009B3A7E"/>
    <w:rsid w:val="009C793E"/>
    <w:rsid w:val="009F5526"/>
    <w:rsid w:val="00A134D9"/>
    <w:rsid w:val="00A30964"/>
    <w:rsid w:val="00A563D4"/>
    <w:rsid w:val="00A83DF3"/>
    <w:rsid w:val="00A90809"/>
    <w:rsid w:val="00AB6560"/>
    <w:rsid w:val="00AC78FA"/>
    <w:rsid w:val="00B237EF"/>
    <w:rsid w:val="00B525A8"/>
    <w:rsid w:val="00B56479"/>
    <w:rsid w:val="00B7599C"/>
    <w:rsid w:val="00B938B0"/>
    <w:rsid w:val="00BE3F30"/>
    <w:rsid w:val="00C01020"/>
    <w:rsid w:val="00C1768C"/>
    <w:rsid w:val="00C21ABB"/>
    <w:rsid w:val="00C77C8C"/>
    <w:rsid w:val="00CA0750"/>
    <w:rsid w:val="00E062F8"/>
    <w:rsid w:val="00E747E0"/>
    <w:rsid w:val="00E80C2A"/>
    <w:rsid w:val="00ED557D"/>
    <w:rsid w:val="00EE7FEF"/>
    <w:rsid w:val="00EF3750"/>
    <w:rsid w:val="00F30EA2"/>
    <w:rsid w:val="00F43044"/>
    <w:rsid w:val="00F76546"/>
    <w:rsid w:val="00F877C4"/>
    <w:rsid w:val="00F925B1"/>
    <w:rsid w:val="00FA2AE1"/>
    <w:rsid w:val="00FB1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59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FF"/>
  </w:style>
  <w:style w:type="paragraph" w:styleId="Heading1">
    <w:name w:val="heading 1"/>
    <w:basedOn w:val="Normal"/>
    <w:next w:val="Normal"/>
    <w:link w:val="Heading1Char"/>
    <w:uiPriority w:val="9"/>
    <w:qFormat/>
    <w:rsid w:val="00085FFF"/>
    <w:pPr>
      <w:keepNext/>
      <w:keepLines/>
      <w:spacing w:before="80" w:after="80" w:line="240" w:lineRule="auto"/>
      <w:outlineLvl w:val="0"/>
    </w:pPr>
    <w:rPr>
      <w:rFonts w:ascii="Calibri" w:eastAsiaTheme="majorEastAsia" w:hAnsi="Calibri" w:cstheme="majorBidi"/>
      <w:b/>
      <w:color w:val="1F3864" w:themeColor="accent1" w:themeShade="80"/>
      <w:sz w:val="48"/>
      <w:szCs w:val="32"/>
    </w:rPr>
  </w:style>
  <w:style w:type="paragraph" w:styleId="Heading2">
    <w:name w:val="heading 2"/>
    <w:basedOn w:val="Normal"/>
    <w:next w:val="Normal"/>
    <w:link w:val="Heading2Char"/>
    <w:uiPriority w:val="9"/>
    <w:semiHidden/>
    <w:unhideWhenUsed/>
    <w:qFormat/>
    <w:rsid w:val="00085FFF"/>
    <w:pPr>
      <w:keepNext/>
      <w:keepLines/>
      <w:spacing w:before="80" w:after="80" w:line="240" w:lineRule="auto"/>
      <w:outlineLvl w:val="1"/>
    </w:pPr>
    <w:rPr>
      <w:rFonts w:ascii="Calibri" w:eastAsiaTheme="majorEastAsia" w:hAnsi="Calibri" w:cstheme="majorBidi"/>
      <w:b/>
      <w:color w:val="1F3864" w:themeColor="accent1" w:themeShade="80"/>
      <w:sz w:val="40"/>
      <w:szCs w:val="26"/>
    </w:rPr>
  </w:style>
  <w:style w:type="paragraph" w:styleId="Heading3">
    <w:name w:val="heading 3"/>
    <w:basedOn w:val="Normal"/>
    <w:next w:val="Normal"/>
    <w:link w:val="Heading3Char"/>
    <w:uiPriority w:val="9"/>
    <w:semiHidden/>
    <w:unhideWhenUsed/>
    <w:qFormat/>
    <w:rsid w:val="00085FFF"/>
    <w:pPr>
      <w:keepNext/>
      <w:keepLines/>
      <w:spacing w:before="40" w:after="0"/>
      <w:outlineLvl w:val="2"/>
    </w:pPr>
    <w:rPr>
      <w:rFonts w:ascii="Calibri" w:eastAsiaTheme="majorEastAsia" w:hAnsi="Calibri" w:cstheme="majorBidi"/>
      <w:b/>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FF"/>
    <w:rPr>
      <w:rFonts w:ascii="Calibri" w:eastAsiaTheme="majorEastAsia" w:hAnsi="Calibri" w:cstheme="majorBidi"/>
      <w:b/>
      <w:color w:val="1F3864" w:themeColor="accent1" w:themeShade="80"/>
      <w:sz w:val="48"/>
      <w:szCs w:val="32"/>
    </w:rPr>
  </w:style>
  <w:style w:type="paragraph" w:styleId="ListBullet">
    <w:name w:val="List Bullet"/>
    <w:basedOn w:val="Normal"/>
    <w:uiPriority w:val="99"/>
    <w:unhideWhenUsed/>
    <w:rsid w:val="00E747E0"/>
    <w:pPr>
      <w:numPr>
        <w:numId w:val="1"/>
      </w:numPr>
      <w:contextualSpacing/>
    </w:pPr>
  </w:style>
  <w:style w:type="paragraph" w:styleId="ListParagraph">
    <w:name w:val="List Paragraph"/>
    <w:basedOn w:val="Normal"/>
    <w:uiPriority w:val="34"/>
    <w:qFormat/>
    <w:rsid w:val="00085FFF"/>
    <w:pPr>
      <w:spacing w:after="200" w:line="276" w:lineRule="auto"/>
      <w:ind w:left="720"/>
      <w:contextualSpacing/>
    </w:pPr>
  </w:style>
  <w:style w:type="paragraph" w:styleId="BalloonText">
    <w:name w:val="Balloon Text"/>
    <w:basedOn w:val="Normal"/>
    <w:link w:val="BalloonTextChar"/>
    <w:uiPriority w:val="99"/>
    <w:semiHidden/>
    <w:unhideWhenUsed/>
    <w:rsid w:val="00E80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2A"/>
    <w:rPr>
      <w:rFonts w:ascii="Segoe UI" w:hAnsi="Segoe UI" w:cs="Segoe UI"/>
      <w:sz w:val="18"/>
      <w:szCs w:val="18"/>
    </w:rPr>
  </w:style>
  <w:style w:type="character" w:styleId="CommentReference">
    <w:name w:val="annotation reference"/>
    <w:basedOn w:val="DefaultParagraphFont"/>
    <w:uiPriority w:val="99"/>
    <w:semiHidden/>
    <w:unhideWhenUsed/>
    <w:rsid w:val="00E80C2A"/>
    <w:rPr>
      <w:sz w:val="16"/>
      <w:szCs w:val="16"/>
    </w:rPr>
  </w:style>
  <w:style w:type="paragraph" w:styleId="CommentText">
    <w:name w:val="annotation text"/>
    <w:basedOn w:val="Normal"/>
    <w:link w:val="CommentTextChar"/>
    <w:uiPriority w:val="99"/>
    <w:semiHidden/>
    <w:unhideWhenUsed/>
    <w:rsid w:val="00E80C2A"/>
    <w:pPr>
      <w:spacing w:line="240" w:lineRule="auto"/>
    </w:pPr>
    <w:rPr>
      <w:sz w:val="20"/>
      <w:szCs w:val="20"/>
    </w:rPr>
  </w:style>
  <w:style w:type="character" w:customStyle="1" w:styleId="CommentTextChar">
    <w:name w:val="Comment Text Char"/>
    <w:basedOn w:val="DefaultParagraphFont"/>
    <w:link w:val="CommentText"/>
    <w:uiPriority w:val="99"/>
    <w:semiHidden/>
    <w:rsid w:val="00E80C2A"/>
    <w:rPr>
      <w:sz w:val="20"/>
      <w:szCs w:val="20"/>
    </w:rPr>
  </w:style>
  <w:style w:type="paragraph" w:styleId="CommentSubject">
    <w:name w:val="annotation subject"/>
    <w:basedOn w:val="CommentText"/>
    <w:next w:val="CommentText"/>
    <w:link w:val="CommentSubjectChar"/>
    <w:uiPriority w:val="99"/>
    <w:semiHidden/>
    <w:unhideWhenUsed/>
    <w:rsid w:val="00E80C2A"/>
    <w:rPr>
      <w:b/>
      <w:bCs/>
    </w:rPr>
  </w:style>
  <w:style w:type="character" w:customStyle="1" w:styleId="CommentSubjectChar">
    <w:name w:val="Comment Subject Char"/>
    <w:basedOn w:val="CommentTextChar"/>
    <w:link w:val="CommentSubject"/>
    <w:uiPriority w:val="99"/>
    <w:semiHidden/>
    <w:rsid w:val="00E80C2A"/>
    <w:rPr>
      <w:b/>
      <w:bCs/>
      <w:sz w:val="20"/>
      <w:szCs w:val="20"/>
    </w:rPr>
  </w:style>
  <w:style w:type="character" w:styleId="Hyperlink">
    <w:name w:val="Hyperlink"/>
    <w:basedOn w:val="DefaultParagraphFont"/>
    <w:uiPriority w:val="99"/>
    <w:unhideWhenUsed/>
    <w:rsid w:val="00E80C2A"/>
    <w:rPr>
      <w:color w:val="0563C1" w:themeColor="hyperlink"/>
      <w:u w:val="single"/>
    </w:rPr>
  </w:style>
  <w:style w:type="character" w:customStyle="1" w:styleId="UnresolvedMention1">
    <w:name w:val="Unresolved Mention1"/>
    <w:basedOn w:val="DefaultParagraphFont"/>
    <w:uiPriority w:val="99"/>
    <w:semiHidden/>
    <w:unhideWhenUsed/>
    <w:rsid w:val="00E80C2A"/>
    <w:rPr>
      <w:color w:val="605E5C"/>
      <w:shd w:val="clear" w:color="auto" w:fill="E1DFDD"/>
    </w:rPr>
  </w:style>
  <w:style w:type="character" w:styleId="FollowedHyperlink">
    <w:name w:val="FollowedHyperlink"/>
    <w:basedOn w:val="DefaultParagraphFont"/>
    <w:uiPriority w:val="99"/>
    <w:semiHidden/>
    <w:unhideWhenUsed/>
    <w:rsid w:val="00797609"/>
    <w:rPr>
      <w:color w:val="954F72" w:themeColor="followedHyperlink"/>
      <w:u w:val="single"/>
    </w:rPr>
  </w:style>
  <w:style w:type="paragraph" w:styleId="NoSpacing">
    <w:name w:val="No Spacing"/>
    <w:uiPriority w:val="1"/>
    <w:qFormat/>
    <w:rsid w:val="00C1768C"/>
    <w:pPr>
      <w:spacing w:after="0" w:line="240" w:lineRule="auto"/>
    </w:pPr>
  </w:style>
  <w:style w:type="character" w:customStyle="1" w:styleId="UnresolvedMention2">
    <w:name w:val="Unresolved Mention2"/>
    <w:basedOn w:val="DefaultParagraphFont"/>
    <w:uiPriority w:val="99"/>
    <w:semiHidden/>
    <w:unhideWhenUsed/>
    <w:rsid w:val="004F6679"/>
    <w:rPr>
      <w:color w:val="605E5C"/>
      <w:shd w:val="clear" w:color="auto" w:fill="E1DFDD"/>
    </w:rPr>
  </w:style>
  <w:style w:type="paragraph" w:styleId="Header">
    <w:name w:val="header"/>
    <w:basedOn w:val="Normal"/>
    <w:link w:val="HeaderChar"/>
    <w:uiPriority w:val="99"/>
    <w:unhideWhenUsed/>
    <w:rsid w:val="00C77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C8C"/>
  </w:style>
  <w:style w:type="paragraph" w:styleId="Footer">
    <w:name w:val="footer"/>
    <w:basedOn w:val="Normal"/>
    <w:link w:val="FooterChar"/>
    <w:uiPriority w:val="99"/>
    <w:unhideWhenUsed/>
    <w:rsid w:val="00C77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8C"/>
  </w:style>
  <w:style w:type="character" w:customStyle="1" w:styleId="Heading2Char">
    <w:name w:val="Heading 2 Char"/>
    <w:basedOn w:val="DefaultParagraphFont"/>
    <w:link w:val="Heading2"/>
    <w:uiPriority w:val="9"/>
    <w:semiHidden/>
    <w:rsid w:val="00085FFF"/>
    <w:rPr>
      <w:rFonts w:ascii="Calibri" w:eastAsiaTheme="majorEastAsia" w:hAnsi="Calibri" w:cstheme="majorBidi"/>
      <w:b/>
      <w:color w:val="1F3864" w:themeColor="accent1" w:themeShade="80"/>
      <w:sz w:val="40"/>
      <w:szCs w:val="26"/>
    </w:rPr>
  </w:style>
  <w:style w:type="paragraph" w:customStyle="1" w:styleId="Bodycopy">
    <w:name w:val="Body copy"/>
    <w:basedOn w:val="Heading1"/>
    <w:qFormat/>
    <w:rsid w:val="00085FFF"/>
    <w:pPr>
      <w:keepNext w:val="0"/>
      <w:keepLines w:val="0"/>
      <w:widowControl w:val="0"/>
      <w:spacing w:before="120" w:after="120"/>
      <w:ind w:left="340"/>
    </w:pPr>
    <w:rPr>
      <w:rFonts w:asciiTheme="minorHAnsi" w:hAnsiTheme="minorHAnsi"/>
      <w:b w:val="0"/>
      <w:color w:val="auto"/>
      <w:sz w:val="24"/>
    </w:rPr>
  </w:style>
  <w:style w:type="paragraph" w:customStyle="1" w:styleId="Bodycopybullets">
    <w:name w:val="Body copy bullets"/>
    <w:basedOn w:val="Bodycopy"/>
    <w:qFormat/>
    <w:rsid w:val="00085FFF"/>
    <w:pPr>
      <w:numPr>
        <w:numId w:val="6"/>
      </w:numPr>
      <w:spacing w:before="40" w:after="40"/>
    </w:pPr>
  </w:style>
  <w:style w:type="character" w:customStyle="1" w:styleId="Heading3Char">
    <w:name w:val="Heading 3 Char"/>
    <w:basedOn w:val="DefaultParagraphFont"/>
    <w:link w:val="Heading3"/>
    <w:uiPriority w:val="9"/>
    <w:semiHidden/>
    <w:rsid w:val="00085FFF"/>
    <w:rPr>
      <w:rFonts w:ascii="Calibri" w:eastAsiaTheme="majorEastAsia" w:hAnsi="Calibri" w:cstheme="majorBidi"/>
      <w:b/>
      <w:color w:val="1F3763" w:themeColor="accent1" w:themeShade="7F"/>
      <w:sz w:val="36"/>
      <w:szCs w:val="24"/>
    </w:rPr>
  </w:style>
  <w:style w:type="character" w:styleId="Strong">
    <w:name w:val="Strong"/>
    <w:basedOn w:val="DefaultParagraphFont"/>
    <w:uiPriority w:val="22"/>
    <w:qFormat/>
    <w:rsid w:val="00085FFF"/>
    <w:rPr>
      <w:b/>
      <w:bCs/>
    </w:rPr>
  </w:style>
  <w:style w:type="paragraph" w:styleId="Quote">
    <w:name w:val="Quote"/>
    <w:basedOn w:val="Normal"/>
    <w:next w:val="Normal"/>
    <w:link w:val="QuoteChar"/>
    <w:uiPriority w:val="29"/>
    <w:qFormat/>
    <w:rsid w:val="00085FFF"/>
    <w:pPr>
      <w:spacing w:before="40" w:after="40" w:line="24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085FFF"/>
    <w:rPr>
      <w:i/>
      <w:iCs/>
      <w:color w:val="404040" w:themeColor="text1" w:themeTint="BF"/>
    </w:rPr>
  </w:style>
  <w:style w:type="paragraph" w:styleId="IntenseQuote">
    <w:name w:val="Intense Quote"/>
    <w:basedOn w:val="Normal"/>
    <w:next w:val="Normal"/>
    <w:link w:val="IntenseQuoteChar"/>
    <w:uiPriority w:val="30"/>
    <w:qFormat/>
    <w:rsid w:val="00085F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85FFF"/>
    <w:rPr>
      <w:i/>
      <w:iCs/>
      <w:color w:val="4472C4" w:themeColor="accent1"/>
    </w:rPr>
  </w:style>
  <w:style w:type="character" w:customStyle="1" w:styleId="fontstyle01">
    <w:name w:val="fontstyle01"/>
    <w:basedOn w:val="DefaultParagraphFont"/>
    <w:rsid w:val="00085FF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ney@cotavi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F0BF-E147-4B30-B936-3F67058C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B392D-1CE7-444A-8138-99DDEEB1F48F}">
  <ds:schemaRefs>
    <ds:schemaRef ds:uri="http://schemas.microsoft.com/sharepoint/v3/contenttype/forms"/>
  </ds:schemaRefs>
</ds:datastoreItem>
</file>

<file path=customXml/itemProps3.xml><?xml version="1.0" encoding="utf-8"?>
<ds:datastoreItem xmlns:ds="http://schemas.openxmlformats.org/officeDocument/2006/customXml" ds:itemID="{89388622-A5C4-43DE-9C95-3B2E00979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898C6-8078-448F-B6EE-CB59C776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2019-12-18T03:13:00Z</dcterms:created>
  <dcterms:modified xsi:type="dcterms:W3CDTF">2019-12-18T03:14:00Z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