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A817C" w14:textId="7C6FA610" w:rsidR="002B4AB0" w:rsidRPr="00140D1F" w:rsidRDefault="002B4AB0" w:rsidP="00947C00">
      <w:pPr>
        <w:tabs>
          <w:tab w:val="left" w:pos="7513"/>
        </w:tabs>
        <w:spacing w:after="0" w:line="276" w:lineRule="auto"/>
        <w:jc w:val="right"/>
        <w:rPr>
          <w:rFonts w:cstheme="minorHAnsi"/>
          <w:sz w:val="24"/>
        </w:rPr>
      </w:pPr>
      <w:r w:rsidRPr="00140D1F">
        <w:rPr>
          <w:rFonts w:cstheme="minorHAnsi"/>
          <w:noProof/>
          <w:sz w:val="24"/>
          <w:lang w:eastAsia="en-AU"/>
        </w:rPr>
        <w:drawing>
          <wp:anchor distT="0" distB="0" distL="114300" distR="114300" simplePos="0" relativeHeight="251657728" behindDoc="1" locked="0" layoutInCell="1" allowOverlap="1" wp14:anchorId="6F5CB1FF" wp14:editId="5450CD6C">
            <wp:simplePos x="0" y="0"/>
            <wp:positionH relativeFrom="margin">
              <wp:posOffset>108548</wp:posOffset>
            </wp:positionH>
            <wp:positionV relativeFrom="paragraph">
              <wp:posOffset>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D1F">
        <w:rPr>
          <w:rFonts w:cstheme="minorHAnsi"/>
          <w:sz w:val="24"/>
        </w:rPr>
        <w:t>Level 3</w:t>
      </w:r>
      <w:r w:rsidR="00BA741C" w:rsidRPr="00140D1F">
        <w:rPr>
          <w:rFonts w:cstheme="minorHAnsi"/>
          <w:sz w:val="24"/>
        </w:rPr>
        <w:t xml:space="preserve"> </w:t>
      </w:r>
      <w:r w:rsidRPr="00140D1F">
        <w:rPr>
          <w:rFonts w:cstheme="minorHAnsi"/>
          <w:sz w:val="24"/>
        </w:rPr>
        <w:t>Ross House</w:t>
      </w:r>
    </w:p>
    <w:p w14:paraId="1A363D6D" w14:textId="2782C295" w:rsidR="002B4AB0" w:rsidRPr="00140D1F" w:rsidRDefault="002B4AB0" w:rsidP="00947C00">
      <w:pPr>
        <w:tabs>
          <w:tab w:val="left" w:pos="7513"/>
        </w:tabs>
        <w:spacing w:after="0" w:line="276" w:lineRule="auto"/>
        <w:jc w:val="right"/>
        <w:rPr>
          <w:rFonts w:cstheme="minorHAnsi"/>
          <w:sz w:val="24"/>
        </w:rPr>
      </w:pPr>
      <w:r w:rsidRPr="00140D1F">
        <w:rPr>
          <w:rFonts w:cstheme="minorHAnsi"/>
          <w:sz w:val="24"/>
        </w:rPr>
        <w:t>247-251 Flinders Lane</w:t>
      </w:r>
    </w:p>
    <w:p w14:paraId="2DDF4E19" w14:textId="1297137A" w:rsidR="002B4AB0" w:rsidRPr="00140D1F" w:rsidRDefault="002B4AB0" w:rsidP="00947C00">
      <w:pPr>
        <w:tabs>
          <w:tab w:val="left" w:pos="7513"/>
        </w:tabs>
        <w:spacing w:after="0" w:line="276" w:lineRule="auto"/>
        <w:jc w:val="right"/>
        <w:rPr>
          <w:rFonts w:cstheme="minorHAnsi"/>
          <w:sz w:val="24"/>
        </w:rPr>
      </w:pPr>
      <w:r w:rsidRPr="00140D1F">
        <w:rPr>
          <w:rFonts w:cstheme="minorHAnsi"/>
          <w:sz w:val="24"/>
        </w:rPr>
        <w:t>Melbourne Victoria 3000</w:t>
      </w:r>
    </w:p>
    <w:p w14:paraId="6AC3E434" w14:textId="77777777" w:rsidR="002B4AB0" w:rsidRPr="00140D1F" w:rsidRDefault="002B4AB0" w:rsidP="00947C00">
      <w:pPr>
        <w:tabs>
          <w:tab w:val="left" w:pos="7513"/>
        </w:tabs>
        <w:spacing w:after="0" w:line="276" w:lineRule="auto"/>
        <w:jc w:val="right"/>
        <w:rPr>
          <w:rFonts w:cstheme="minorHAnsi"/>
          <w:sz w:val="24"/>
        </w:rPr>
      </w:pPr>
      <w:r w:rsidRPr="00140D1F">
        <w:rPr>
          <w:rFonts w:cstheme="minorHAnsi"/>
          <w:sz w:val="24"/>
        </w:rPr>
        <w:t>Telephone: 03 9654 1400</w:t>
      </w:r>
    </w:p>
    <w:p w14:paraId="781697E6" w14:textId="39A14DC3" w:rsidR="002B4AB0" w:rsidRPr="00140D1F" w:rsidRDefault="002B4AB0" w:rsidP="00947C00">
      <w:pPr>
        <w:tabs>
          <w:tab w:val="left" w:pos="7513"/>
        </w:tabs>
        <w:spacing w:after="0" w:line="276" w:lineRule="auto"/>
        <w:jc w:val="right"/>
        <w:rPr>
          <w:rFonts w:cstheme="minorHAnsi"/>
          <w:sz w:val="24"/>
        </w:rPr>
      </w:pPr>
      <w:r w:rsidRPr="00140D1F">
        <w:rPr>
          <w:rFonts w:cstheme="minorHAnsi"/>
          <w:sz w:val="24"/>
        </w:rPr>
        <w:t>Toll Free: 1800 033 660</w:t>
      </w:r>
    </w:p>
    <w:p w14:paraId="15CE39CF" w14:textId="3A4BA9D1" w:rsidR="002B4AB0" w:rsidRPr="00140D1F" w:rsidRDefault="002B4AB0" w:rsidP="00947C00">
      <w:pPr>
        <w:tabs>
          <w:tab w:val="left" w:pos="7513"/>
        </w:tabs>
        <w:spacing w:after="0" w:line="276" w:lineRule="auto"/>
        <w:jc w:val="right"/>
        <w:rPr>
          <w:rFonts w:cstheme="minorHAnsi"/>
          <w:sz w:val="24"/>
        </w:rPr>
      </w:pPr>
      <w:r w:rsidRPr="00140D1F">
        <w:rPr>
          <w:rFonts w:cstheme="minorHAnsi"/>
          <w:sz w:val="24"/>
        </w:rPr>
        <w:t>Fax: 03 9650 3200</w:t>
      </w:r>
    </w:p>
    <w:p w14:paraId="238C795E" w14:textId="77777777" w:rsidR="002B4AB0" w:rsidRPr="00140D1F" w:rsidRDefault="002B4AB0" w:rsidP="00947C00">
      <w:pPr>
        <w:spacing w:after="0" w:line="276" w:lineRule="auto"/>
        <w:jc w:val="right"/>
        <w:rPr>
          <w:rFonts w:cstheme="minorHAnsi"/>
          <w:sz w:val="24"/>
        </w:rPr>
      </w:pPr>
      <w:r w:rsidRPr="00140D1F">
        <w:rPr>
          <w:rFonts w:cstheme="minorHAnsi"/>
          <w:sz w:val="24"/>
        </w:rPr>
        <w:t>Email: bca@bca.org.au</w:t>
      </w:r>
    </w:p>
    <w:p w14:paraId="3471E647" w14:textId="25C15C9E" w:rsidR="00BB4F0F" w:rsidRPr="00140D1F" w:rsidRDefault="002B4AB0" w:rsidP="00947C00">
      <w:pPr>
        <w:spacing w:after="0" w:line="276" w:lineRule="auto"/>
        <w:jc w:val="right"/>
        <w:rPr>
          <w:rFonts w:cstheme="minorHAnsi"/>
          <w:sz w:val="24"/>
        </w:rPr>
      </w:pPr>
      <w:r w:rsidRPr="00140D1F">
        <w:rPr>
          <w:rFonts w:cstheme="minorHAnsi"/>
          <w:sz w:val="24"/>
        </w:rPr>
        <w:t xml:space="preserve">Website: </w:t>
      </w:r>
      <w:hyperlink r:id="rId12" w:history="1">
        <w:r w:rsidR="00BB4F0F" w:rsidRPr="00140D1F">
          <w:rPr>
            <w:rStyle w:val="Hyperlink"/>
            <w:rFonts w:cstheme="minorHAnsi"/>
            <w:sz w:val="24"/>
          </w:rPr>
          <w:t>www.bca.org.au</w:t>
        </w:r>
      </w:hyperlink>
    </w:p>
    <w:p w14:paraId="64902289" w14:textId="272D744D" w:rsidR="00BB4F0F" w:rsidRPr="00140D1F" w:rsidRDefault="00E64A07" w:rsidP="00BB4F0F">
      <w:pPr>
        <w:spacing w:after="0" w:line="276" w:lineRule="auto"/>
        <w:jc w:val="right"/>
        <w:rPr>
          <w:rFonts w:cstheme="minorHAnsi"/>
          <w:sz w:val="24"/>
          <w:lang w:val="en-US"/>
        </w:rPr>
      </w:pPr>
      <w:r w:rsidRPr="00140D1F">
        <w:rPr>
          <w:rFonts w:cstheme="minorHAnsi"/>
          <w:sz w:val="24"/>
          <w:lang w:val="en-US"/>
        </w:rPr>
        <w:t xml:space="preserve">Facebook: </w:t>
      </w:r>
      <w:r w:rsidR="00BB4F0F" w:rsidRPr="00140D1F">
        <w:rPr>
          <w:rFonts w:cstheme="minorHAnsi"/>
          <w:sz w:val="24"/>
          <w:lang w:val="en-US"/>
        </w:rPr>
        <w:t>/BlindCitizensAustralia</w:t>
      </w:r>
    </w:p>
    <w:p w14:paraId="0889C7C0" w14:textId="77777777" w:rsidR="00BB4F0F" w:rsidRPr="00140D1F" w:rsidRDefault="00BB4F0F" w:rsidP="00BB4F0F">
      <w:pPr>
        <w:spacing w:after="0" w:line="276" w:lineRule="auto"/>
        <w:jc w:val="right"/>
        <w:rPr>
          <w:rFonts w:cstheme="minorHAnsi"/>
          <w:sz w:val="24"/>
          <w:lang w:val="en-US"/>
        </w:rPr>
      </w:pPr>
      <w:r w:rsidRPr="00140D1F">
        <w:rPr>
          <w:rFonts w:cstheme="minorHAnsi"/>
          <w:sz w:val="24"/>
          <w:lang w:val="en-US"/>
        </w:rPr>
        <w:t>Twitter:  @au_BCA</w:t>
      </w:r>
    </w:p>
    <w:p w14:paraId="13C9EAA4" w14:textId="6AF42D11" w:rsidR="00CC557A" w:rsidRPr="00140D1F" w:rsidRDefault="00CC557A" w:rsidP="00947C00">
      <w:pPr>
        <w:spacing w:after="0" w:line="276" w:lineRule="auto"/>
        <w:jc w:val="right"/>
        <w:rPr>
          <w:rFonts w:cstheme="minorHAnsi"/>
          <w:sz w:val="24"/>
        </w:rPr>
      </w:pPr>
      <w:r w:rsidRPr="00140D1F">
        <w:rPr>
          <w:rFonts w:cstheme="minorHAnsi"/>
          <w:noProof/>
          <w:sz w:val="24"/>
          <w:lang w:eastAsia="en-AU"/>
        </w:rPr>
        <mc:AlternateContent>
          <mc:Choice Requires="wps">
            <w:drawing>
              <wp:anchor distT="0" distB="0" distL="114300" distR="114300" simplePos="0" relativeHeight="251655680" behindDoc="0" locked="1" layoutInCell="1" allowOverlap="0" wp14:anchorId="3519E319" wp14:editId="3D29F699">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87D6" w14:textId="77777777" w:rsidR="007B0213" w:rsidRDefault="007B0213" w:rsidP="00CC557A">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E319" id="_x0000_t202" coordsize="21600,21600" o:spt="202" path="m,l,21600r21600,l21600,xe">
                <v:stroke joinstyle="miter"/>
                <v:path gradientshapeok="t" o:connecttype="rect"/>
              </v:shapetype>
              <v:shape id="Text Box 1" o:spid="_x0000_s1026" type="#_x0000_t202" style="position:absolute;left:0;text-align:left;margin-left:85.05pt;margin-top:801.2pt;width:439.2pt;height:2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" o:allowoverlap="f" filled="f" stroked="f">
                <v:textbox>
                  <w:txbxContent>
                    <w:p w14:paraId="7A5487D6" w14:textId="77777777" w:rsidR="007B0213" w:rsidRDefault="007B0213" w:rsidP="00CC557A">
                      <w:pPr>
                        <w:jc w:val="center"/>
                        <w:rPr>
                          <w:sz w:val="20"/>
                        </w:rPr>
                      </w:pPr>
                      <w:r>
                        <w:rPr>
                          <w:sz w:val="20"/>
                        </w:rPr>
                        <w:t>Blind Citizens Australia ABN 90 006 985 226.  Gifts are Tax Deductible.</w:t>
                      </w:r>
                    </w:p>
                  </w:txbxContent>
                </v:textbox>
                <w10:wrap anchorx="page" anchory="page"/>
                <w10:anchorlock/>
              </v:shape>
            </w:pict>
          </mc:Fallback>
        </mc:AlternateContent>
      </w:r>
    </w:p>
    <w:p w14:paraId="66D9B42E" w14:textId="0412D4A4" w:rsidR="00CC557A" w:rsidRPr="00140D1F" w:rsidRDefault="00CC557A" w:rsidP="00CC557A">
      <w:pPr>
        <w:spacing w:after="0" w:line="240" w:lineRule="auto"/>
        <w:rPr>
          <w:rFonts w:eastAsia="Calibri" w:cstheme="minorHAnsi"/>
          <w:sz w:val="24"/>
          <w:lang w:val="en-US"/>
        </w:rPr>
      </w:pPr>
      <w:r w:rsidRPr="00140D1F">
        <w:rPr>
          <w:rFonts w:eastAsia="Calibri" w:cstheme="minorHAnsi"/>
          <w:sz w:val="24"/>
          <w:lang w:val="en-US"/>
        </w:rPr>
        <w:t>Blind Citizens Australia</w:t>
      </w:r>
    </w:p>
    <w:p w14:paraId="66CFB183" w14:textId="74AB0620" w:rsidR="00927292" w:rsidRPr="00140D1F" w:rsidRDefault="00927292" w:rsidP="00CC557A">
      <w:pPr>
        <w:spacing w:after="0" w:line="240" w:lineRule="auto"/>
        <w:rPr>
          <w:rFonts w:eastAsia="Calibri" w:cstheme="minorHAnsi"/>
          <w:sz w:val="24"/>
          <w:lang w:val="en-US"/>
        </w:rPr>
      </w:pPr>
    </w:p>
    <w:p w14:paraId="04CF00E2" w14:textId="77777777" w:rsidR="00927292" w:rsidRPr="00140D1F" w:rsidRDefault="00927292" w:rsidP="00927292">
      <w:pPr>
        <w:spacing w:after="0" w:line="240" w:lineRule="auto"/>
        <w:rPr>
          <w:rFonts w:eastAsia="Calibri" w:cstheme="minorHAnsi"/>
          <w:sz w:val="24"/>
          <w:lang w:val="en-US"/>
        </w:rPr>
      </w:pPr>
    </w:p>
    <w:p w14:paraId="14618870" w14:textId="3C11EB03" w:rsidR="00927292" w:rsidRPr="00140D1F" w:rsidRDefault="00802F3B" w:rsidP="00AB2125">
      <w:pPr>
        <w:pStyle w:val="Heading1"/>
        <w:rPr>
          <w:rFonts w:eastAsia="Calibri"/>
          <w:lang w:val="en-US"/>
        </w:rPr>
      </w:pPr>
      <w:bookmarkStart w:id="0" w:name="_Toc25055870"/>
      <w:r w:rsidRPr="00140D1F">
        <w:rPr>
          <w:rFonts w:eastAsia="Calibri"/>
          <w:lang w:val="en-US"/>
        </w:rPr>
        <w:t>Health</w:t>
      </w:r>
      <w:r w:rsidR="00445F62">
        <w:rPr>
          <w:rFonts w:eastAsia="Calibri"/>
          <w:lang w:val="en-US"/>
        </w:rPr>
        <w:t>ca</w:t>
      </w:r>
      <w:r w:rsidRPr="00140D1F">
        <w:rPr>
          <w:rFonts w:eastAsia="Calibri"/>
          <w:lang w:val="en-US"/>
        </w:rPr>
        <w:t>re Policy</w:t>
      </w:r>
      <w:bookmarkEnd w:id="0"/>
    </w:p>
    <w:p w14:paraId="7CBBFC36" w14:textId="77777777" w:rsidR="00927292" w:rsidRPr="00140D1F" w:rsidRDefault="00927292" w:rsidP="00927292">
      <w:pPr>
        <w:spacing w:after="0" w:line="240" w:lineRule="auto"/>
        <w:rPr>
          <w:rFonts w:eastAsia="Calibri" w:cstheme="minorHAnsi"/>
          <w:sz w:val="24"/>
          <w:lang w:val="en-US"/>
        </w:rPr>
      </w:pPr>
    </w:p>
    <w:p w14:paraId="52C7A76A" w14:textId="790ACD38" w:rsidR="00927292" w:rsidRPr="00607A43" w:rsidRDefault="00927292" w:rsidP="00927292">
      <w:pPr>
        <w:spacing w:after="0" w:line="240" w:lineRule="auto"/>
        <w:rPr>
          <w:rFonts w:eastAsia="Calibri" w:cstheme="minorHAnsi"/>
          <w:szCs w:val="32"/>
          <w:lang w:val="en-US"/>
        </w:rPr>
      </w:pPr>
      <w:r w:rsidRPr="00607A43">
        <w:rPr>
          <w:rFonts w:eastAsia="Calibri" w:cstheme="minorHAnsi"/>
          <w:szCs w:val="32"/>
          <w:lang w:val="en-US"/>
        </w:rPr>
        <w:t>Developed in consultation with Blind Citizens Australia’s National Policy Council</w:t>
      </w:r>
      <w:r w:rsidR="004B4039">
        <w:rPr>
          <w:rFonts w:eastAsia="Calibri" w:cstheme="minorHAnsi"/>
          <w:szCs w:val="32"/>
          <w:lang w:val="en-US"/>
        </w:rPr>
        <w:t xml:space="preserve">. </w:t>
      </w:r>
    </w:p>
    <w:p w14:paraId="506E7AD4" w14:textId="76489660" w:rsidR="00927292" w:rsidRPr="00607A43" w:rsidRDefault="00927292" w:rsidP="00927292">
      <w:pPr>
        <w:spacing w:after="0" w:line="240" w:lineRule="auto"/>
        <w:rPr>
          <w:rFonts w:eastAsia="Calibri" w:cstheme="minorHAnsi"/>
          <w:szCs w:val="32"/>
          <w:lang w:val="en-US"/>
        </w:rPr>
      </w:pPr>
    </w:p>
    <w:p w14:paraId="396AF161" w14:textId="02626E0C" w:rsidR="00927292" w:rsidRPr="00607A43" w:rsidRDefault="00A439CE" w:rsidP="00927292">
      <w:pPr>
        <w:spacing w:after="0" w:line="240" w:lineRule="auto"/>
        <w:rPr>
          <w:rFonts w:eastAsia="Calibri" w:cstheme="minorHAnsi"/>
          <w:szCs w:val="32"/>
          <w:lang w:val="en-US"/>
        </w:rPr>
      </w:pPr>
      <w:r w:rsidRPr="00607A43">
        <w:rPr>
          <w:rFonts w:eastAsia="Calibri" w:cstheme="minorHAnsi"/>
          <w:szCs w:val="32"/>
          <w:lang w:val="en-US"/>
        </w:rPr>
        <w:t>Date adopted:</w:t>
      </w:r>
      <w:r w:rsidR="00E7710D" w:rsidRPr="00607A43">
        <w:rPr>
          <w:rFonts w:eastAsia="Calibri" w:cstheme="minorHAnsi"/>
          <w:szCs w:val="32"/>
          <w:lang w:val="en-US"/>
        </w:rPr>
        <w:t xml:space="preserve"> </w:t>
      </w:r>
    </w:p>
    <w:p w14:paraId="56BAF253" w14:textId="42DB6A40" w:rsidR="00927292" w:rsidRPr="00607A43" w:rsidRDefault="00927292" w:rsidP="00927292">
      <w:pPr>
        <w:spacing w:after="0" w:line="240" w:lineRule="auto"/>
        <w:rPr>
          <w:rFonts w:eastAsia="Calibri" w:cstheme="minorHAnsi"/>
          <w:szCs w:val="32"/>
          <w:lang w:val="en-US"/>
        </w:rPr>
      </w:pPr>
      <w:r w:rsidRPr="00607A43">
        <w:rPr>
          <w:rFonts w:eastAsia="Calibri" w:cstheme="minorHAnsi"/>
          <w:szCs w:val="32"/>
          <w:lang w:val="en-US"/>
        </w:rPr>
        <w:t>Date last amended</w:t>
      </w:r>
      <w:r w:rsidR="00A439CE" w:rsidRPr="00607A43">
        <w:rPr>
          <w:rFonts w:eastAsia="Calibri" w:cstheme="minorHAnsi"/>
          <w:szCs w:val="32"/>
          <w:lang w:val="en-US"/>
        </w:rPr>
        <w:t>:</w:t>
      </w:r>
      <w:r w:rsidR="003E3D00">
        <w:rPr>
          <w:rFonts w:eastAsia="Calibri" w:cstheme="minorHAnsi"/>
          <w:szCs w:val="32"/>
          <w:lang w:val="en-US"/>
        </w:rPr>
        <w:t xml:space="preserve"> 19</w:t>
      </w:r>
      <w:r w:rsidR="00344BE3" w:rsidRPr="00344BE3">
        <w:rPr>
          <w:rFonts w:eastAsia="Calibri" w:cstheme="minorHAnsi"/>
          <w:szCs w:val="32"/>
          <w:vertAlign w:val="superscript"/>
          <w:lang w:val="en-US"/>
        </w:rPr>
        <w:t>th</w:t>
      </w:r>
      <w:r w:rsidR="00344BE3">
        <w:rPr>
          <w:rFonts w:eastAsia="Calibri" w:cstheme="minorHAnsi"/>
          <w:szCs w:val="32"/>
          <w:lang w:val="en-US"/>
        </w:rPr>
        <w:t xml:space="preserve"> </w:t>
      </w:r>
      <w:r w:rsidR="00B642C0">
        <w:rPr>
          <w:rFonts w:eastAsia="Calibri" w:cstheme="minorHAnsi"/>
          <w:szCs w:val="32"/>
          <w:lang w:val="en-US"/>
        </w:rPr>
        <w:t>November</w:t>
      </w:r>
      <w:r w:rsidR="00E7710D" w:rsidRPr="00607A43">
        <w:rPr>
          <w:rFonts w:eastAsia="Calibri" w:cstheme="minorHAnsi"/>
          <w:szCs w:val="32"/>
          <w:lang w:val="en-US"/>
        </w:rPr>
        <w:t xml:space="preserve"> 2019</w:t>
      </w:r>
    </w:p>
    <w:p w14:paraId="52B28073" w14:textId="63515A5E" w:rsidR="00947C00" w:rsidRPr="00607A43" w:rsidRDefault="00947C00" w:rsidP="00927292">
      <w:pPr>
        <w:spacing w:after="0" w:line="240" w:lineRule="auto"/>
        <w:rPr>
          <w:rFonts w:eastAsia="Calibri" w:cstheme="minorHAnsi"/>
          <w:szCs w:val="32"/>
          <w:lang w:val="en-US"/>
        </w:rPr>
      </w:pPr>
      <w:r w:rsidRPr="00607A43">
        <w:rPr>
          <w:rFonts w:eastAsia="Calibri" w:cstheme="minorHAnsi"/>
          <w:szCs w:val="32"/>
          <w:lang w:val="en-US"/>
        </w:rPr>
        <w:t xml:space="preserve">Review date: </w:t>
      </w:r>
      <w:r w:rsidRPr="00755DCA">
        <w:rPr>
          <w:rFonts w:eastAsia="Calibri" w:cstheme="minorHAnsi"/>
          <w:szCs w:val="32"/>
          <w:highlight w:val="yellow"/>
          <w:lang w:val="en-US"/>
        </w:rPr>
        <w:t>[within a specified timeframe, as required, or in response to changes]</w:t>
      </w:r>
    </w:p>
    <w:p w14:paraId="4304B2EC" w14:textId="5276E617" w:rsidR="00947C00" w:rsidRPr="00607A43" w:rsidRDefault="00947C00" w:rsidP="00927292">
      <w:pPr>
        <w:spacing w:after="0" w:line="240" w:lineRule="auto"/>
        <w:rPr>
          <w:rFonts w:eastAsia="Calibri" w:cstheme="minorHAnsi"/>
          <w:szCs w:val="32"/>
          <w:lang w:val="en-US"/>
        </w:rPr>
      </w:pPr>
      <w:r w:rsidRPr="00607A43">
        <w:rPr>
          <w:rFonts w:eastAsia="Calibri" w:cstheme="minorHAnsi"/>
          <w:szCs w:val="32"/>
          <w:lang w:val="en-US"/>
        </w:rPr>
        <w:t>Responsibility for review:</w:t>
      </w:r>
      <w:r w:rsidR="00E77EB3">
        <w:rPr>
          <w:rFonts w:eastAsia="Calibri" w:cstheme="minorHAnsi"/>
          <w:szCs w:val="32"/>
          <w:lang w:val="en-US"/>
        </w:rPr>
        <w:t xml:space="preserve"> Policy Officer in conjunction with National Policy Council</w:t>
      </w:r>
    </w:p>
    <w:p w14:paraId="5CEF3D0E" w14:textId="77777777" w:rsidR="00927292" w:rsidRPr="00140D1F" w:rsidRDefault="00927292" w:rsidP="00927292">
      <w:pPr>
        <w:spacing w:after="0" w:line="240" w:lineRule="auto"/>
        <w:rPr>
          <w:rFonts w:eastAsia="Calibri" w:cstheme="minorHAnsi"/>
          <w:sz w:val="24"/>
          <w:lang w:val="en-US"/>
        </w:rPr>
      </w:pPr>
    </w:p>
    <w:sdt>
      <w:sdtPr>
        <w:id w:val="2018584637"/>
        <w:docPartObj>
          <w:docPartGallery w:val="Table of Contents"/>
          <w:docPartUnique/>
        </w:docPartObj>
      </w:sdtPr>
      <w:sdtEndPr>
        <w:rPr>
          <w:rFonts w:cstheme="minorHAnsi"/>
          <w:b/>
          <w:bCs/>
          <w:noProof/>
        </w:rPr>
      </w:sdtEndPr>
      <w:sdtContent>
        <w:p w14:paraId="44F30527" w14:textId="77777777" w:rsidR="00445F62" w:rsidRDefault="005E4657">
          <w:pPr>
            <w:pStyle w:val="TOC1"/>
            <w:tabs>
              <w:tab w:val="right" w:leader="dot" w:pos="9016"/>
            </w:tabs>
          </w:pPr>
          <w:r w:rsidRPr="00140D1F">
            <w:t>Contents</w:t>
          </w:r>
        </w:p>
        <w:p w14:paraId="31D79977" w14:textId="1CCCD4FB" w:rsidR="00A34789" w:rsidRDefault="005E4657">
          <w:pPr>
            <w:pStyle w:val="TOC1"/>
            <w:tabs>
              <w:tab w:val="right" w:leader="dot" w:pos="9016"/>
            </w:tabs>
            <w:rPr>
              <w:rFonts w:asciiTheme="minorHAnsi" w:eastAsiaTheme="minorEastAsia" w:hAnsiTheme="minorHAnsi"/>
              <w:noProof/>
              <w:sz w:val="22"/>
              <w:lang w:eastAsia="en-AU"/>
            </w:rPr>
          </w:pPr>
          <w:r w:rsidRPr="00140D1F">
            <w:rPr>
              <w:rFonts w:asciiTheme="majorHAnsi" w:eastAsiaTheme="majorEastAsia" w:hAnsiTheme="majorHAnsi" w:cstheme="majorBidi"/>
              <w:color w:val="2F5496" w:themeColor="accent1" w:themeShade="BF"/>
              <w:szCs w:val="32"/>
              <w:lang w:val="en-US"/>
            </w:rPr>
            <w:fldChar w:fldCharType="begin"/>
          </w:r>
          <w:r w:rsidRPr="00140D1F">
            <w:instrText xml:space="preserve"> TOC \o "1-3" \h \z \u </w:instrText>
          </w:r>
          <w:r w:rsidRPr="00140D1F">
            <w:rPr>
              <w:rFonts w:asciiTheme="majorHAnsi" w:eastAsiaTheme="majorEastAsia" w:hAnsiTheme="majorHAnsi" w:cstheme="majorBidi"/>
              <w:color w:val="2F5496" w:themeColor="accent1" w:themeShade="BF"/>
              <w:szCs w:val="32"/>
              <w:lang w:val="en-US"/>
            </w:rPr>
            <w:fldChar w:fldCharType="separate"/>
          </w:r>
          <w:hyperlink w:anchor="_Toc25055870" w:history="1">
            <w:r w:rsidR="00A34789" w:rsidRPr="00B0342A">
              <w:rPr>
                <w:rStyle w:val="Hyperlink"/>
                <w:rFonts w:eastAsia="Calibri"/>
                <w:noProof/>
                <w:lang w:val="en-US"/>
              </w:rPr>
              <w:t>Healthcare Policy</w:t>
            </w:r>
            <w:r w:rsidR="00A34789">
              <w:rPr>
                <w:noProof/>
                <w:webHidden/>
              </w:rPr>
              <w:tab/>
            </w:r>
            <w:r w:rsidR="00A34789">
              <w:rPr>
                <w:noProof/>
                <w:webHidden/>
              </w:rPr>
              <w:fldChar w:fldCharType="begin"/>
            </w:r>
            <w:r w:rsidR="00A34789">
              <w:rPr>
                <w:noProof/>
                <w:webHidden/>
              </w:rPr>
              <w:instrText xml:space="preserve"> PAGEREF _Toc25055870 \h </w:instrText>
            </w:r>
            <w:r w:rsidR="00A34789">
              <w:rPr>
                <w:noProof/>
                <w:webHidden/>
              </w:rPr>
            </w:r>
            <w:r w:rsidR="00A34789">
              <w:rPr>
                <w:noProof/>
                <w:webHidden/>
              </w:rPr>
              <w:fldChar w:fldCharType="separate"/>
            </w:r>
            <w:r w:rsidR="00A34789">
              <w:rPr>
                <w:noProof/>
                <w:webHidden/>
              </w:rPr>
              <w:t>1</w:t>
            </w:r>
            <w:r w:rsidR="00A34789">
              <w:rPr>
                <w:noProof/>
                <w:webHidden/>
              </w:rPr>
              <w:fldChar w:fldCharType="end"/>
            </w:r>
          </w:hyperlink>
        </w:p>
        <w:p w14:paraId="37272FB1" w14:textId="1832A10B" w:rsidR="00A34789" w:rsidRDefault="00E27ACC">
          <w:pPr>
            <w:pStyle w:val="TOC2"/>
            <w:tabs>
              <w:tab w:val="right" w:leader="dot" w:pos="9016"/>
            </w:tabs>
            <w:rPr>
              <w:rFonts w:asciiTheme="minorHAnsi" w:eastAsiaTheme="minorEastAsia" w:hAnsiTheme="minorHAnsi"/>
              <w:noProof/>
              <w:sz w:val="22"/>
              <w:lang w:eastAsia="en-AU"/>
            </w:rPr>
          </w:pPr>
          <w:hyperlink w:anchor="_Toc25055871" w:history="1">
            <w:r w:rsidR="00A34789" w:rsidRPr="00B0342A">
              <w:rPr>
                <w:rStyle w:val="Hyperlink"/>
                <w:noProof/>
              </w:rPr>
              <w:t>About Blind Citizens Australia</w:t>
            </w:r>
            <w:r w:rsidR="00A34789">
              <w:rPr>
                <w:noProof/>
                <w:webHidden/>
              </w:rPr>
              <w:tab/>
            </w:r>
            <w:r w:rsidR="00A34789">
              <w:rPr>
                <w:noProof/>
                <w:webHidden/>
              </w:rPr>
              <w:fldChar w:fldCharType="begin"/>
            </w:r>
            <w:r w:rsidR="00A34789">
              <w:rPr>
                <w:noProof/>
                <w:webHidden/>
              </w:rPr>
              <w:instrText xml:space="preserve"> PAGEREF _Toc25055871 \h </w:instrText>
            </w:r>
            <w:r w:rsidR="00A34789">
              <w:rPr>
                <w:noProof/>
                <w:webHidden/>
              </w:rPr>
            </w:r>
            <w:r w:rsidR="00A34789">
              <w:rPr>
                <w:noProof/>
                <w:webHidden/>
              </w:rPr>
              <w:fldChar w:fldCharType="separate"/>
            </w:r>
            <w:r w:rsidR="00A34789">
              <w:rPr>
                <w:noProof/>
                <w:webHidden/>
              </w:rPr>
              <w:t>2</w:t>
            </w:r>
            <w:r w:rsidR="00A34789">
              <w:rPr>
                <w:noProof/>
                <w:webHidden/>
              </w:rPr>
              <w:fldChar w:fldCharType="end"/>
            </w:r>
          </w:hyperlink>
        </w:p>
        <w:p w14:paraId="755D5B62" w14:textId="66FA4F77" w:rsidR="00A34789" w:rsidRDefault="00E27ACC">
          <w:pPr>
            <w:pStyle w:val="TOC2"/>
            <w:tabs>
              <w:tab w:val="right" w:leader="dot" w:pos="9016"/>
            </w:tabs>
            <w:rPr>
              <w:rFonts w:asciiTheme="minorHAnsi" w:eastAsiaTheme="minorEastAsia" w:hAnsiTheme="minorHAnsi"/>
              <w:noProof/>
              <w:sz w:val="22"/>
              <w:lang w:eastAsia="en-AU"/>
            </w:rPr>
          </w:pPr>
          <w:hyperlink w:anchor="_Toc25055872" w:history="1">
            <w:r w:rsidR="00A34789" w:rsidRPr="00B0342A">
              <w:rPr>
                <w:rStyle w:val="Hyperlink"/>
                <w:noProof/>
              </w:rPr>
              <w:t>About Australians who are blind or vision impaired</w:t>
            </w:r>
            <w:r w:rsidR="00A34789">
              <w:rPr>
                <w:noProof/>
                <w:webHidden/>
              </w:rPr>
              <w:tab/>
            </w:r>
            <w:r w:rsidR="00A34789">
              <w:rPr>
                <w:noProof/>
                <w:webHidden/>
              </w:rPr>
              <w:fldChar w:fldCharType="begin"/>
            </w:r>
            <w:r w:rsidR="00A34789">
              <w:rPr>
                <w:noProof/>
                <w:webHidden/>
              </w:rPr>
              <w:instrText xml:space="preserve"> PAGEREF _Toc25055872 \h </w:instrText>
            </w:r>
            <w:r w:rsidR="00A34789">
              <w:rPr>
                <w:noProof/>
                <w:webHidden/>
              </w:rPr>
            </w:r>
            <w:r w:rsidR="00A34789">
              <w:rPr>
                <w:noProof/>
                <w:webHidden/>
              </w:rPr>
              <w:fldChar w:fldCharType="separate"/>
            </w:r>
            <w:r w:rsidR="00A34789">
              <w:rPr>
                <w:noProof/>
                <w:webHidden/>
              </w:rPr>
              <w:t>3</w:t>
            </w:r>
            <w:r w:rsidR="00A34789">
              <w:rPr>
                <w:noProof/>
                <w:webHidden/>
              </w:rPr>
              <w:fldChar w:fldCharType="end"/>
            </w:r>
          </w:hyperlink>
        </w:p>
        <w:p w14:paraId="1987C6C0" w14:textId="7B913CFD" w:rsidR="00A34789" w:rsidRDefault="00E27ACC">
          <w:pPr>
            <w:pStyle w:val="TOC1"/>
            <w:tabs>
              <w:tab w:val="right" w:leader="dot" w:pos="9016"/>
            </w:tabs>
            <w:rPr>
              <w:rFonts w:asciiTheme="minorHAnsi" w:eastAsiaTheme="minorEastAsia" w:hAnsiTheme="minorHAnsi"/>
              <w:noProof/>
              <w:sz w:val="22"/>
              <w:lang w:eastAsia="en-AU"/>
            </w:rPr>
          </w:pPr>
          <w:hyperlink w:anchor="_Toc25055873" w:history="1">
            <w:r w:rsidR="00A34789" w:rsidRPr="00B0342A">
              <w:rPr>
                <w:rStyle w:val="Hyperlink"/>
                <w:noProof/>
              </w:rPr>
              <w:t>1. Purpose of this policy</w:t>
            </w:r>
            <w:r w:rsidR="00A34789">
              <w:rPr>
                <w:noProof/>
                <w:webHidden/>
              </w:rPr>
              <w:tab/>
            </w:r>
            <w:r w:rsidR="00A34789">
              <w:rPr>
                <w:noProof/>
                <w:webHidden/>
              </w:rPr>
              <w:fldChar w:fldCharType="begin"/>
            </w:r>
            <w:r w:rsidR="00A34789">
              <w:rPr>
                <w:noProof/>
                <w:webHidden/>
              </w:rPr>
              <w:instrText xml:space="preserve"> PAGEREF _Toc25055873 \h </w:instrText>
            </w:r>
            <w:r w:rsidR="00A34789">
              <w:rPr>
                <w:noProof/>
                <w:webHidden/>
              </w:rPr>
            </w:r>
            <w:r w:rsidR="00A34789">
              <w:rPr>
                <w:noProof/>
                <w:webHidden/>
              </w:rPr>
              <w:fldChar w:fldCharType="separate"/>
            </w:r>
            <w:r w:rsidR="00A34789">
              <w:rPr>
                <w:noProof/>
                <w:webHidden/>
              </w:rPr>
              <w:t>3</w:t>
            </w:r>
            <w:r w:rsidR="00A34789">
              <w:rPr>
                <w:noProof/>
                <w:webHidden/>
              </w:rPr>
              <w:fldChar w:fldCharType="end"/>
            </w:r>
          </w:hyperlink>
        </w:p>
        <w:p w14:paraId="08E068E1" w14:textId="6C370DB6" w:rsidR="00A34789" w:rsidRDefault="00E27ACC">
          <w:pPr>
            <w:pStyle w:val="TOC1"/>
            <w:tabs>
              <w:tab w:val="right" w:leader="dot" w:pos="9016"/>
            </w:tabs>
            <w:rPr>
              <w:rFonts w:asciiTheme="minorHAnsi" w:eastAsiaTheme="minorEastAsia" w:hAnsiTheme="minorHAnsi"/>
              <w:noProof/>
              <w:sz w:val="22"/>
              <w:lang w:eastAsia="en-AU"/>
            </w:rPr>
          </w:pPr>
          <w:hyperlink w:anchor="_Toc25055874" w:history="1">
            <w:r w:rsidR="00A34789" w:rsidRPr="00B0342A">
              <w:rPr>
                <w:rStyle w:val="Hyperlink"/>
                <w:noProof/>
              </w:rPr>
              <w:t>2. How this policy should be used</w:t>
            </w:r>
            <w:r w:rsidR="00A34789">
              <w:rPr>
                <w:noProof/>
                <w:webHidden/>
              </w:rPr>
              <w:tab/>
            </w:r>
            <w:r w:rsidR="00A34789">
              <w:rPr>
                <w:noProof/>
                <w:webHidden/>
              </w:rPr>
              <w:fldChar w:fldCharType="begin"/>
            </w:r>
            <w:r w:rsidR="00A34789">
              <w:rPr>
                <w:noProof/>
                <w:webHidden/>
              </w:rPr>
              <w:instrText xml:space="preserve"> PAGEREF _Toc25055874 \h </w:instrText>
            </w:r>
            <w:r w:rsidR="00A34789">
              <w:rPr>
                <w:noProof/>
                <w:webHidden/>
              </w:rPr>
            </w:r>
            <w:r w:rsidR="00A34789">
              <w:rPr>
                <w:noProof/>
                <w:webHidden/>
              </w:rPr>
              <w:fldChar w:fldCharType="separate"/>
            </w:r>
            <w:r w:rsidR="00A34789">
              <w:rPr>
                <w:noProof/>
                <w:webHidden/>
              </w:rPr>
              <w:t>4</w:t>
            </w:r>
            <w:r w:rsidR="00A34789">
              <w:rPr>
                <w:noProof/>
                <w:webHidden/>
              </w:rPr>
              <w:fldChar w:fldCharType="end"/>
            </w:r>
          </w:hyperlink>
        </w:p>
        <w:p w14:paraId="24242AE6" w14:textId="0017298A" w:rsidR="00A34789" w:rsidRDefault="00E27ACC">
          <w:pPr>
            <w:pStyle w:val="TOC1"/>
            <w:tabs>
              <w:tab w:val="right" w:leader="dot" w:pos="9016"/>
            </w:tabs>
            <w:rPr>
              <w:rFonts w:asciiTheme="minorHAnsi" w:eastAsiaTheme="minorEastAsia" w:hAnsiTheme="minorHAnsi"/>
              <w:noProof/>
              <w:sz w:val="22"/>
              <w:lang w:eastAsia="en-AU"/>
            </w:rPr>
          </w:pPr>
          <w:hyperlink w:anchor="_Toc25055875" w:history="1">
            <w:r w:rsidR="00A34789" w:rsidRPr="00B0342A">
              <w:rPr>
                <w:rStyle w:val="Hyperlink"/>
                <w:rFonts w:eastAsia="Calibri"/>
                <w:noProof/>
                <w:lang w:val="en-US"/>
              </w:rPr>
              <w:t>3. Policy Context</w:t>
            </w:r>
            <w:r w:rsidR="00A34789">
              <w:rPr>
                <w:noProof/>
                <w:webHidden/>
              </w:rPr>
              <w:tab/>
            </w:r>
            <w:r w:rsidR="00A34789">
              <w:rPr>
                <w:noProof/>
                <w:webHidden/>
              </w:rPr>
              <w:fldChar w:fldCharType="begin"/>
            </w:r>
            <w:r w:rsidR="00A34789">
              <w:rPr>
                <w:noProof/>
                <w:webHidden/>
              </w:rPr>
              <w:instrText xml:space="preserve"> PAGEREF _Toc25055875 \h </w:instrText>
            </w:r>
            <w:r w:rsidR="00A34789">
              <w:rPr>
                <w:noProof/>
                <w:webHidden/>
              </w:rPr>
            </w:r>
            <w:r w:rsidR="00A34789">
              <w:rPr>
                <w:noProof/>
                <w:webHidden/>
              </w:rPr>
              <w:fldChar w:fldCharType="separate"/>
            </w:r>
            <w:r w:rsidR="00A34789">
              <w:rPr>
                <w:noProof/>
                <w:webHidden/>
              </w:rPr>
              <w:t>5</w:t>
            </w:r>
            <w:r w:rsidR="00A34789">
              <w:rPr>
                <w:noProof/>
                <w:webHidden/>
              </w:rPr>
              <w:fldChar w:fldCharType="end"/>
            </w:r>
          </w:hyperlink>
        </w:p>
        <w:p w14:paraId="1A8E8503" w14:textId="14D1EB36" w:rsidR="00A34789" w:rsidRDefault="00E27ACC">
          <w:pPr>
            <w:pStyle w:val="TOC1"/>
            <w:tabs>
              <w:tab w:val="right" w:leader="dot" w:pos="9016"/>
            </w:tabs>
            <w:rPr>
              <w:rFonts w:asciiTheme="minorHAnsi" w:eastAsiaTheme="minorEastAsia" w:hAnsiTheme="minorHAnsi"/>
              <w:noProof/>
              <w:sz w:val="22"/>
              <w:lang w:eastAsia="en-AU"/>
            </w:rPr>
          </w:pPr>
          <w:hyperlink w:anchor="_Toc25055876" w:history="1">
            <w:r w:rsidR="00A34789" w:rsidRPr="00B0342A">
              <w:rPr>
                <w:rStyle w:val="Hyperlink"/>
                <w:noProof/>
              </w:rPr>
              <w:t>4. Policy Statement</w:t>
            </w:r>
            <w:r w:rsidR="00A34789">
              <w:rPr>
                <w:noProof/>
                <w:webHidden/>
              </w:rPr>
              <w:tab/>
            </w:r>
            <w:r w:rsidR="00A34789">
              <w:rPr>
                <w:noProof/>
                <w:webHidden/>
              </w:rPr>
              <w:fldChar w:fldCharType="begin"/>
            </w:r>
            <w:r w:rsidR="00A34789">
              <w:rPr>
                <w:noProof/>
                <w:webHidden/>
              </w:rPr>
              <w:instrText xml:space="preserve"> PAGEREF _Toc25055876 \h </w:instrText>
            </w:r>
            <w:r w:rsidR="00A34789">
              <w:rPr>
                <w:noProof/>
                <w:webHidden/>
              </w:rPr>
            </w:r>
            <w:r w:rsidR="00A34789">
              <w:rPr>
                <w:noProof/>
                <w:webHidden/>
              </w:rPr>
              <w:fldChar w:fldCharType="separate"/>
            </w:r>
            <w:r w:rsidR="00A34789">
              <w:rPr>
                <w:noProof/>
                <w:webHidden/>
              </w:rPr>
              <w:t>5</w:t>
            </w:r>
            <w:r w:rsidR="00A34789">
              <w:rPr>
                <w:noProof/>
                <w:webHidden/>
              </w:rPr>
              <w:fldChar w:fldCharType="end"/>
            </w:r>
          </w:hyperlink>
        </w:p>
        <w:p w14:paraId="68917431" w14:textId="0C96A6CA" w:rsidR="00A34789" w:rsidRDefault="00E27ACC">
          <w:pPr>
            <w:pStyle w:val="TOC2"/>
            <w:tabs>
              <w:tab w:val="right" w:leader="dot" w:pos="9016"/>
            </w:tabs>
            <w:rPr>
              <w:rFonts w:asciiTheme="minorHAnsi" w:eastAsiaTheme="minorEastAsia" w:hAnsiTheme="minorHAnsi"/>
              <w:noProof/>
              <w:sz w:val="22"/>
              <w:lang w:eastAsia="en-AU"/>
            </w:rPr>
          </w:pPr>
          <w:hyperlink w:anchor="_Toc25055877" w:history="1">
            <w:r w:rsidR="00A34789" w:rsidRPr="00B0342A">
              <w:rPr>
                <w:rStyle w:val="Hyperlink"/>
                <w:noProof/>
              </w:rPr>
              <w:t>4.1 Respect</w:t>
            </w:r>
            <w:r w:rsidR="00A34789">
              <w:rPr>
                <w:noProof/>
                <w:webHidden/>
              </w:rPr>
              <w:tab/>
            </w:r>
            <w:r w:rsidR="00A34789">
              <w:rPr>
                <w:noProof/>
                <w:webHidden/>
              </w:rPr>
              <w:fldChar w:fldCharType="begin"/>
            </w:r>
            <w:r w:rsidR="00A34789">
              <w:rPr>
                <w:noProof/>
                <w:webHidden/>
              </w:rPr>
              <w:instrText xml:space="preserve"> PAGEREF _Toc25055877 \h </w:instrText>
            </w:r>
            <w:r w:rsidR="00A34789">
              <w:rPr>
                <w:noProof/>
                <w:webHidden/>
              </w:rPr>
            </w:r>
            <w:r w:rsidR="00A34789">
              <w:rPr>
                <w:noProof/>
                <w:webHidden/>
              </w:rPr>
              <w:fldChar w:fldCharType="separate"/>
            </w:r>
            <w:r w:rsidR="00A34789">
              <w:rPr>
                <w:noProof/>
                <w:webHidden/>
              </w:rPr>
              <w:t>5</w:t>
            </w:r>
            <w:r w:rsidR="00A34789">
              <w:rPr>
                <w:noProof/>
                <w:webHidden/>
              </w:rPr>
              <w:fldChar w:fldCharType="end"/>
            </w:r>
          </w:hyperlink>
        </w:p>
        <w:p w14:paraId="2F236D2B" w14:textId="4FCB2333" w:rsidR="00A34789" w:rsidRDefault="00E27ACC">
          <w:pPr>
            <w:pStyle w:val="TOC2"/>
            <w:tabs>
              <w:tab w:val="right" w:leader="dot" w:pos="9016"/>
            </w:tabs>
            <w:rPr>
              <w:rFonts w:asciiTheme="minorHAnsi" w:eastAsiaTheme="minorEastAsia" w:hAnsiTheme="minorHAnsi"/>
              <w:noProof/>
              <w:sz w:val="22"/>
              <w:lang w:eastAsia="en-AU"/>
            </w:rPr>
          </w:pPr>
          <w:hyperlink w:anchor="_Toc25055878" w:history="1">
            <w:r w:rsidR="00A34789" w:rsidRPr="00B0342A">
              <w:rPr>
                <w:rStyle w:val="Hyperlink"/>
                <w:noProof/>
              </w:rPr>
              <w:t>4.2 Access</w:t>
            </w:r>
            <w:r w:rsidR="00A34789">
              <w:rPr>
                <w:noProof/>
                <w:webHidden/>
              </w:rPr>
              <w:tab/>
            </w:r>
            <w:r w:rsidR="00A34789">
              <w:rPr>
                <w:noProof/>
                <w:webHidden/>
              </w:rPr>
              <w:fldChar w:fldCharType="begin"/>
            </w:r>
            <w:r w:rsidR="00A34789">
              <w:rPr>
                <w:noProof/>
                <w:webHidden/>
              </w:rPr>
              <w:instrText xml:space="preserve"> PAGEREF _Toc25055878 \h </w:instrText>
            </w:r>
            <w:r w:rsidR="00A34789">
              <w:rPr>
                <w:noProof/>
                <w:webHidden/>
              </w:rPr>
            </w:r>
            <w:r w:rsidR="00A34789">
              <w:rPr>
                <w:noProof/>
                <w:webHidden/>
              </w:rPr>
              <w:fldChar w:fldCharType="separate"/>
            </w:r>
            <w:r w:rsidR="00A34789">
              <w:rPr>
                <w:noProof/>
                <w:webHidden/>
              </w:rPr>
              <w:t>7</w:t>
            </w:r>
            <w:r w:rsidR="00A34789">
              <w:rPr>
                <w:noProof/>
                <w:webHidden/>
              </w:rPr>
              <w:fldChar w:fldCharType="end"/>
            </w:r>
          </w:hyperlink>
        </w:p>
        <w:p w14:paraId="7D1FDDA3" w14:textId="126774E1" w:rsidR="00A34789" w:rsidRDefault="00E27ACC">
          <w:pPr>
            <w:pStyle w:val="TOC2"/>
            <w:tabs>
              <w:tab w:val="right" w:leader="dot" w:pos="9016"/>
            </w:tabs>
            <w:rPr>
              <w:rFonts w:asciiTheme="minorHAnsi" w:eastAsiaTheme="minorEastAsia" w:hAnsiTheme="minorHAnsi"/>
              <w:noProof/>
              <w:sz w:val="22"/>
              <w:lang w:eastAsia="en-AU"/>
            </w:rPr>
          </w:pPr>
          <w:hyperlink w:anchor="_Toc25055879" w:history="1">
            <w:r w:rsidR="00A34789" w:rsidRPr="00B0342A">
              <w:rPr>
                <w:rStyle w:val="Hyperlink"/>
                <w:noProof/>
              </w:rPr>
              <w:t>4.3 Safety</w:t>
            </w:r>
            <w:r w:rsidR="00A34789">
              <w:rPr>
                <w:noProof/>
                <w:webHidden/>
              </w:rPr>
              <w:tab/>
            </w:r>
            <w:r w:rsidR="00A34789">
              <w:rPr>
                <w:noProof/>
                <w:webHidden/>
              </w:rPr>
              <w:fldChar w:fldCharType="begin"/>
            </w:r>
            <w:r w:rsidR="00A34789">
              <w:rPr>
                <w:noProof/>
                <w:webHidden/>
              </w:rPr>
              <w:instrText xml:space="preserve"> PAGEREF _Toc25055879 \h </w:instrText>
            </w:r>
            <w:r w:rsidR="00A34789">
              <w:rPr>
                <w:noProof/>
                <w:webHidden/>
              </w:rPr>
            </w:r>
            <w:r w:rsidR="00A34789">
              <w:rPr>
                <w:noProof/>
                <w:webHidden/>
              </w:rPr>
              <w:fldChar w:fldCharType="separate"/>
            </w:r>
            <w:r w:rsidR="00A34789">
              <w:rPr>
                <w:noProof/>
                <w:webHidden/>
              </w:rPr>
              <w:t>8</w:t>
            </w:r>
            <w:r w:rsidR="00A34789">
              <w:rPr>
                <w:noProof/>
                <w:webHidden/>
              </w:rPr>
              <w:fldChar w:fldCharType="end"/>
            </w:r>
          </w:hyperlink>
        </w:p>
        <w:p w14:paraId="4A86C04F" w14:textId="2F4B9969" w:rsidR="00A34789" w:rsidRDefault="00E27ACC">
          <w:pPr>
            <w:pStyle w:val="TOC2"/>
            <w:tabs>
              <w:tab w:val="right" w:leader="dot" w:pos="9016"/>
            </w:tabs>
            <w:rPr>
              <w:rFonts w:asciiTheme="minorHAnsi" w:eastAsiaTheme="minorEastAsia" w:hAnsiTheme="minorHAnsi"/>
              <w:noProof/>
              <w:sz w:val="22"/>
              <w:lang w:eastAsia="en-AU"/>
            </w:rPr>
          </w:pPr>
          <w:hyperlink w:anchor="_Toc25055880" w:history="1">
            <w:r w:rsidR="00A34789" w:rsidRPr="00B0342A">
              <w:rPr>
                <w:rStyle w:val="Hyperlink"/>
                <w:noProof/>
              </w:rPr>
              <w:t>4.4 Partnership</w:t>
            </w:r>
            <w:r w:rsidR="00A34789">
              <w:rPr>
                <w:noProof/>
                <w:webHidden/>
              </w:rPr>
              <w:tab/>
            </w:r>
            <w:r w:rsidR="00A34789">
              <w:rPr>
                <w:noProof/>
                <w:webHidden/>
              </w:rPr>
              <w:fldChar w:fldCharType="begin"/>
            </w:r>
            <w:r w:rsidR="00A34789">
              <w:rPr>
                <w:noProof/>
                <w:webHidden/>
              </w:rPr>
              <w:instrText xml:space="preserve"> PAGEREF _Toc25055880 \h </w:instrText>
            </w:r>
            <w:r w:rsidR="00A34789">
              <w:rPr>
                <w:noProof/>
                <w:webHidden/>
              </w:rPr>
            </w:r>
            <w:r w:rsidR="00A34789">
              <w:rPr>
                <w:noProof/>
                <w:webHidden/>
              </w:rPr>
              <w:fldChar w:fldCharType="separate"/>
            </w:r>
            <w:r w:rsidR="00A34789">
              <w:rPr>
                <w:noProof/>
                <w:webHidden/>
              </w:rPr>
              <w:t>8</w:t>
            </w:r>
            <w:r w:rsidR="00A34789">
              <w:rPr>
                <w:noProof/>
                <w:webHidden/>
              </w:rPr>
              <w:fldChar w:fldCharType="end"/>
            </w:r>
          </w:hyperlink>
        </w:p>
        <w:p w14:paraId="2E8C678C" w14:textId="17134EF2" w:rsidR="00A34789" w:rsidRDefault="00E27ACC">
          <w:pPr>
            <w:pStyle w:val="TOC2"/>
            <w:tabs>
              <w:tab w:val="right" w:leader="dot" w:pos="9016"/>
            </w:tabs>
            <w:rPr>
              <w:rFonts w:asciiTheme="minorHAnsi" w:eastAsiaTheme="minorEastAsia" w:hAnsiTheme="minorHAnsi"/>
              <w:noProof/>
              <w:sz w:val="22"/>
              <w:lang w:eastAsia="en-AU"/>
            </w:rPr>
          </w:pPr>
          <w:hyperlink w:anchor="_Toc25055881" w:history="1">
            <w:r w:rsidR="00A34789" w:rsidRPr="00B0342A">
              <w:rPr>
                <w:rStyle w:val="Hyperlink"/>
                <w:noProof/>
              </w:rPr>
              <w:t>4.5 Information</w:t>
            </w:r>
            <w:r w:rsidR="00A34789">
              <w:rPr>
                <w:noProof/>
                <w:webHidden/>
              </w:rPr>
              <w:tab/>
            </w:r>
            <w:r w:rsidR="00A34789">
              <w:rPr>
                <w:noProof/>
                <w:webHidden/>
              </w:rPr>
              <w:fldChar w:fldCharType="begin"/>
            </w:r>
            <w:r w:rsidR="00A34789">
              <w:rPr>
                <w:noProof/>
                <w:webHidden/>
              </w:rPr>
              <w:instrText xml:space="preserve"> PAGEREF _Toc25055881 \h </w:instrText>
            </w:r>
            <w:r w:rsidR="00A34789">
              <w:rPr>
                <w:noProof/>
                <w:webHidden/>
              </w:rPr>
            </w:r>
            <w:r w:rsidR="00A34789">
              <w:rPr>
                <w:noProof/>
                <w:webHidden/>
              </w:rPr>
              <w:fldChar w:fldCharType="separate"/>
            </w:r>
            <w:r w:rsidR="00A34789">
              <w:rPr>
                <w:noProof/>
                <w:webHidden/>
              </w:rPr>
              <w:t>9</w:t>
            </w:r>
            <w:r w:rsidR="00A34789">
              <w:rPr>
                <w:noProof/>
                <w:webHidden/>
              </w:rPr>
              <w:fldChar w:fldCharType="end"/>
            </w:r>
          </w:hyperlink>
        </w:p>
        <w:p w14:paraId="5B6D3F53" w14:textId="603B2BFE" w:rsidR="00A34789" w:rsidRDefault="00E27ACC">
          <w:pPr>
            <w:pStyle w:val="TOC2"/>
            <w:tabs>
              <w:tab w:val="right" w:leader="dot" w:pos="9016"/>
            </w:tabs>
            <w:rPr>
              <w:rFonts w:asciiTheme="minorHAnsi" w:eastAsiaTheme="minorEastAsia" w:hAnsiTheme="minorHAnsi"/>
              <w:noProof/>
              <w:sz w:val="22"/>
              <w:lang w:eastAsia="en-AU"/>
            </w:rPr>
          </w:pPr>
          <w:hyperlink w:anchor="_Toc25055882" w:history="1">
            <w:r w:rsidR="00A34789" w:rsidRPr="00B0342A">
              <w:rPr>
                <w:rStyle w:val="Hyperlink"/>
                <w:noProof/>
              </w:rPr>
              <w:t>4.6 Give Feedback</w:t>
            </w:r>
            <w:r w:rsidR="00A34789">
              <w:rPr>
                <w:noProof/>
                <w:webHidden/>
              </w:rPr>
              <w:tab/>
            </w:r>
            <w:r w:rsidR="00A34789">
              <w:rPr>
                <w:noProof/>
                <w:webHidden/>
              </w:rPr>
              <w:fldChar w:fldCharType="begin"/>
            </w:r>
            <w:r w:rsidR="00A34789">
              <w:rPr>
                <w:noProof/>
                <w:webHidden/>
              </w:rPr>
              <w:instrText xml:space="preserve"> PAGEREF _Toc25055882 \h </w:instrText>
            </w:r>
            <w:r w:rsidR="00A34789">
              <w:rPr>
                <w:noProof/>
                <w:webHidden/>
              </w:rPr>
            </w:r>
            <w:r w:rsidR="00A34789">
              <w:rPr>
                <w:noProof/>
                <w:webHidden/>
              </w:rPr>
              <w:fldChar w:fldCharType="separate"/>
            </w:r>
            <w:r w:rsidR="00A34789">
              <w:rPr>
                <w:noProof/>
                <w:webHidden/>
              </w:rPr>
              <w:t>10</w:t>
            </w:r>
            <w:r w:rsidR="00A34789">
              <w:rPr>
                <w:noProof/>
                <w:webHidden/>
              </w:rPr>
              <w:fldChar w:fldCharType="end"/>
            </w:r>
          </w:hyperlink>
        </w:p>
        <w:p w14:paraId="09232859" w14:textId="791F405D" w:rsidR="00A34789" w:rsidRDefault="00E27ACC">
          <w:pPr>
            <w:pStyle w:val="TOC2"/>
            <w:tabs>
              <w:tab w:val="right" w:leader="dot" w:pos="9016"/>
            </w:tabs>
            <w:rPr>
              <w:rFonts w:asciiTheme="minorHAnsi" w:eastAsiaTheme="minorEastAsia" w:hAnsiTheme="minorHAnsi"/>
              <w:noProof/>
              <w:sz w:val="22"/>
              <w:lang w:eastAsia="en-AU"/>
            </w:rPr>
          </w:pPr>
          <w:hyperlink w:anchor="_Toc25055883" w:history="1">
            <w:r w:rsidR="00A34789" w:rsidRPr="00B0342A">
              <w:rPr>
                <w:rStyle w:val="Hyperlink"/>
                <w:noProof/>
              </w:rPr>
              <w:t>4.7 Privacy</w:t>
            </w:r>
            <w:r w:rsidR="00A34789">
              <w:rPr>
                <w:noProof/>
                <w:webHidden/>
              </w:rPr>
              <w:tab/>
            </w:r>
            <w:r w:rsidR="00A34789">
              <w:rPr>
                <w:noProof/>
                <w:webHidden/>
              </w:rPr>
              <w:fldChar w:fldCharType="begin"/>
            </w:r>
            <w:r w:rsidR="00A34789">
              <w:rPr>
                <w:noProof/>
                <w:webHidden/>
              </w:rPr>
              <w:instrText xml:space="preserve"> PAGEREF _Toc25055883 \h </w:instrText>
            </w:r>
            <w:r w:rsidR="00A34789">
              <w:rPr>
                <w:noProof/>
                <w:webHidden/>
              </w:rPr>
            </w:r>
            <w:r w:rsidR="00A34789">
              <w:rPr>
                <w:noProof/>
                <w:webHidden/>
              </w:rPr>
              <w:fldChar w:fldCharType="separate"/>
            </w:r>
            <w:r w:rsidR="00A34789">
              <w:rPr>
                <w:noProof/>
                <w:webHidden/>
              </w:rPr>
              <w:t>11</w:t>
            </w:r>
            <w:r w:rsidR="00A34789">
              <w:rPr>
                <w:noProof/>
                <w:webHidden/>
              </w:rPr>
              <w:fldChar w:fldCharType="end"/>
            </w:r>
          </w:hyperlink>
        </w:p>
        <w:p w14:paraId="24CFA5F7" w14:textId="03E7501D" w:rsidR="00A34789" w:rsidRDefault="00E27ACC">
          <w:pPr>
            <w:pStyle w:val="TOC1"/>
            <w:tabs>
              <w:tab w:val="right" w:leader="dot" w:pos="9016"/>
            </w:tabs>
            <w:rPr>
              <w:rFonts w:asciiTheme="minorHAnsi" w:eastAsiaTheme="minorEastAsia" w:hAnsiTheme="minorHAnsi"/>
              <w:noProof/>
              <w:sz w:val="22"/>
              <w:lang w:eastAsia="en-AU"/>
            </w:rPr>
          </w:pPr>
          <w:hyperlink w:anchor="_Toc25055884" w:history="1">
            <w:r w:rsidR="00A34789" w:rsidRPr="00B0342A">
              <w:rPr>
                <w:rStyle w:val="Hyperlink"/>
                <w:noProof/>
              </w:rPr>
              <w:t>5. Other relevant research</w:t>
            </w:r>
            <w:r w:rsidR="00A34789">
              <w:rPr>
                <w:noProof/>
                <w:webHidden/>
              </w:rPr>
              <w:tab/>
            </w:r>
            <w:r w:rsidR="00A34789">
              <w:rPr>
                <w:noProof/>
                <w:webHidden/>
              </w:rPr>
              <w:fldChar w:fldCharType="begin"/>
            </w:r>
            <w:r w:rsidR="00A34789">
              <w:rPr>
                <w:noProof/>
                <w:webHidden/>
              </w:rPr>
              <w:instrText xml:space="preserve"> PAGEREF _Toc25055884 \h </w:instrText>
            </w:r>
            <w:r w:rsidR="00A34789">
              <w:rPr>
                <w:noProof/>
                <w:webHidden/>
              </w:rPr>
            </w:r>
            <w:r w:rsidR="00A34789">
              <w:rPr>
                <w:noProof/>
                <w:webHidden/>
              </w:rPr>
              <w:fldChar w:fldCharType="separate"/>
            </w:r>
            <w:r w:rsidR="00A34789">
              <w:rPr>
                <w:noProof/>
                <w:webHidden/>
              </w:rPr>
              <w:t>12</w:t>
            </w:r>
            <w:r w:rsidR="00A34789">
              <w:rPr>
                <w:noProof/>
                <w:webHidden/>
              </w:rPr>
              <w:fldChar w:fldCharType="end"/>
            </w:r>
          </w:hyperlink>
        </w:p>
        <w:p w14:paraId="4D1EC115" w14:textId="5ACF3831" w:rsidR="00A34789" w:rsidRDefault="00E27ACC">
          <w:pPr>
            <w:pStyle w:val="TOC1"/>
            <w:tabs>
              <w:tab w:val="right" w:leader="dot" w:pos="9016"/>
            </w:tabs>
            <w:rPr>
              <w:rFonts w:asciiTheme="minorHAnsi" w:eastAsiaTheme="minorEastAsia" w:hAnsiTheme="minorHAnsi"/>
              <w:noProof/>
              <w:sz w:val="22"/>
              <w:lang w:eastAsia="en-AU"/>
            </w:rPr>
          </w:pPr>
          <w:hyperlink w:anchor="_Toc25055885" w:history="1">
            <w:r w:rsidR="00A34789" w:rsidRPr="00B0342A">
              <w:rPr>
                <w:rStyle w:val="Hyperlink"/>
                <w:noProof/>
              </w:rPr>
              <w:t>6. Glossary of key terms</w:t>
            </w:r>
            <w:r w:rsidR="00A34789">
              <w:rPr>
                <w:noProof/>
                <w:webHidden/>
              </w:rPr>
              <w:tab/>
            </w:r>
            <w:r w:rsidR="00A34789">
              <w:rPr>
                <w:noProof/>
                <w:webHidden/>
              </w:rPr>
              <w:fldChar w:fldCharType="begin"/>
            </w:r>
            <w:r w:rsidR="00A34789">
              <w:rPr>
                <w:noProof/>
                <w:webHidden/>
              </w:rPr>
              <w:instrText xml:space="preserve"> PAGEREF _Toc25055885 \h </w:instrText>
            </w:r>
            <w:r w:rsidR="00A34789">
              <w:rPr>
                <w:noProof/>
                <w:webHidden/>
              </w:rPr>
            </w:r>
            <w:r w:rsidR="00A34789">
              <w:rPr>
                <w:noProof/>
                <w:webHidden/>
              </w:rPr>
              <w:fldChar w:fldCharType="separate"/>
            </w:r>
            <w:r w:rsidR="00A34789">
              <w:rPr>
                <w:noProof/>
                <w:webHidden/>
              </w:rPr>
              <w:t>12</w:t>
            </w:r>
            <w:r w:rsidR="00A34789">
              <w:rPr>
                <w:noProof/>
                <w:webHidden/>
              </w:rPr>
              <w:fldChar w:fldCharType="end"/>
            </w:r>
          </w:hyperlink>
        </w:p>
        <w:p w14:paraId="6106394C" w14:textId="790E3A18" w:rsidR="00927292" w:rsidRPr="00140D1F" w:rsidRDefault="005E4657" w:rsidP="005E4657">
          <w:pPr>
            <w:rPr>
              <w:rFonts w:cstheme="minorHAnsi"/>
            </w:rPr>
          </w:pPr>
          <w:r w:rsidRPr="00140D1F">
            <w:rPr>
              <w:rFonts w:cstheme="minorHAnsi"/>
              <w:b/>
              <w:bCs/>
              <w:noProof/>
            </w:rPr>
            <w:fldChar w:fldCharType="end"/>
          </w:r>
        </w:p>
      </w:sdtContent>
    </w:sdt>
    <w:p w14:paraId="46D0F213" w14:textId="77777777" w:rsidR="00927292" w:rsidRPr="00AB2125" w:rsidRDefault="00927292" w:rsidP="00AB2125">
      <w:pPr>
        <w:pStyle w:val="Heading2"/>
      </w:pPr>
      <w:bookmarkStart w:id="1" w:name="_Toc25055871"/>
      <w:r w:rsidRPr="00AB2125">
        <w:t>About Blind Citizens Australia</w:t>
      </w:r>
      <w:bookmarkEnd w:id="1"/>
    </w:p>
    <w:p w14:paraId="2E4EBEB7" w14:textId="29261A02" w:rsidR="00927292" w:rsidRPr="00AB2125" w:rsidRDefault="00927292" w:rsidP="00927292">
      <w:pPr>
        <w:spacing w:after="0" w:line="240" w:lineRule="auto"/>
        <w:rPr>
          <w:rFonts w:eastAsia="Calibri" w:cstheme="minorHAnsi"/>
          <w:lang w:val="en-US"/>
        </w:rPr>
      </w:pPr>
      <w:r w:rsidRPr="00AB2125">
        <w:rPr>
          <w:rFonts w:eastAsia="Calibri" w:cstheme="minorHAnsi"/>
          <w:lang w:val="en-US"/>
        </w:rPr>
        <w:t xml:space="preserve">Blind Citizens Australia is the peak national representative organisation of and for Australians who are blind or vision impaired. Our mission is to achieve equity and equality by our empowerment, by promoting positive community attitudes and by striving for high quality and accessible services which meet our needs. </w:t>
      </w:r>
    </w:p>
    <w:p w14:paraId="1DF73ED6" w14:textId="77777777" w:rsidR="00927292" w:rsidRPr="00AB2125" w:rsidRDefault="00927292" w:rsidP="00927292">
      <w:pPr>
        <w:spacing w:after="0" w:line="240" w:lineRule="auto"/>
        <w:rPr>
          <w:rFonts w:eastAsia="Calibri" w:cstheme="minorHAnsi"/>
          <w:lang w:val="en-US"/>
        </w:rPr>
      </w:pPr>
    </w:p>
    <w:p w14:paraId="31324EBE" w14:textId="77777777" w:rsidR="00927292" w:rsidRPr="00AB2125" w:rsidRDefault="00927292" w:rsidP="00927292">
      <w:pPr>
        <w:spacing w:after="0" w:line="240" w:lineRule="auto"/>
        <w:rPr>
          <w:rFonts w:eastAsia="Calibri" w:cstheme="minorHAnsi"/>
          <w:lang w:val="en-US"/>
        </w:rPr>
      </w:pPr>
      <w:r w:rsidRPr="00AB2125">
        <w:rPr>
          <w:rFonts w:eastAsia="Calibri" w:cstheme="minorHAnsi"/>
          <w:lang w:val="en-US"/>
        </w:rPr>
        <w:t xml:space="preserve">We provide </w:t>
      </w:r>
      <w:r w:rsidRPr="00B279AB">
        <w:t xml:space="preserve">peer </w:t>
      </w:r>
      <w:r w:rsidRPr="00AB2125">
        <w:rPr>
          <w:rFonts w:eastAsia="Calibri" w:cstheme="minorHAnsi"/>
          <w:lang w:val="en-US"/>
        </w:rPr>
        <w:t xml:space="preserve">support and individual advocacy to people who are blind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72038EEF" w14:textId="77777777" w:rsidR="00927292" w:rsidRPr="00AB2125" w:rsidRDefault="00927292" w:rsidP="00927292">
      <w:pPr>
        <w:spacing w:after="0" w:line="240" w:lineRule="auto"/>
        <w:rPr>
          <w:rFonts w:eastAsia="Calibri" w:cstheme="minorHAnsi"/>
          <w:lang w:val="en-US"/>
        </w:rPr>
      </w:pPr>
    </w:p>
    <w:p w14:paraId="0D8F64B5" w14:textId="1186E161" w:rsidR="00927292" w:rsidRPr="00AB2125" w:rsidRDefault="00927292" w:rsidP="00B279AB">
      <w:pPr>
        <w:rPr>
          <w:rFonts w:eastAsia="Calibri" w:cstheme="minorHAnsi"/>
          <w:lang w:val="en-US"/>
        </w:rPr>
      </w:pPr>
      <w:r w:rsidRPr="00AB2125">
        <w:rPr>
          <w:rFonts w:eastAsia="Calibri" w:cstheme="minorHAnsi"/>
          <w:lang w:val="en-US"/>
        </w:rPr>
        <w:t xml:space="preserve">As </w:t>
      </w:r>
      <w:r w:rsidR="00EB1A6D" w:rsidRPr="00AB2125">
        <w:rPr>
          <w:rFonts w:eastAsia="Calibri" w:cstheme="minorHAnsi"/>
          <w:lang w:val="en-US"/>
        </w:rPr>
        <w:t>a consumer-based organisation, o</w:t>
      </w:r>
      <w:r w:rsidRPr="00AB2125">
        <w:rPr>
          <w:rFonts w:eastAsia="Calibri" w:cstheme="minorHAnsi"/>
          <w:lang w:val="en-US"/>
        </w:rPr>
        <w:t>ur work is directly informed by lived experience of blindness and vision impairment. Our members, our Directors and the majority of our staff are blind or vision impaired.</w:t>
      </w:r>
    </w:p>
    <w:p w14:paraId="21B82237" w14:textId="3BBE7B4C" w:rsidR="00E64A07" w:rsidRPr="00140D1F" w:rsidRDefault="00E64A07" w:rsidP="00FC5DAF">
      <w:pPr>
        <w:spacing w:after="0" w:line="240" w:lineRule="auto"/>
        <w:rPr>
          <w:rFonts w:eastAsia="Calibri" w:cstheme="minorHAnsi"/>
          <w:sz w:val="24"/>
          <w:lang w:val="en-US"/>
        </w:rPr>
      </w:pPr>
    </w:p>
    <w:p w14:paraId="1F1CCE28" w14:textId="77777777" w:rsidR="00FC5DAF" w:rsidRPr="00140D1F" w:rsidRDefault="00FC5DAF" w:rsidP="00AB2125">
      <w:pPr>
        <w:pStyle w:val="Heading2"/>
      </w:pPr>
      <w:bookmarkStart w:id="2" w:name="_Toc25055872"/>
      <w:r w:rsidRPr="00140D1F">
        <w:t>About Australians who are blind or vision impaired</w:t>
      </w:r>
      <w:bookmarkEnd w:id="2"/>
    </w:p>
    <w:p w14:paraId="196D4929" w14:textId="2886AEC7" w:rsidR="00CA3A1A" w:rsidRPr="00AB2125" w:rsidRDefault="00927292" w:rsidP="00927292">
      <w:pPr>
        <w:spacing w:after="0" w:line="240" w:lineRule="auto"/>
        <w:rPr>
          <w:rFonts w:eastAsia="Calibri" w:cstheme="minorHAnsi"/>
          <w:lang w:val="en-US"/>
        </w:rPr>
      </w:pPr>
      <w:r w:rsidRPr="00AB2125">
        <w:rPr>
          <w:rFonts w:eastAsia="Calibri" w:cstheme="minorHAnsi"/>
          <w:lang w:val="en-US"/>
        </w:rPr>
        <w:t>Th</w:t>
      </w:r>
      <w:r w:rsidR="006C7E4C" w:rsidRPr="00AB2125">
        <w:rPr>
          <w:rFonts w:eastAsia="Calibri" w:cstheme="minorHAnsi"/>
          <w:lang w:val="en-US"/>
        </w:rPr>
        <w:t>ere are currently more than 4</w:t>
      </w:r>
      <w:r w:rsidR="00EB1A6D" w:rsidRPr="00AB2125">
        <w:rPr>
          <w:rFonts w:eastAsia="Calibri" w:cstheme="minorHAnsi"/>
          <w:lang w:val="en-US"/>
        </w:rPr>
        <w:t>50,</w:t>
      </w:r>
      <w:r w:rsidRPr="00AB2125">
        <w:rPr>
          <w:rFonts w:eastAsia="Calibri" w:cstheme="minorHAnsi"/>
          <w:lang w:val="en-US"/>
        </w:rPr>
        <w:t>000 people who are blind or vision impaired in Australia. According to Vision 2020 Australia, around 80% of vision loss in Australia is caused by conditions that become more common as people age.  This raises a number of implications for Australia’s aging population, with one in every four Australians projected to be 65 years of age or older by the year 2056.</w:t>
      </w:r>
    </w:p>
    <w:p w14:paraId="13C2A02B" w14:textId="77777777" w:rsidR="00927292" w:rsidRPr="00AB2125" w:rsidRDefault="00927292" w:rsidP="00927292">
      <w:pPr>
        <w:spacing w:after="0" w:line="240" w:lineRule="auto"/>
        <w:rPr>
          <w:rFonts w:eastAsia="Calibri" w:cstheme="minorHAnsi"/>
          <w:lang w:val="en-US"/>
        </w:rPr>
      </w:pPr>
    </w:p>
    <w:p w14:paraId="48F96A41" w14:textId="07FE8212" w:rsidR="00E05D90" w:rsidRPr="00AB2125" w:rsidRDefault="00927292" w:rsidP="00927292">
      <w:pPr>
        <w:spacing w:after="0" w:line="240" w:lineRule="auto"/>
        <w:rPr>
          <w:rFonts w:eastAsia="Calibri" w:cstheme="minorHAnsi"/>
          <w:lang w:val="en-US"/>
        </w:rPr>
      </w:pPr>
      <w:r w:rsidRPr="00AB2125">
        <w:rPr>
          <w:rFonts w:eastAsia="Calibri" w:cstheme="minorHAnsi"/>
          <w:lang w:val="en-US"/>
        </w:rPr>
        <w:t>Australians who are blind or vision impaired can live rich and active lives and make meaningful con</w:t>
      </w:r>
      <w:r w:rsidR="005914D5" w:rsidRPr="00AB2125">
        <w:rPr>
          <w:rFonts w:eastAsia="Calibri" w:cstheme="minorHAnsi"/>
          <w:lang w:val="en-US"/>
        </w:rPr>
        <w:t>tributions to their communities:</w:t>
      </w:r>
      <w:r w:rsidRPr="00AB2125">
        <w:rPr>
          <w:rFonts w:eastAsia="Calibri" w:cstheme="minorHAnsi"/>
          <w:lang w:val="en-US"/>
        </w:rPr>
        <w:t xml:space="preserve"> working, volunteering, raising families and engaging in sports and other recreational activities. The extent to which people are able to actively and independently participate in community life does, however, rely on facilities, services and systems that are available to the public being designed in a way that makes them inclusive to the needs of all citizens – including those who are blind or vision impaired.</w:t>
      </w:r>
    </w:p>
    <w:p w14:paraId="70C7387E" w14:textId="29010CD3" w:rsidR="00927292" w:rsidRPr="00AB2125" w:rsidRDefault="00AB2125" w:rsidP="00AB2125">
      <w:pPr>
        <w:pStyle w:val="Heading1"/>
        <w:rPr>
          <w:rFonts w:eastAsia="Calibri"/>
          <w:sz w:val="24"/>
          <w:lang w:val="en-US"/>
        </w:rPr>
      </w:pPr>
      <w:bookmarkStart w:id="3" w:name="_Toc25055873"/>
      <w:r>
        <w:t>1. P</w:t>
      </w:r>
      <w:r w:rsidR="00927292" w:rsidRPr="00AB2125">
        <w:t>urpose of this policy</w:t>
      </w:r>
      <w:bookmarkEnd w:id="3"/>
    </w:p>
    <w:p w14:paraId="1D524AF3" w14:textId="5A9A09DA" w:rsidR="00927292" w:rsidRPr="00AB2125" w:rsidRDefault="00E7710D" w:rsidP="00927292">
      <w:pPr>
        <w:spacing w:after="0" w:line="240" w:lineRule="auto"/>
        <w:rPr>
          <w:rFonts w:eastAsia="Calibri" w:cstheme="minorHAnsi"/>
          <w:lang w:val="en-US"/>
        </w:rPr>
      </w:pPr>
      <w:r w:rsidRPr="00AB2125">
        <w:rPr>
          <w:rFonts w:eastAsia="Calibri" w:cstheme="minorHAnsi"/>
          <w:lang w:val="en-US"/>
        </w:rPr>
        <w:t>The Health</w:t>
      </w:r>
      <w:r w:rsidR="00445F62">
        <w:rPr>
          <w:rFonts w:eastAsia="Calibri" w:cstheme="minorHAnsi"/>
          <w:lang w:val="en-US"/>
        </w:rPr>
        <w:t>c</w:t>
      </w:r>
      <w:r w:rsidRPr="00AB2125">
        <w:rPr>
          <w:rFonts w:eastAsia="Calibri" w:cstheme="minorHAnsi"/>
          <w:lang w:val="en-US"/>
        </w:rPr>
        <w:t xml:space="preserve">are Policy has been developed to address all aspects of healthcare service provision to people who are blind or vision impaired. </w:t>
      </w:r>
      <w:r w:rsidR="00F5458A" w:rsidRPr="00AB2125">
        <w:rPr>
          <w:rFonts w:eastAsia="Calibri" w:cstheme="minorHAnsi"/>
          <w:lang w:val="en-US"/>
        </w:rPr>
        <w:t xml:space="preserve">Blind Citizens Australia supports healthcare service provision in which people who are blind or vision impaired are treated with dignity and respect through the provision of safe and accessible healthcare options. </w:t>
      </w:r>
    </w:p>
    <w:p w14:paraId="2AD2B3AD" w14:textId="0DC34D7D" w:rsidR="00783AC9" w:rsidRPr="00AB2125" w:rsidRDefault="00783AC9" w:rsidP="00927292">
      <w:pPr>
        <w:spacing w:after="0" w:line="240" w:lineRule="auto"/>
        <w:rPr>
          <w:rFonts w:eastAsia="Calibri" w:cstheme="minorHAnsi"/>
          <w:lang w:val="en-US"/>
        </w:rPr>
      </w:pPr>
    </w:p>
    <w:p w14:paraId="27B304F0" w14:textId="221D8E21" w:rsidR="004B4039" w:rsidRDefault="00F5458A" w:rsidP="00927292">
      <w:pPr>
        <w:spacing w:after="0" w:line="240" w:lineRule="auto"/>
        <w:rPr>
          <w:rFonts w:eastAsia="Calibri" w:cstheme="minorHAnsi"/>
          <w:lang w:val="en-US"/>
        </w:rPr>
      </w:pPr>
      <w:r w:rsidRPr="00AB2125">
        <w:rPr>
          <w:rFonts w:eastAsia="Calibri" w:cstheme="minorHAnsi"/>
          <w:lang w:val="en-US"/>
        </w:rPr>
        <w:t>The Health</w:t>
      </w:r>
      <w:r w:rsidR="00445F62">
        <w:rPr>
          <w:rFonts w:eastAsia="Calibri" w:cstheme="minorHAnsi"/>
          <w:lang w:val="en-US"/>
        </w:rPr>
        <w:t>c</w:t>
      </w:r>
      <w:r w:rsidRPr="00AB2125">
        <w:rPr>
          <w:rFonts w:eastAsia="Calibri" w:cstheme="minorHAnsi"/>
          <w:lang w:val="en-US"/>
        </w:rPr>
        <w:t>are Pol</w:t>
      </w:r>
      <w:r w:rsidR="004B4039">
        <w:rPr>
          <w:rFonts w:eastAsia="Calibri" w:cstheme="minorHAnsi"/>
          <w:lang w:val="en-US"/>
        </w:rPr>
        <w:t>icy has been created</w:t>
      </w:r>
      <w:r w:rsidR="00643C58">
        <w:rPr>
          <w:rFonts w:eastAsia="Calibri" w:cstheme="minorHAnsi"/>
          <w:lang w:val="en-US"/>
        </w:rPr>
        <w:t xml:space="preserve"> </w:t>
      </w:r>
      <w:r w:rsidR="00B43FBE">
        <w:rPr>
          <w:rFonts w:eastAsia="Calibri" w:cstheme="minorHAnsi"/>
          <w:lang w:val="en-US"/>
        </w:rPr>
        <w:t>as a resource for</w:t>
      </w:r>
      <w:r w:rsidR="004B4039">
        <w:rPr>
          <w:rFonts w:eastAsia="Calibri" w:cstheme="minorHAnsi"/>
          <w:lang w:val="en-US"/>
        </w:rPr>
        <w:t>: people who are blind or vision impaired, health</w:t>
      </w:r>
      <w:r w:rsidRPr="00AB2125">
        <w:rPr>
          <w:rFonts w:eastAsia="Calibri" w:cstheme="minorHAnsi"/>
          <w:lang w:val="en-US"/>
        </w:rPr>
        <w:t>care service providers, blindness service providers</w:t>
      </w:r>
      <w:r w:rsidR="00B43FBE">
        <w:rPr>
          <w:rFonts w:eastAsia="Calibri" w:cstheme="minorHAnsi"/>
          <w:lang w:val="en-US"/>
        </w:rPr>
        <w:t xml:space="preserve"> and anyone else concerned with healthcare service provision as it impacts people who are blind or vision impaired</w:t>
      </w:r>
      <w:r w:rsidR="004B4039">
        <w:rPr>
          <w:rFonts w:eastAsia="Calibri" w:cstheme="minorHAnsi"/>
          <w:lang w:val="en-US"/>
        </w:rPr>
        <w:t xml:space="preserve">. </w:t>
      </w:r>
    </w:p>
    <w:p w14:paraId="6AD5296C" w14:textId="77777777" w:rsidR="004B4039" w:rsidRDefault="004B4039" w:rsidP="00927292">
      <w:pPr>
        <w:spacing w:after="0" w:line="240" w:lineRule="auto"/>
        <w:rPr>
          <w:rFonts w:eastAsia="Calibri" w:cstheme="minorHAnsi"/>
          <w:lang w:val="en-US"/>
        </w:rPr>
      </w:pPr>
    </w:p>
    <w:p w14:paraId="1695BF83" w14:textId="2BDADBC1" w:rsidR="00697AD3" w:rsidRDefault="004B4039" w:rsidP="00927292">
      <w:pPr>
        <w:spacing w:after="0" w:line="240" w:lineRule="auto"/>
        <w:rPr>
          <w:rFonts w:eastAsia="Calibri" w:cstheme="minorHAnsi"/>
          <w:lang w:val="en-US"/>
        </w:rPr>
      </w:pPr>
      <w:r>
        <w:rPr>
          <w:rFonts w:eastAsia="Calibri" w:cstheme="minorHAnsi"/>
          <w:lang w:val="en-US"/>
        </w:rPr>
        <w:t>P</w:t>
      </w:r>
      <w:r w:rsidRPr="00AB2125">
        <w:rPr>
          <w:rFonts w:eastAsia="Calibri" w:cstheme="minorHAnsi"/>
          <w:lang w:val="en-US"/>
        </w:rPr>
        <w:t>eople who are blind</w:t>
      </w:r>
      <w:r>
        <w:rPr>
          <w:rFonts w:eastAsia="Calibri" w:cstheme="minorHAnsi"/>
          <w:lang w:val="en-US"/>
        </w:rPr>
        <w:t xml:space="preserve"> or vision impaired can use this policy t</w:t>
      </w:r>
      <w:r w:rsidRPr="00AB2125">
        <w:rPr>
          <w:rFonts w:eastAsia="Calibri" w:cstheme="minorHAnsi"/>
          <w:lang w:val="en-US"/>
        </w:rPr>
        <w:t xml:space="preserve">o </w:t>
      </w:r>
      <w:r w:rsidR="00A314DC">
        <w:rPr>
          <w:rFonts w:eastAsia="Calibri" w:cstheme="minorHAnsi"/>
          <w:lang w:val="en-US"/>
        </w:rPr>
        <w:t xml:space="preserve">advocate for </w:t>
      </w:r>
      <w:r w:rsidRPr="00AB2125">
        <w:rPr>
          <w:rFonts w:eastAsia="Calibri" w:cstheme="minorHAnsi"/>
          <w:lang w:val="en-US"/>
        </w:rPr>
        <w:t>accessible, inclusive and safe healthcare.</w:t>
      </w:r>
      <w:r>
        <w:rPr>
          <w:rFonts w:eastAsia="Calibri" w:cstheme="minorHAnsi"/>
          <w:lang w:val="en-US"/>
        </w:rPr>
        <w:t xml:space="preserve"> This is applicable whether they are a user of a healthcare service</w:t>
      </w:r>
      <w:r w:rsidR="00B7626D">
        <w:rPr>
          <w:rFonts w:eastAsia="Calibri" w:cstheme="minorHAnsi"/>
          <w:lang w:val="en-US"/>
        </w:rPr>
        <w:t xml:space="preserve"> provider</w:t>
      </w:r>
      <w:r>
        <w:rPr>
          <w:rFonts w:eastAsia="Calibri" w:cstheme="minorHAnsi"/>
          <w:lang w:val="en-US"/>
        </w:rPr>
        <w:t>, or a carer or family member of another person accessing a</w:t>
      </w:r>
      <w:r w:rsidR="00B7626D">
        <w:rPr>
          <w:rFonts w:eastAsia="Calibri" w:cstheme="minorHAnsi"/>
          <w:lang w:val="en-US"/>
        </w:rPr>
        <w:t xml:space="preserve"> healthcare</w:t>
      </w:r>
      <w:r>
        <w:rPr>
          <w:rFonts w:eastAsia="Calibri" w:cstheme="minorHAnsi"/>
          <w:lang w:val="en-US"/>
        </w:rPr>
        <w:t xml:space="preserve"> service</w:t>
      </w:r>
      <w:r w:rsidR="00B7626D">
        <w:rPr>
          <w:rFonts w:eastAsia="Calibri" w:cstheme="minorHAnsi"/>
          <w:lang w:val="en-US"/>
        </w:rPr>
        <w:t xml:space="preserve"> provider</w:t>
      </w:r>
      <w:r>
        <w:rPr>
          <w:rFonts w:eastAsia="Calibri" w:cstheme="minorHAnsi"/>
          <w:lang w:val="en-US"/>
        </w:rPr>
        <w:t xml:space="preserve">. </w:t>
      </w:r>
      <w:r w:rsidR="00F5458A" w:rsidRPr="00AB2125">
        <w:rPr>
          <w:rFonts w:eastAsia="Calibri" w:cstheme="minorHAnsi"/>
          <w:lang w:val="en-US"/>
        </w:rPr>
        <w:t xml:space="preserve">Healthcare service providers </w:t>
      </w:r>
      <w:r w:rsidR="00A314DC">
        <w:rPr>
          <w:rFonts w:eastAsia="Calibri" w:cstheme="minorHAnsi"/>
          <w:lang w:val="en-US"/>
        </w:rPr>
        <w:t xml:space="preserve">can </w:t>
      </w:r>
      <w:r w:rsidR="00F5458A" w:rsidRPr="00AB2125">
        <w:rPr>
          <w:rFonts w:eastAsia="Calibri" w:cstheme="minorHAnsi"/>
          <w:lang w:val="en-US"/>
        </w:rPr>
        <w:t>use the policy to understand how best practice care can be provided for people who</w:t>
      </w:r>
      <w:r>
        <w:rPr>
          <w:rFonts w:eastAsia="Calibri" w:cstheme="minorHAnsi"/>
          <w:lang w:val="en-US"/>
        </w:rPr>
        <w:t xml:space="preserve"> are blind or vision impaired. Finally, b</w:t>
      </w:r>
      <w:r w:rsidR="00F5458A" w:rsidRPr="00AB2125">
        <w:rPr>
          <w:rFonts w:eastAsia="Calibri" w:cstheme="minorHAnsi"/>
          <w:lang w:val="en-US"/>
        </w:rPr>
        <w:t xml:space="preserve">lindness service providers </w:t>
      </w:r>
      <w:r w:rsidR="00A314DC">
        <w:rPr>
          <w:rFonts w:eastAsia="Calibri" w:cstheme="minorHAnsi"/>
          <w:lang w:val="en-US"/>
        </w:rPr>
        <w:t xml:space="preserve">and others </w:t>
      </w:r>
      <w:r w:rsidR="00F5458A" w:rsidRPr="00AB2125">
        <w:rPr>
          <w:rFonts w:eastAsia="Calibri" w:cstheme="minorHAnsi"/>
          <w:lang w:val="en-US"/>
        </w:rPr>
        <w:t xml:space="preserve">can use the policy to support their clients </w:t>
      </w:r>
      <w:r w:rsidR="00A314DC">
        <w:rPr>
          <w:rFonts w:eastAsia="Calibri" w:cstheme="minorHAnsi"/>
          <w:lang w:val="en-US"/>
        </w:rPr>
        <w:t xml:space="preserve">or stakeholders </w:t>
      </w:r>
      <w:r w:rsidR="00F5458A" w:rsidRPr="00AB2125">
        <w:rPr>
          <w:rFonts w:eastAsia="Calibri" w:cstheme="minorHAnsi"/>
          <w:lang w:val="en-US"/>
        </w:rPr>
        <w:t>in accessing inclusive, safe and a</w:t>
      </w:r>
      <w:r>
        <w:rPr>
          <w:rFonts w:eastAsia="Calibri" w:cstheme="minorHAnsi"/>
          <w:lang w:val="en-US"/>
        </w:rPr>
        <w:t>ccessible healthcare.</w:t>
      </w:r>
    </w:p>
    <w:p w14:paraId="127E5804" w14:textId="77777777" w:rsidR="004B4039" w:rsidRPr="00AB2125" w:rsidRDefault="004B4039" w:rsidP="00927292">
      <w:pPr>
        <w:spacing w:after="0" w:line="240" w:lineRule="auto"/>
        <w:rPr>
          <w:rFonts w:eastAsia="Calibri" w:cstheme="minorHAnsi"/>
          <w:lang w:val="en-US"/>
        </w:rPr>
      </w:pPr>
    </w:p>
    <w:p w14:paraId="61C45F0E" w14:textId="6C262D15" w:rsidR="004D118E" w:rsidRPr="00350C67" w:rsidRDefault="00697AD3" w:rsidP="000411BE">
      <w:pPr>
        <w:spacing w:after="0" w:line="240" w:lineRule="auto"/>
        <w:rPr>
          <w:rFonts w:eastAsia="Calibri" w:cstheme="minorHAnsi"/>
          <w:lang w:val="en-US"/>
        </w:rPr>
      </w:pPr>
      <w:r w:rsidRPr="00AB2125">
        <w:rPr>
          <w:rFonts w:eastAsia="Calibri" w:cstheme="minorHAnsi"/>
          <w:lang w:val="en-US"/>
        </w:rPr>
        <w:t>The Health</w:t>
      </w:r>
      <w:r w:rsidR="00445F62">
        <w:rPr>
          <w:rFonts w:eastAsia="Calibri" w:cstheme="minorHAnsi"/>
          <w:lang w:val="en-US"/>
        </w:rPr>
        <w:t>c</w:t>
      </w:r>
      <w:r w:rsidRPr="00AB2125">
        <w:rPr>
          <w:rFonts w:eastAsia="Calibri" w:cstheme="minorHAnsi"/>
          <w:lang w:val="en-US"/>
        </w:rPr>
        <w:t>are Policy has been created to also address the gap in healthcare provisions and general health outcomes for people with disability, including those who are blind or vision impaired. The Australian Bureau of Statistics (ABS) General Social Survey of 2014 reported that compared with people without disability: People with disability were less like</w:t>
      </w:r>
      <w:r w:rsidR="00CA1998">
        <w:rPr>
          <w:rFonts w:eastAsia="Calibri" w:cstheme="minorHAnsi"/>
          <w:lang w:val="en-US"/>
        </w:rPr>
        <w:t>ly</w:t>
      </w:r>
      <w:r w:rsidRPr="00AB2125">
        <w:rPr>
          <w:rFonts w:eastAsia="Calibri" w:cstheme="minorHAnsi"/>
          <w:lang w:val="en-US"/>
        </w:rPr>
        <w:t xml:space="preserve"> to report their health to be “good or excellent” and were more likely to have experienced barriers in accessing healthcare. It is hoped that this policy will contribute to eliminating some of these barriers.</w:t>
      </w:r>
    </w:p>
    <w:p w14:paraId="2CD4892A" w14:textId="67EA06C4" w:rsidR="004D118E" w:rsidRDefault="00D44FFF" w:rsidP="004D118E">
      <w:pPr>
        <w:pStyle w:val="Heading1"/>
      </w:pPr>
      <w:bookmarkStart w:id="4" w:name="_Toc25055874"/>
      <w:r>
        <w:t>2</w:t>
      </w:r>
      <w:r w:rsidR="004D118E">
        <w:t>. How this policy should be used</w:t>
      </w:r>
      <w:bookmarkEnd w:id="4"/>
    </w:p>
    <w:p w14:paraId="709EED8A" w14:textId="63446D29" w:rsidR="004D118E" w:rsidRDefault="004D118E" w:rsidP="004D118E">
      <w:pPr>
        <w:spacing w:after="0" w:line="240" w:lineRule="auto"/>
        <w:rPr>
          <w:rFonts w:eastAsia="Calibri" w:cstheme="minorHAnsi"/>
          <w:szCs w:val="32"/>
          <w:lang w:val="en-US"/>
        </w:rPr>
      </w:pPr>
      <w:r>
        <w:rPr>
          <w:rFonts w:eastAsia="Calibri" w:cstheme="minorHAnsi"/>
          <w:szCs w:val="32"/>
          <w:lang w:val="en-US"/>
        </w:rPr>
        <w:t>This policy will be made available to memb</w:t>
      </w:r>
      <w:r w:rsidR="00842743">
        <w:rPr>
          <w:rFonts w:eastAsia="Calibri" w:cstheme="minorHAnsi"/>
          <w:szCs w:val="32"/>
          <w:lang w:val="en-US"/>
        </w:rPr>
        <w:t>ers of Blind Citizens Australia</w:t>
      </w:r>
      <w:r>
        <w:rPr>
          <w:rFonts w:eastAsia="Calibri" w:cstheme="minorHAnsi"/>
          <w:szCs w:val="32"/>
          <w:lang w:val="en-US"/>
        </w:rPr>
        <w:t xml:space="preserve"> and external stakeholders via the policy section of our website. The policy will also be distributed to members on our mailing lists. </w:t>
      </w:r>
    </w:p>
    <w:p w14:paraId="1C0BCCCF" w14:textId="77777777" w:rsidR="004D118E" w:rsidRDefault="004D118E" w:rsidP="004D118E">
      <w:pPr>
        <w:spacing w:after="0" w:line="240" w:lineRule="auto"/>
        <w:rPr>
          <w:rFonts w:eastAsia="Calibri" w:cstheme="minorHAnsi"/>
          <w:szCs w:val="32"/>
          <w:lang w:val="en-US"/>
        </w:rPr>
      </w:pPr>
    </w:p>
    <w:p w14:paraId="0BBCD67A" w14:textId="30DBC4B6" w:rsidR="004D118E" w:rsidRDefault="004D118E" w:rsidP="004D118E">
      <w:pPr>
        <w:spacing w:after="0" w:line="240" w:lineRule="auto"/>
        <w:rPr>
          <w:rFonts w:eastAsia="Calibri" w:cstheme="minorHAnsi"/>
          <w:szCs w:val="32"/>
          <w:lang w:val="en-US"/>
        </w:rPr>
      </w:pPr>
      <w:r>
        <w:rPr>
          <w:rFonts w:eastAsia="Calibri" w:cstheme="minorHAnsi"/>
          <w:szCs w:val="32"/>
          <w:lang w:val="en-US"/>
        </w:rPr>
        <w:t xml:space="preserve">Anyone can access this policy to support self-advocacy or advocacy on behalf of another individual to access inclusive, accessible and safe healthcare. It </w:t>
      </w:r>
      <w:r w:rsidR="00D44FFF">
        <w:rPr>
          <w:rFonts w:eastAsia="Calibri" w:cstheme="minorHAnsi"/>
          <w:szCs w:val="32"/>
          <w:lang w:val="en-US"/>
        </w:rPr>
        <w:t xml:space="preserve">can also </w:t>
      </w:r>
      <w:r>
        <w:rPr>
          <w:rFonts w:eastAsia="Calibri" w:cstheme="minorHAnsi"/>
          <w:szCs w:val="32"/>
          <w:lang w:val="en-US"/>
        </w:rPr>
        <w:t xml:space="preserve">be used to inform healthcare </w:t>
      </w:r>
      <w:r w:rsidR="00B8509C">
        <w:rPr>
          <w:rFonts w:eastAsia="Calibri" w:cstheme="minorHAnsi"/>
          <w:szCs w:val="32"/>
          <w:lang w:val="en-US"/>
        </w:rPr>
        <w:t xml:space="preserve">service </w:t>
      </w:r>
      <w:r>
        <w:rPr>
          <w:rFonts w:eastAsia="Calibri" w:cstheme="minorHAnsi"/>
          <w:szCs w:val="32"/>
          <w:lang w:val="en-US"/>
        </w:rPr>
        <w:t>providers of best practice when providing healthcare to people who are blind or vision impaired.</w:t>
      </w:r>
    </w:p>
    <w:p w14:paraId="667CBF6A" w14:textId="77777777" w:rsidR="004D118E" w:rsidRDefault="004D118E" w:rsidP="004D118E">
      <w:pPr>
        <w:spacing w:after="0" w:line="240" w:lineRule="auto"/>
        <w:rPr>
          <w:rFonts w:eastAsia="Calibri" w:cstheme="minorHAnsi"/>
          <w:szCs w:val="32"/>
          <w:lang w:val="en-US"/>
        </w:rPr>
      </w:pPr>
    </w:p>
    <w:p w14:paraId="66B7452D" w14:textId="3F5BBE4B" w:rsidR="00445F62" w:rsidRDefault="005404EC" w:rsidP="004D118E">
      <w:pPr>
        <w:spacing w:after="0" w:line="240" w:lineRule="auto"/>
        <w:rPr>
          <w:rFonts w:eastAsia="Calibri" w:cstheme="minorHAnsi"/>
          <w:szCs w:val="32"/>
          <w:lang w:val="en-US"/>
        </w:rPr>
      </w:pPr>
      <w:r>
        <w:rPr>
          <w:rFonts w:eastAsia="Calibri" w:cstheme="minorHAnsi"/>
          <w:szCs w:val="32"/>
          <w:lang w:val="en-US"/>
        </w:rPr>
        <w:t xml:space="preserve">BCA’s advocacy service can provide additional support to individuals wishing to use this policy in a particular setting. </w:t>
      </w:r>
    </w:p>
    <w:p w14:paraId="5A30CA16" w14:textId="77777777" w:rsidR="00445F62" w:rsidRDefault="00445F62" w:rsidP="00445F62">
      <w:pPr>
        <w:pStyle w:val="Heading1"/>
        <w:rPr>
          <w:rFonts w:eastAsia="Calibri"/>
          <w:lang w:val="en-US"/>
        </w:rPr>
      </w:pPr>
      <w:bookmarkStart w:id="5" w:name="_Toc25055875"/>
      <w:r>
        <w:rPr>
          <w:rFonts w:eastAsia="Calibri"/>
          <w:lang w:val="en-US"/>
        </w:rPr>
        <w:t>3. Policy Context</w:t>
      </w:r>
      <w:bookmarkEnd w:id="5"/>
    </w:p>
    <w:p w14:paraId="3A01EDD5" w14:textId="3FE5F235" w:rsidR="004B4039" w:rsidRPr="00140D1F" w:rsidRDefault="004B4039" w:rsidP="004B4039">
      <w:pPr>
        <w:spacing w:after="0" w:line="240" w:lineRule="auto"/>
        <w:rPr>
          <w:rFonts w:eastAsia="Calibri" w:cstheme="minorHAnsi"/>
          <w:sz w:val="24"/>
          <w:lang w:val="en-US"/>
        </w:rPr>
      </w:pPr>
      <w:r>
        <w:rPr>
          <w:rFonts w:eastAsia="Calibri" w:cstheme="minorHAnsi"/>
          <w:szCs w:val="32"/>
          <w:lang w:val="en-US"/>
        </w:rPr>
        <w:t>This policy adopts the statements of the Australian Charter for Healthcare Rights (second edition) and all statements should be read to apply to any individual who is blind or vision impaired.</w:t>
      </w:r>
    </w:p>
    <w:p w14:paraId="53C514A7" w14:textId="77777777" w:rsidR="004B4039" w:rsidRDefault="004B4039" w:rsidP="00927292">
      <w:pPr>
        <w:spacing w:after="0" w:line="240" w:lineRule="auto"/>
        <w:rPr>
          <w:rFonts w:eastAsia="Calibri" w:cstheme="minorHAnsi"/>
          <w:lang w:val="en-US"/>
        </w:rPr>
      </w:pPr>
    </w:p>
    <w:p w14:paraId="3783D2EC" w14:textId="71187ECB" w:rsidR="00927292" w:rsidRPr="00AB2125" w:rsidRDefault="00C1259A" w:rsidP="00927292">
      <w:pPr>
        <w:spacing w:after="0" w:line="240" w:lineRule="auto"/>
        <w:rPr>
          <w:rFonts w:eastAsia="Calibri" w:cstheme="minorHAnsi"/>
          <w:lang w:val="en-US"/>
        </w:rPr>
      </w:pPr>
      <w:r w:rsidRPr="00AB2125">
        <w:rPr>
          <w:rFonts w:eastAsia="Calibri" w:cstheme="minorHAnsi"/>
          <w:lang w:val="en-US"/>
        </w:rPr>
        <w:t xml:space="preserve">This policy is underpinned by legislation and frameworks which </w:t>
      </w:r>
      <w:r w:rsidR="00927292" w:rsidRPr="00AB2125">
        <w:rPr>
          <w:rFonts w:eastAsia="Calibri" w:cstheme="minorHAnsi"/>
          <w:lang w:val="en-US"/>
        </w:rPr>
        <w:t>include:</w:t>
      </w:r>
    </w:p>
    <w:p w14:paraId="6E85539E" w14:textId="7B469C23" w:rsidR="00B8509C" w:rsidRPr="00B8509C" w:rsidRDefault="00B8509C" w:rsidP="00B8509C">
      <w:pPr>
        <w:pStyle w:val="ListParagraph"/>
        <w:numPr>
          <w:ilvl w:val="0"/>
          <w:numId w:val="4"/>
        </w:numPr>
        <w:spacing w:after="0" w:line="240" w:lineRule="auto"/>
        <w:rPr>
          <w:rFonts w:eastAsia="Calibri" w:cstheme="minorHAnsi"/>
          <w:lang w:val="en-US"/>
        </w:rPr>
      </w:pPr>
      <w:r w:rsidRPr="00AB2125">
        <w:rPr>
          <w:rFonts w:eastAsia="Calibri" w:cstheme="minorHAnsi"/>
          <w:lang w:val="en-US"/>
        </w:rPr>
        <w:t>The Australia</w:t>
      </w:r>
      <w:r w:rsidR="009051B1">
        <w:rPr>
          <w:rFonts w:eastAsia="Calibri" w:cstheme="minorHAnsi"/>
          <w:lang w:val="en-US"/>
        </w:rPr>
        <w:t>n Healthcare Charter of Rights (2</w:t>
      </w:r>
      <w:r w:rsidR="009051B1" w:rsidRPr="009051B1">
        <w:rPr>
          <w:rFonts w:eastAsia="Calibri" w:cstheme="minorHAnsi"/>
          <w:vertAlign w:val="superscript"/>
          <w:lang w:val="en-US"/>
        </w:rPr>
        <w:t>nd</w:t>
      </w:r>
      <w:r w:rsidR="009051B1">
        <w:rPr>
          <w:rFonts w:eastAsia="Calibri" w:cstheme="minorHAnsi"/>
          <w:lang w:val="en-US"/>
        </w:rPr>
        <w:t xml:space="preserve"> ed.</w:t>
      </w:r>
      <w:r w:rsidRPr="00AB2125">
        <w:rPr>
          <w:rFonts w:eastAsia="Calibri" w:cstheme="minorHAnsi"/>
          <w:lang w:val="en-US"/>
        </w:rPr>
        <w:t>)</w:t>
      </w:r>
      <w:r>
        <w:rPr>
          <w:rFonts w:eastAsia="Calibri" w:cstheme="minorHAnsi"/>
          <w:lang w:val="en-US"/>
        </w:rPr>
        <w:t>, 2019</w:t>
      </w:r>
    </w:p>
    <w:p w14:paraId="573F8ADD" w14:textId="6EB345B0" w:rsidR="00927292" w:rsidRPr="00AB2125" w:rsidRDefault="00927292" w:rsidP="005914D5">
      <w:pPr>
        <w:pStyle w:val="ListParagraph"/>
        <w:numPr>
          <w:ilvl w:val="0"/>
          <w:numId w:val="4"/>
        </w:numPr>
        <w:spacing w:after="0" w:line="240" w:lineRule="auto"/>
        <w:rPr>
          <w:rFonts w:eastAsia="Calibri" w:cstheme="minorHAnsi"/>
          <w:lang w:val="en-US"/>
        </w:rPr>
      </w:pPr>
      <w:r w:rsidRPr="00AB2125">
        <w:rPr>
          <w:rFonts w:eastAsia="Calibri" w:cstheme="minorHAnsi"/>
          <w:lang w:val="en-US"/>
        </w:rPr>
        <w:t xml:space="preserve">The </w:t>
      </w:r>
      <w:r w:rsidRPr="00306124">
        <w:rPr>
          <w:rFonts w:eastAsia="Calibri" w:cstheme="minorHAnsi"/>
          <w:i/>
          <w:lang w:val="en-US"/>
        </w:rPr>
        <w:t>Disability Discrimination Act 1992</w:t>
      </w:r>
      <w:r w:rsidRPr="00AB2125">
        <w:rPr>
          <w:rFonts w:eastAsia="Calibri" w:cstheme="minorHAnsi"/>
          <w:lang w:val="en-US"/>
        </w:rPr>
        <w:t xml:space="preserve"> (</w:t>
      </w:r>
      <w:r w:rsidRPr="00306124">
        <w:rPr>
          <w:rFonts w:eastAsia="Calibri" w:cstheme="minorHAnsi"/>
          <w:i/>
          <w:lang w:val="en-US"/>
        </w:rPr>
        <w:t>Cth</w:t>
      </w:r>
      <w:r w:rsidRPr="00AB2125">
        <w:rPr>
          <w:rFonts w:eastAsia="Calibri" w:cstheme="minorHAnsi"/>
          <w:lang w:val="en-US"/>
        </w:rPr>
        <w:t xml:space="preserve">) </w:t>
      </w:r>
      <w:r w:rsidR="00306124">
        <w:rPr>
          <w:rFonts w:eastAsia="Calibri" w:cstheme="minorHAnsi"/>
          <w:lang w:val="en-US"/>
        </w:rPr>
        <w:t>(</w:t>
      </w:r>
      <w:r w:rsidR="00306124" w:rsidRPr="00306124">
        <w:rPr>
          <w:rFonts w:eastAsia="Calibri" w:cstheme="minorHAnsi"/>
          <w:i/>
          <w:lang w:val="en-US"/>
        </w:rPr>
        <w:t>Austl</w:t>
      </w:r>
      <w:r w:rsidR="00306124">
        <w:rPr>
          <w:rFonts w:eastAsia="Calibri" w:cstheme="minorHAnsi"/>
          <w:lang w:val="en-US"/>
        </w:rPr>
        <w:t xml:space="preserve">.) </w:t>
      </w:r>
      <w:r w:rsidRPr="00AB2125">
        <w:rPr>
          <w:rFonts w:eastAsia="Calibri" w:cstheme="minorHAnsi"/>
          <w:lang w:val="en-US"/>
        </w:rPr>
        <w:t>and associated standards</w:t>
      </w:r>
    </w:p>
    <w:p w14:paraId="3BBF260A" w14:textId="51EBC12A" w:rsidR="00927292" w:rsidRPr="00AB2125" w:rsidRDefault="00927292" w:rsidP="005914D5">
      <w:pPr>
        <w:pStyle w:val="ListParagraph"/>
        <w:numPr>
          <w:ilvl w:val="0"/>
          <w:numId w:val="4"/>
        </w:numPr>
        <w:spacing w:after="0" w:line="240" w:lineRule="auto"/>
        <w:rPr>
          <w:rFonts w:eastAsia="Calibri" w:cstheme="minorHAnsi"/>
          <w:lang w:val="en-US"/>
        </w:rPr>
      </w:pPr>
      <w:r w:rsidRPr="00AB2125">
        <w:rPr>
          <w:rFonts w:eastAsia="Calibri" w:cstheme="minorHAnsi"/>
          <w:lang w:val="en-US"/>
        </w:rPr>
        <w:t>The United Nations Convention on the Rights of Persons with Disabilities</w:t>
      </w:r>
      <w:r w:rsidR="00C1259A" w:rsidRPr="00AB2125">
        <w:rPr>
          <w:rFonts w:eastAsia="Calibri" w:cstheme="minorHAnsi"/>
          <w:lang w:val="en-US"/>
        </w:rPr>
        <w:t>, Article 2</w:t>
      </w:r>
      <w:r w:rsidR="00B279AB">
        <w:rPr>
          <w:rFonts w:eastAsia="Calibri" w:cstheme="minorHAnsi"/>
          <w:lang w:val="en-US"/>
        </w:rPr>
        <w:t>5</w:t>
      </w:r>
    </w:p>
    <w:p w14:paraId="2F231ABC" w14:textId="796C0C7B" w:rsidR="00927292" w:rsidRPr="00AB2125" w:rsidRDefault="00927292" w:rsidP="005914D5">
      <w:pPr>
        <w:pStyle w:val="ListParagraph"/>
        <w:numPr>
          <w:ilvl w:val="0"/>
          <w:numId w:val="4"/>
        </w:numPr>
        <w:spacing w:after="0" w:line="240" w:lineRule="auto"/>
        <w:rPr>
          <w:rFonts w:eastAsia="Calibri" w:cstheme="minorHAnsi"/>
          <w:lang w:val="en-US"/>
        </w:rPr>
      </w:pPr>
      <w:r w:rsidRPr="00AB2125">
        <w:rPr>
          <w:rFonts w:eastAsia="Calibri" w:cstheme="minorHAnsi"/>
          <w:lang w:val="en-US"/>
        </w:rPr>
        <w:t>The National Disability Strategy 2010-2020</w:t>
      </w:r>
    </w:p>
    <w:p w14:paraId="125C050C" w14:textId="39BFD02A" w:rsidR="00512288" w:rsidRDefault="00512288" w:rsidP="00097707">
      <w:pPr>
        <w:pStyle w:val="ListParagraph"/>
        <w:numPr>
          <w:ilvl w:val="0"/>
          <w:numId w:val="4"/>
        </w:numPr>
        <w:spacing w:after="0" w:line="240" w:lineRule="auto"/>
        <w:rPr>
          <w:rFonts w:eastAsia="Calibri" w:cstheme="minorHAnsi"/>
          <w:lang w:val="en-US"/>
        </w:rPr>
      </w:pPr>
      <w:r w:rsidRPr="00AB2125">
        <w:rPr>
          <w:rFonts w:eastAsia="Calibri" w:cstheme="minorHAnsi"/>
          <w:lang w:val="en-US"/>
        </w:rPr>
        <w:t>Web Content Accessibility Guidelines (WC</w:t>
      </w:r>
      <w:r w:rsidR="0059504C">
        <w:rPr>
          <w:rFonts w:eastAsia="Calibri" w:cstheme="minorHAnsi"/>
          <w:lang w:val="en-US"/>
        </w:rPr>
        <w:t>A</w:t>
      </w:r>
      <w:r w:rsidRPr="00AB2125">
        <w:rPr>
          <w:rFonts w:eastAsia="Calibri" w:cstheme="minorHAnsi"/>
          <w:lang w:val="en-US"/>
        </w:rPr>
        <w:t>G) 2.1 (June 2018)</w:t>
      </w:r>
    </w:p>
    <w:p w14:paraId="6ADC6888" w14:textId="6E7D3FCD" w:rsidR="0059504C" w:rsidRPr="00AB2125" w:rsidRDefault="0059504C" w:rsidP="00097707">
      <w:pPr>
        <w:pStyle w:val="ListParagraph"/>
        <w:numPr>
          <w:ilvl w:val="0"/>
          <w:numId w:val="4"/>
        </w:numPr>
        <w:spacing w:after="0" w:line="240" w:lineRule="auto"/>
        <w:rPr>
          <w:rFonts w:eastAsia="Calibri" w:cstheme="minorHAnsi"/>
          <w:lang w:val="en-US"/>
        </w:rPr>
      </w:pPr>
      <w:r>
        <w:rPr>
          <w:rFonts w:eastAsia="Calibri" w:cstheme="minorHAnsi"/>
          <w:lang w:val="en-US"/>
        </w:rPr>
        <w:t>Codes and standards of medical and allied health professional associations</w:t>
      </w:r>
      <w:r w:rsidR="009051B1">
        <w:rPr>
          <w:rFonts w:eastAsia="Calibri" w:cstheme="minorHAnsi"/>
          <w:lang w:val="en-US"/>
        </w:rPr>
        <w:t>, including the National Safety and Quality Health Services Standards (2</w:t>
      </w:r>
      <w:r w:rsidR="009051B1" w:rsidRPr="009051B1">
        <w:rPr>
          <w:rFonts w:eastAsia="Calibri" w:cstheme="minorHAnsi"/>
          <w:vertAlign w:val="superscript"/>
          <w:lang w:val="en-US"/>
        </w:rPr>
        <w:t>nd</w:t>
      </w:r>
      <w:r w:rsidR="009051B1">
        <w:rPr>
          <w:rFonts w:eastAsia="Calibri" w:cstheme="minorHAnsi"/>
          <w:lang w:val="en-US"/>
        </w:rPr>
        <w:t xml:space="preserve"> ed.), 2017</w:t>
      </w:r>
      <w:r w:rsidR="003E3D00">
        <w:rPr>
          <w:rFonts w:eastAsia="Calibri" w:cstheme="minorHAnsi"/>
          <w:lang w:val="en-US"/>
        </w:rPr>
        <w:t>i</w:t>
      </w:r>
    </w:p>
    <w:p w14:paraId="1DFDEB41" w14:textId="0EA1BB18" w:rsidR="00F6481F" w:rsidRPr="00140D1F" w:rsidRDefault="000C7B5D" w:rsidP="00AB2125">
      <w:pPr>
        <w:pStyle w:val="Heading1"/>
      </w:pPr>
      <w:bookmarkStart w:id="6" w:name="_Toc25055876"/>
      <w:r>
        <w:t>4</w:t>
      </w:r>
      <w:r w:rsidR="00531758" w:rsidRPr="00140D1F">
        <w:t>.</w:t>
      </w:r>
      <w:r w:rsidR="00926D73" w:rsidRPr="00140D1F">
        <w:t xml:space="preserve"> </w:t>
      </w:r>
      <w:r w:rsidR="00531758" w:rsidRPr="00140D1F">
        <w:t>P</w:t>
      </w:r>
      <w:r w:rsidR="00F6481F" w:rsidRPr="00140D1F">
        <w:t>olicy Statement</w:t>
      </w:r>
      <w:bookmarkEnd w:id="6"/>
    </w:p>
    <w:p w14:paraId="0BEE1A51" w14:textId="6D934768" w:rsidR="006A3032" w:rsidRPr="00140D1F" w:rsidRDefault="00D25329" w:rsidP="00AB2125">
      <w:pPr>
        <w:pStyle w:val="Heading2"/>
      </w:pPr>
      <w:bookmarkStart w:id="7" w:name="_Toc25055877"/>
      <w:r>
        <w:t>4</w:t>
      </w:r>
      <w:r w:rsidR="000F5C39" w:rsidRPr="00140D1F">
        <w:t>.1</w:t>
      </w:r>
      <w:r w:rsidR="002271EE" w:rsidRPr="00140D1F">
        <w:t xml:space="preserve"> R</w:t>
      </w:r>
      <w:r w:rsidR="006A3032" w:rsidRPr="00140D1F">
        <w:t>espect</w:t>
      </w:r>
      <w:bookmarkEnd w:id="7"/>
    </w:p>
    <w:p w14:paraId="26DB571B" w14:textId="52EF3583" w:rsidR="006A3032" w:rsidRPr="00AB2125" w:rsidRDefault="00E67D9D" w:rsidP="006A3032">
      <w:pPr>
        <w:pStyle w:val="ListParagraph"/>
        <w:numPr>
          <w:ilvl w:val="0"/>
          <w:numId w:val="19"/>
        </w:numPr>
        <w:rPr>
          <w:rFonts w:cstheme="minorHAnsi"/>
        </w:rPr>
      </w:pPr>
      <w:r>
        <w:rPr>
          <w:rFonts w:cstheme="minorHAnsi"/>
        </w:rPr>
        <w:t>P</w:t>
      </w:r>
      <w:r w:rsidR="006A3032" w:rsidRPr="00AB2125">
        <w:rPr>
          <w:rFonts w:cstheme="minorHAnsi"/>
        </w:rPr>
        <w:t>eople who are blind or vision impaired have the right to be cared for as an individual and [be] tr</w:t>
      </w:r>
      <w:r w:rsidR="000F5C39" w:rsidRPr="00AB2125">
        <w:rPr>
          <w:rFonts w:cstheme="minorHAnsi"/>
        </w:rPr>
        <w:t>eated with dignity and respect.</w:t>
      </w:r>
      <w:bookmarkStart w:id="8" w:name="_Ref18584425"/>
      <w:r>
        <w:rPr>
          <w:rStyle w:val="FootnoteReference"/>
          <w:rFonts w:cstheme="minorHAnsi"/>
        </w:rPr>
        <w:footnoteReference w:id="1"/>
      </w:r>
      <w:bookmarkEnd w:id="8"/>
    </w:p>
    <w:p w14:paraId="75BE0704" w14:textId="02268712" w:rsidR="00D86B3D" w:rsidRPr="00AB2125" w:rsidRDefault="005E5820" w:rsidP="00D86B3D">
      <w:pPr>
        <w:pStyle w:val="ListParagraph"/>
        <w:numPr>
          <w:ilvl w:val="0"/>
          <w:numId w:val="19"/>
        </w:numPr>
        <w:rPr>
          <w:rFonts w:cstheme="minorHAnsi"/>
        </w:rPr>
      </w:pPr>
      <w:r>
        <w:rPr>
          <w:rFonts w:cstheme="minorHAnsi"/>
        </w:rPr>
        <w:t xml:space="preserve">People </w:t>
      </w:r>
      <w:r w:rsidR="006A3032" w:rsidRPr="00AB2125">
        <w:rPr>
          <w:rFonts w:cstheme="minorHAnsi"/>
        </w:rPr>
        <w:t xml:space="preserve">who are blind or vision impaired have </w:t>
      </w:r>
      <w:r w:rsidR="00034302">
        <w:rPr>
          <w:rFonts w:cstheme="minorHAnsi"/>
        </w:rPr>
        <w:t>the right to have their cultures, identities</w:t>
      </w:r>
      <w:r w:rsidR="006A3032" w:rsidRPr="00AB2125">
        <w:rPr>
          <w:rFonts w:cstheme="minorHAnsi"/>
        </w:rPr>
        <w:t>, beliefs, and choices acknowledged and respect</w:t>
      </w:r>
      <w:r w:rsidR="000F5C39" w:rsidRPr="00AB2125">
        <w:rPr>
          <w:rFonts w:cstheme="minorHAnsi"/>
        </w:rPr>
        <w:t>ed.</w:t>
      </w:r>
      <w:r w:rsidRPr="005E5820">
        <w:rPr>
          <w:rFonts w:cstheme="minorHAnsi"/>
          <w:vertAlign w:val="superscript"/>
        </w:rPr>
        <w:fldChar w:fldCharType="begin"/>
      </w:r>
      <w:r w:rsidRPr="005E5820">
        <w:rPr>
          <w:rFonts w:cstheme="minorHAnsi"/>
          <w:vertAlign w:val="superscript"/>
        </w:rPr>
        <w:instrText xml:space="preserve"> NOTEREF _Ref18584425 \h </w:instrText>
      </w:r>
      <w:r>
        <w:rPr>
          <w:rFonts w:cstheme="minorHAnsi"/>
          <w:vertAlign w:val="superscript"/>
        </w:rPr>
        <w:instrText xml:space="preserve"> \* MERGEFORMAT </w:instrText>
      </w:r>
      <w:r w:rsidRPr="005E5820">
        <w:rPr>
          <w:rFonts w:cstheme="minorHAnsi"/>
          <w:vertAlign w:val="superscript"/>
        </w:rPr>
      </w:r>
      <w:r w:rsidRPr="005E5820">
        <w:rPr>
          <w:rFonts w:cstheme="minorHAnsi"/>
          <w:vertAlign w:val="superscript"/>
        </w:rPr>
        <w:fldChar w:fldCharType="separate"/>
      </w:r>
      <w:r w:rsidRPr="005E5820">
        <w:rPr>
          <w:rFonts w:cstheme="minorHAnsi"/>
          <w:vertAlign w:val="superscript"/>
        </w:rPr>
        <w:t>1</w:t>
      </w:r>
      <w:r w:rsidRPr="005E5820">
        <w:rPr>
          <w:rFonts w:cstheme="minorHAnsi"/>
          <w:vertAlign w:val="superscript"/>
        </w:rPr>
        <w:fldChar w:fldCharType="end"/>
      </w:r>
    </w:p>
    <w:p w14:paraId="21FB3871" w14:textId="77777777" w:rsidR="003611BA" w:rsidRDefault="006A3032" w:rsidP="003611BA">
      <w:pPr>
        <w:pStyle w:val="ListParagraph"/>
        <w:numPr>
          <w:ilvl w:val="0"/>
          <w:numId w:val="19"/>
        </w:numPr>
        <w:rPr>
          <w:rFonts w:cstheme="minorHAnsi"/>
        </w:rPr>
      </w:pPr>
      <w:r w:rsidRPr="00AB2125">
        <w:rPr>
          <w:rFonts w:cstheme="minorHAnsi"/>
        </w:rPr>
        <w:t xml:space="preserve">People who are blind or vision impaired are entitled </w:t>
      </w:r>
      <w:r w:rsidR="00181F81">
        <w:rPr>
          <w:rFonts w:cstheme="minorHAnsi"/>
        </w:rPr>
        <w:t xml:space="preserve">to the respect accorded to all consumers </w:t>
      </w:r>
      <w:r w:rsidRPr="00AB2125">
        <w:rPr>
          <w:rFonts w:cstheme="minorHAnsi"/>
        </w:rPr>
        <w:t>of health service</w:t>
      </w:r>
      <w:r w:rsidR="00B8509C">
        <w:rPr>
          <w:rFonts w:cstheme="minorHAnsi"/>
        </w:rPr>
        <w:t>s</w:t>
      </w:r>
      <w:r w:rsidRPr="00AB2125">
        <w:rPr>
          <w:rFonts w:cstheme="minorHAnsi"/>
        </w:rPr>
        <w:t xml:space="preserve">, in ways which ensure equity and meet </w:t>
      </w:r>
      <w:r w:rsidR="0015508D">
        <w:rPr>
          <w:rFonts w:cstheme="minorHAnsi"/>
        </w:rPr>
        <w:t xml:space="preserve">their </w:t>
      </w:r>
      <w:r w:rsidRPr="00AB2125">
        <w:rPr>
          <w:rFonts w:cstheme="minorHAnsi"/>
        </w:rPr>
        <w:t xml:space="preserve">specific needs. </w:t>
      </w:r>
      <w:r w:rsidR="005722F3">
        <w:rPr>
          <w:rFonts w:cstheme="minorHAnsi"/>
        </w:rPr>
        <w:t>These needs should be determined through</w:t>
      </w:r>
      <w:r w:rsidR="003A2C17" w:rsidRPr="00AB2125">
        <w:rPr>
          <w:rFonts w:cstheme="minorHAnsi"/>
        </w:rPr>
        <w:t xml:space="preserve"> direct </w:t>
      </w:r>
      <w:r w:rsidR="00021BEE" w:rsidRPr="00AB2125">
        <w:rPr>
          <w:rFonts w:cstheme="minorHAnsi"/>
        </w:rPr>
        <w:t xml:space="preserve">consultation with people who are blind or vision impaired and </w:t>
      </w:r>
      <w:r w:rsidR="00357D85">
        <w:rPr>
          <w:rFonts w:cstheme="minorHAnsi"/>
        </w:rPr>
        <w:t>that</w:t>
      </w:r>
      <w:r w:rsidR="005722F3">
        <w:rPr>
          <w:rFonts w:cstheme="minorHAnsi"/>
        </w:rPr>
        <w:t xml:space="preserve"> organisations which directly represent them</w:t>
      </w:r>
      <w:r w:rsidR="00021BEE" w:rsidRPr="00AB2125">
        <w:rPr>
          <w:rFonts w:cstheme="minorHAnsi"/>
        </w:rPr>
        <w:t>.</w:t>
      </w:r>
    </w:p>
    <w:p w14:paraId="6A2D2069" w14:textId="1FB7ACCC" w:rsidR="005722F3" w:rsidRPr="003611BA" w:rsidRDefault="005722F3" w:rsidP="00064556">
      <w:pPr>
        <w:pStyle w:val="ListParagraph"/>
        <w:numPr>
          <w:ilvl w:val="0"/>
          <w:numId w:val="19"/>
        </w:numPr>
        <w:rPr>
          <w:rFonts w:cstheme="minorHAnsi"/>
        </w:rPr>
      </w:pPr>
      <w:r w:rsidRPr="003611BA">
        <w:rPr>
          <w:rFonts w:cstheme="minorHAnsi"/>
        </w:rPr>
        <w:t>Many people</w:t>
      </w:r>
      <w:r w:rsidR="003204CD" w:rsidRPr="003611BA">
        <w:rPr>
          <w:rFonts w:cstheme="minorHAnsi"/>
        </w:rPr>
        <w:t xml:space="preserve"> who are blind or vision impaired</w:t>
      </w:r>
      <w:r w:rsidRPr="003611BA">
        <w:rPr>
          <w:rFonts w:cstheme="minorHAnsi"/>
        </w:rPr>
        <w:t xml:space="preserve"> have other disabilities, in particular deafness or hearing impairment. It is not sufficient to meet needs arising from only one disability and such individuals should be </w:t>
      </w:r>
      <w:r w:rsidR="00064556" w:rsidRPr="00064556">
        <w:rPr>
          <w:rFonts w:cstheme="minorHAnsi"/>
        </w:rPr>
        <w:t>treated with dignity and respect using a holistic approach</w:t>
      </w:r>
      <w:r w:rsidRPr="003611BA">
        <w:rPr>
          <w:rFonts w:cstheme="minorHAnsi"/>
        </w:rPr>
        <w:t>.</w:t>
      </w:r>
    </w:p>
    <w:p w14:paraId="7787E945" w14:textId="5D009DF1" w:rsidR="007B0213" w:rsidRPr="00B279AB" w:rsidRDefault="007B0213" w:rsidP="000411BE">
      <w:pPr>
        <w:rPr>
          <w:b/>
          <w:szCs w:val="28"/>
        </w:rPr>
      </w:pPr>
      <w:r w:rsidRPr="0059111F">
        <w:rPr>
          <w:szCs w:val="28"/>
        </w:rPr>
        <w:t>Health</w:t>
      </w:r>
      <w:r w:rsidR="00B8509C" w:rsidRPr="0059111F">
        <w:rPr>
          <w:szCs w:val="28"/>
        </w:rPr>
        <w:t xml:space="preserve">care </w:t>
      </w:r>
      <w:r w:rsidRPr="0059111F">
        <w:rPr>
          <w:szCs w:val="28"/>
        </w:rPr>
        <w:t xml:space="preserve">service providers </w:t>
      </w:r>
      <w:r w:rsidR="00D80869" w:rsidRPr="0059111F">
        <w:rPr>
          <w:szCs w:val="28"/>
        </w:rPr>
        <w:t xml:space="preserve">and their staff </w:t>
      </w:r>
      <w:r w:rsidRPr="0059111F">
        <w:rPr>
          <w:szCs w:val="28"/>
        </w:rPr>
        <w:t>can demonstrate respect by:</w:t>
      </w:r>
    </w:p>
    <w:p w14:paraId="7061FE61" w14:textId="2D2B9190" w:rsidR="007B0213" w:rsidRPr="000411BE" w:rsidRDefault="00B302B1" w:rsidP="00F67E57">
      <w:pPr>
        <w:pStyle w:val="ListBullet"/>
        <w:tabs>
          <w:tab w:val="clear" w:pos="360"/>
        </w:tabs>
        <w:ind w:left="709"/>
        <w:rPr>
          <w:szCs w:val="28"/>
        </w:rPr>
      </w:pPr>
      <w:r w:rsidRPr="000411BE">
        <w:rPr>
          <w:szCs w:val="28"/>
        </w:rPr>
        <w:t xml:space="preserve">Communicating directly with a </w:t>
      </w:r>
      <w:r w:rsidR="00CF6B6C">
        <w:rPr>
          <w:szCs w:val="28"/>
        </w:rPr>
        <w:t xml:space="preserve">person </w:t>
      </w:r>
      <w:r w:rsidR="001D0B38" w:rsidRPr="000411BE">
        <w:rPr>
          <w:szCs w:val="28"/>
        </w:rPr>
        <w:t xml:space="preserve">who is </w:t>
      </w:r>
      <w:r w:rsidRPr="000411BE">
        <w:rPr>
          <w:szCs w:val="28"/>
        </w:rPr>
        <w:t xml:space="preserve">blind </w:t>
      </w:r>
      <w:r w:rsidR="001D0B38" w:rsidRPr="000411BE">
        <w:rPr>
          <w:szCs w:val="28"/>
        </w:rPr>
        <w:t>or</w:t>
      </w:r>
      <w:r w:rsidRPr="000411BE">
        <w:rPr>
          <w:szCs w:val="28"/>
        </w:rPr>
        <w:t xml:space="preserve"> vision impaired </w:t>
      </w:r>
    </w:p>
    <w:p w14:paraId="62A56D72" w14:textId="7017981F" w:rsidR="00D80869" w:rsidRPr="000411BE" w:rsidRDefault="00D80869" w:rsidP="00F67E57">
      <w:pPr>
        <w:pStyle w:val="ListBullet"/>
        <w:tabs>
          <w:tab w:val="clear" w:pos="360"/>
        </w:tabs>
        <w:ind w:left="709"/>
        <w:rPr>
          <w:szCs w:val="28"/>
        </w:rPr>
      </w:pPr>
      <w:r w:rsidRPr="000411BE">
        <w:rPr>
          <w:szCs w:val="28"/>
        </w:rPr>
        <w:t xml:space="preserve">Identifying themselves and discussing proposed procedures and treatments directly with a </w:t>
      </w:r>
      <w:r w:rsidR="00CF6B6C">
        <w:rPr>
          <w:szCs w:val="28"/>
        </w:rPr>
        <w:t xml:space="preserve">person </w:t>
      </w:r>
      <w:r w:rsidR="001D0B38" w:rsidRPr="000411BE">
        <w:rPr>
          <w:szCs w:val="28"/>
        </w:rPr>
        <w:t xml:space="preserve">who is </w:t>
      </w:r>
      <w:r w:rsidR="00CF6B6C">
        <w:rPr>
          <w:szCs w:val="28"/>
        </w:rPr>
        <w:t>blind or vision impaired</w:t>
      </w:r>
    </w:p>
    <w:p w14:paraId="6284CB86" w14:textId="51F8D8BD" w:rsidR="00D80869" w:rsidRPr="000411BE" w:rsidRDefault="006B6383" w:rsidP="00F67E57">
      <w:pPr>
        <w:pStyle w:val="ListBullet"/>
        <w:tabs>
          <w:tab w:val="clear" w:pos="360"/>
        </w:tabs>
        <w:ind w:left="709"/>
        <w:rPr>
          <w:szCs w:val="28"/>
        </w:rPr>
      </w:pPr>
      <w:r w:rsidRPr="000411BE">
        <w:rPr>
          <w:szCs w:val="28"/>
        </w:rPr>
        <w:t xml:space="preserve">Ensuring that information provided by </w:t>
      </w:r>
      <w:r w:rsidR="00CF6B6C">
        <w:rPr>
          <w:szCs w:val="28"/>
        </w:rPr>
        <w:t xml:space="preserve">people </w:t>
      </w:r>
      <w:r w:rsidR="002B2CAC">
        <w:rPr>
          <w:szCs w:val="28"/>
        </w:rPr>
        <w:t xml:space="preserve">who </w:t>
      </w:r>
      <w:r w:rsidR="001D0B38" w:rsidRPr="000411BE">
        <w:rPr>
          <w:szCs w:val="28"/>
        </w:rPr>
        <w:t xml:space="preserve">are </w:t>
      </w:r>
      <w:r w:rsidRPr="000411BE">
        <w:rPr>
          <w:szCs w:val="28"/>
        </w:rPr>
        <w:t xml:space="preserve">blind </w:t>
      </w:r>
      <w:r w:rsidR="001D0B38" w:rsidRPr="000411BE">
        <w:rPr>
          <w:szCs w:val="28"/>
        </w:rPr>
        <w:t>or</w:t>
      </w:r>
      <w:r w:rsidRPr="000411BE">
        <w:rPr>
          <w:szCs w:val="28"/>
        </w:rPr>
        <w:t xml:space="preserve"> vision impaired is handled in adherence to privacy and confidentiality </w:t>
      </w:r>
      <w:r w:rsidR="00C015E4" w:rsidRPr="000411BE">
        <w:rPr>
          <w:szCs w:val="28"/>
        </w:rPr>
        <w:t>legislation and service policies</w:t>
      </w:r>
    </w:p>
    <w:p w14:paraId="3E9B9D18" w14:textId="77777777" w:rsidR="006D3B3C" w:rsidRDefault="00863D3A" w:rsidP="00F67E57">
      <w:pPr>
        <w:pStyle w:val="ListBullet"/>
        <w:tabs>
          <w:tab w:val="clear" w:pos="360"/>
        </w:tabs>
        <w:ind w:left="709"/>
        <w:rPr>
          <w:szCs w:val="28"/>
        </w:rPr>
      </w:pPr>
      <w:r w:rsidRPr="000411BE">
        <w:rPr>
          <w:szCs w:val="28"/>
        </w:rPr>
        <w:t xml:space="preserve">Privacy concerns </w:t>
      </w:r>
      <w:r w:rsidR="00253D63" w:rsidRPr="000411BE">
        <w:rPr>
          <w:szCs w:val="28"/>
        </w:rPr>
        <w:t xml:space="preserve">need to </w:t>
      </w:r>
      <w:r w:rsidRPr="000411BE">
        <w:rPr>
          <w:szCs w:val="28"/>
        </w:rPr>
        <w:t>be considered when offering assistance with navigation to people who are blind or vision impaired. Anyone offering physical or guiding assistance should orient people to the space, who is in the space and also keep discreet any private information like the reason the person they are assisting is visiting the healthcare centre, to the best of their ability.</w:t>
      </w:r>
    </w:p>
    <w:p w14:paraId="60694E80" w14:textId="3A2F5E83" w:rsidR="00674FBA" w:rsidRPr="006D3B3C" w:rsidRDefault="006D3B3C" w:rsidP="00F67E57">
      <w:pPr>
        <w:pStyle w:val="ListBullet"/>
        <w:tabs>
          <w:tab w:val="clear" w:pos="360"/>
        </w:tabs>
        <w:ind w:left="709"/>
        <w:rPr>
          <w:szCs w:val="28"/>
        </w:rPr>
      </w:pPr>
      <w:r>
        <w:rPr>
          <w:szCs w:val="28"/>
        </w:rPr>
        <w:t xml:space="preserve">Interacting </w:t>
      </w:r>
      <w:r w:rsidR="00674FBA" w:rsidRPr="006D3B3C">
        <w:rPr>
          <w:szCs w:val="28"/>
        </w:rPr>
        <w:t xml:space="preserve">with people who are blind or vision impaired in a professional manner which upholds dignity, by not threatening, demeaning, refusing service or otherwise discriminating against them. </w:t>
      </w:r>
      <w:r w:rsidR="00AD1A25" w:rsidRPr="006D3B3C">
        <w:rPr>
          <w:szCs w:val="28"/>
        </w:rPr>
        <w:t>This</w:t>
      </w:r>
      <w:r w:rsidR="00B8509C" w:rsidRPr="006D3B3C">
        <w:rPr>
          <w:szCs w:val="28"/>
        </w:rPr>
        <w:t xml:space="preserve"> interaction covers pre-, during and post-service delivery. </w:t>
      </w:r>
    </w:p>
    <w:p w14:paraId="46621E7C" w14:textId="77777777" w:rsidR="00674FBA" w:rsidRDefault="00674FBA" w:rsidP="00B51247">
      <w:pPr>
        <w:pStyle w:val="ListBullet"/>
        <w:numPr>
          <w:ilvl w:val="0"/>
          <w:numId w:val="0"/>
        </w:numPr>
      </w:pPr>
    </w:p>
    <w:p w14:paraId="57CD8D50" w14:textId="4224DFC9" w:rsidR="000F5C39" w:rsidRPr="00140D1F" w:rsidRDefault="00B169AB" w:rsidP="00AB2125">
      <w:pPr>
        <w:pStyle w:val="Heading2"/>
      </w:pPr>
      <w:bookmarkStart w:id="9" w:name="_Toc25055878"/>
      <w:r>
        <w:t>4</w:t>
      </w:r>
      <w:r w:rsidR="000F5C39" w:rsidRPr="00140D1F">
        <w:t>.2 Access</w:t>
      </w:r>
      <w:bookmarkEnd w:id="9"/>
    </w:p>
    <w:p w14:paraId="62FEA11F" w14:textId="77777777" w:rsidR="0059111F" w:rsidRPr="0059111F" w:rsidRDefault="00263ADA" w:rsidP="0059111F">
      <w:pPr>
        <w:pStyle w:val="ListParagraph"/>
        <w:numPr>
          <w:ilvl w:val="0"/>
          <w:numId w:val="19"/>
        </w:numPr>
        <w:rPr>
          <w:rFonts w:cstheme="minorHAnsi"/>
          <w:szCs w:val="24"/>
        </w:rPr>
      </w:pPr>
      <w:r w:rsidRPr="00AB2125">
        <w:rPr>
          <w:rFonts w:cstheme="minorHAnsi"/>
          <w:szCs w:val="24"/>
        </w:rPr>
        <w:t xml:space="preserve">People who are blind or vision impaired have the right to access services and </w:t>
      </w:r>
      <w:r w:rsidR="007123D5">
        <w:rPr>
          <w:rFonts w:cstheme="minorHAnsi"/>
          <w:szCs w:val="24"/>
        </w:rPr>
        <w:t xml:space="preserve">treatments </w:t>
      </w:r>
      <w:r w:rsidRPr="00AB2125">
        <w:rPr>
          <w:rFonts w:cstheme="minorHAnsi"/>
          <w:szCs w:val="24"/>
        </w:rPr>
        <w:t xml:space="preserve">to meet </w:t>
      </w:r>
      <w:r w:rsidR="000D0EC1">
        <w:rPr>
          <w:rFonts w:cstheme="minorHAnsi"/>
          <w:szCs w:val="24"/>
        </w:rPr>
        <w:t xml:space="preserve">their </w:t>
      </w:r>
      <w:r w:rsidRPr="00AB2125">
        <w:rPr>
          <w:rFonts w:cstheme="minorHAnsi"/>
          <w:szCs w:val="24"/>
        </w:rPr>
        <w:t>healthcare needs</w:t>
      </w:r>
      <w:r w:rsidR="000F5C39" w:rsidRPr="00AB2125">
        <w:rPr>
          <w:rFonts w:cstheme="minorHAnsi"/>
          <w:szCs w:val="24"/>
        </w:rPr>
        <w:t>.</w:t>
      </w:r>
      <w:r w:rsidR="005E5820" w:rsidRPr="005E5820">
        <w:rPr>
          <w:rFonts w:cstheme="minorHAnsi"/>
          <w:szCs w:val="24"/>
          <w:vertAlign w:val="superscript"/>
        </w:rPr>
        <w:t>1</w:t>
      </w:r>
    </w:p>
    <w:p w14:paraId="50E35E22" w14:textId="793435BE" w:rsidR="002D4316" w:rsidRPr="0059111F" w:rsidRDefault="005E5820" w:rsidP="0059111F">
      <w:pPr>
        <w:pStyle w:val="ListParagraph"/>
        <w:numPr>
          <w:ilvl w:val="0"/>
          <w:numId w:val="19"/>
        </w:numPr>
        <w:rPr>
          <w:rFonts w:cstheme="minorHAnsi"/>
          <w:szCs w:val="24"/>
        </w:rPr>
      </w:pPr>
      <w:r w:rsidRPr="0059111F">
        <w:rPr>
          <w:rFonts w:cstheme="minorHAnsi"/>
        </w:rPr>
        <w:t xml:space="preserve">People who are blind or vision impaired </w:t>
      </w:r>
      <w:r w:rsidR="00E41A6A" w:rsidRPr="0059111F">
        <w:rPr>
          <w:rFonts w:cstheme="minorHAnsi"/>
        </w:rPr>
        <w:t>have the right to timely, comprehensive and access</w:t>
      </w:r>
      <w:r w:rsidR="004C354F" w:rsidRPr="0059111F">
        <w:rPr>
          <w:rFonts w:cstheme="minorHAnsi"/>
        </w:rPr>
        <w:t>ible</w:t>
      </w:r>
      <w:r w:rsidR="00E41A6A" w:rsidRPr="0059111F">
        <w:rPr>
          <w:rFonts w:cstheme="minorHAnsi"/>
        </w:rPr>
        <w:t xml:space="preserve"> early intervention health service</w:t>
      </w:r>
      <w:r w:rsidR="00B8509C" w:rsidRPr="0059111F">
        <w:rPr>
          <w:rFonts w:cstheme="minorHAnsi"/>
        </w:rPr>
        <w:t xml:space="preserve"> provision</w:t>
      </w:r>
      <w:r w:rsidR="00E41A6A" w:rsidRPr="0059111F">
        <w:rPr>
          <w:rFonts w:cstheme="minorHAnsi"/>
        </w:rPr>
        <w:t>. This also includes control and choice in what and when services are accessed.</w:t>
      </w:r>
      <w:r>
        <w:rPr>
          <w:rStyle w:val="FootnoteReference"/>
          <w:rFonts w:cstheme="minorHAnsi"/>
        </w:rPr>
        <w:footnoteReference w:id="2"/>
      </w:r>
    </w:p>
    <w:p w14:paraId="11F59151" w14:textId="65699882" w:rsidR="002D4316" w:rsidRPr="00445F62" w:rsidRDefault="002D4316" w:rsidP="007E27AD">
      <w:pPr>
        <w:rPr>
          <w:szCs w:val="24"/>
        </w:rPr>
      </w:pPr>
      <w:r w:rsidRPr="00445F62">
        <w:rPr>
          <w:szCs w:val="24"/>
        </w:rPr>
        <w:t>Healthcare service providers can demonstrate accessibility by:</w:t>
      </w:r>
    </w:p>
    <w:p w14:paraId="0E240B6B" w14:textId="32F3FD4A" w:rsidR="00263ADA" w:rsidRPr="00445F62" w:rsidRDefault="005A0FA3" w:rsidP="00445F62">
      <w:pPr>
        <w:pStyle w:val="ListParagraph"/>
        <w:numPr>
          <w:ilvl w:val="0"/>
          <w:numId w:val="35"/>
        </w:numPr>
        <w:rPr>
          <w:szCs w:val="24"/>
        </w:rPr>
      </w:pPr>
      <w:r w:rsidRPr="00445F62">
        <w:rPr>
          <w:szCs w:val="24"/>
        </w:rPr>
        <w:t>H</w:t>
      </w:r>
      <w:r w:rsidR="00263ADA" w:rsidRPr="00445F62">
        <w:rPr>
          <w:szCs w:val="24"/>
        </w:rPr>
        <w:t>av</w:t>
      </w:r>
      <w:r w:rsidRPr="00445F62">
        <w:rPr>
          <w:szCs w:val="24"/>
        </w:rPr>
        <w:t>ing</w:t>
      </w:r>
      <w:r w:rsidR="00263ADA" w:rsidRPr="00445F62">
        <w:rPr>
          <w:szCs w:val="24"/>
        </w:rPr>
        <w:t xml:space="preserve"> an access poli</w:t>
      </w:r>
      <w:r w:rsidR="00D349ED" w:rsidRPr="00445F62">
        <w:rPr>
          <w:szCs w:val="24"/>
        </w:rPr>
        <w:t xml:space="preserve">cy for people who are blind or </w:t>
      </w:r>
      <w:r w:rsidR="00263ADA" w:rsidRPr="00445F62">
        <w:rPr>
          <w:szCs w:val="24"/>
        </w:rPr>
        <w:t xml:space="preserve">vision impaired that promotes inclusive health and independence. </w:t>
      </w:r>
      <w:r w:rsidR="0059111F">
        <w:rPr>
          <w:szCs w:val="24"/>
        </w:rPr>
        <w:t>P</w:t>
      </w:r>
      <w:r w:rsidR="00D349ED" w:rsidRPr="00445F62">
        <w:rPr>
          <w:szCs w:val="24"/>
        </w:rPr>
        <w:t xml:space="preserve">eople who are blind or vision impaired can access the policy in their preferred format. </w:t>
      </w:r>
    </w:p>
    <w:p w14:paraId="6C1C8491" w14:textId="5A33A8DE" w:rsidR="00320023" w:rsidRPr="00AB2125" w:rsidRDefault="005864A6" w:rsidP="00774A7F">
      <w:pPr>
        <w:pStyle w:val="ListParagraph"/>
        <w:numPr>
          <w:ilvl w:val="0"/>
          <w:numId w:val="22"/>
        </w:numPr>
        <w:rPr>
          <w:rFonts w:cstheme="minorHAnsi"/>
          <w:szCs w:val="24"/>
        </w:rPr>
      </w:pPr>
      <w:r>
        <w:rPr>
          <w:rFonts w:cstheme="minorHAnsi"/>
          <w:szCs w:val="24"/>
        </w:rPr>
        <w:t>By</w:t>
      </w:r>
      <w:r w:rsidR="00F07C5D">
        <w:rPr>
          <w:rFonts w:cstheme="minorHAnsi"/>
          <w:szCs w:val="24"/>
        </w:rPr>
        <w:t xml:space="preserve"> </w:t>
      </w:r>
      <w:r w:rsidR="000A161D">
        <w:rPr>
          <w:rFonts w:cstheme="minorHAnsi"/>
          <w:szCs w:val="24"/>
        </w:rPr>
        <w:t>tak</w:t>
      </w:r>
      <w:r w:rsidR="00CC4D07">
        <w:rPr>
          <w:rFonts w:cstheme="minorHAnsi"/>
          <w:szCs w:val="24"/>
        </w:rPr>
        <w:t>ing</w:t>
      </w:r>
      <w:r w:rsidR="000A161D">
        <w:rPr>
          <w:rFonts w:cstheme="minorHAnsi"/>
          <w:szCs w:val="24"/>
        </w:rPr>
        <w:t xml:space="preserve"> into account that people who are blind or vision impaired may also be: of A</w:t>
      </w:r>
      <w:r w:rsidR="00263ADA" w:rsidRPr="00AB2125">
        <w:rPr>
          <w:rFonts w:cstheme="minorHAnsi"/>
          <w:szCs w:val="24"/>
        </w:rPr>
        <w:t>boriginal and Torres Strait Islander origin, people on low income, people</w:t>
      </w:r>
      <w:r w:rsidR="000A161D">
        <w:rPr>
          <w:rFonts w:cstheme="minorHAnsi"/>
          <w:szCs w:val="24"/>
        </w:rPr>
        <w:t xml:space="preserve"> in regional and remote areas, or o</w:t>
      </w:r>
      <w:r w:rsidR="00263ADA" w:rsidRPr="00AB2125">
        <w:rPr>
          <w:rFonts w:cstheme="minorHAnsi"/>
          <w:szCs w:val="24"/>
        </w:rPr>
        <w:t>lder peopl</w:t>
      </w:r>
      <w:r w:rsidR="000A161D">
        <w:rPr>
          <w:rFonts w:cstheme="minorHAnsi"/>
          <w:szCs w:val="24"/>
        </w:rPr>
        <w:t xml:space="preserve">e. </w:t>
      </w:r>
      <w:r w:rsidR="00B8555A" w:rsidRPr="00AB2125">
        <w:rPr>
          <w:rFonts w:cstheme="minorHAnsi"/>
          <w:szCs w:val="24"/>
        </w:rPr>
        <w:t>Services need to be affordable and accessible to all people.</w:t>
      </w:r>
      <w:r w:rsidR="00263ADA" w:rsidRPr="00AB2125">
        <w:rPr>
          <w:rFonts w:cstheme="minorHAnsi"/>
          <w:szCs w:val="24"/>
        </w:rPr>
        <w:t xml:space="preserve"> </w:t>
      </w:r>
    </w:p>
    <w:p w14:paraId="339BB301" w14:textId="6C34B74F" w:rsidR="00320023" w:rsidRPr="00AB2125" w:rsidRDefault="005864A6" w:rsidP="00320023">
      <w:pPr>
        <w:pStyle w:val="ListParagraph"/>
        <w:numPr>
          <w:ilvl w:val="0"/>
          <w:numId w:val="22"/>
        </w:numPr>
        <w:rPr>
          <w:rFonts w:cstheme="minorHAnsi"/>
          <w:szCs w:val="24"/>
        </w:rPr>
      </w:pPr>
      <w:r>
        <w:rPr>
          <w:rFonts w:cstheme="minorHAnsi"/>
          <w:szCs w:val="24"/>
        </w:rPr>
        <w:t>By a</w:t>
      </w:r>
      <w:r w:rsidR="00320023" w:rsidRPr="00AB2125">
        <w:rPr>
          <w:rFonts w:cstheme="minorHAnsi"/>
          <w:szCs w:val="24"/>
        </w:rPr>
        <w:t>ddress</w:t>
      </w:r>
      <w:r w:rsidR="00706089">
        <w:rPr>
          <w:rFonts w:cstheme="minorHAnsi"/>
          <w:szCs w:val="24"/>
        </w:rPr>
        <w:t>ing</w:t>
      </w:r>
      <w:r w:rsidR="00320023" w:rsidRPr="00AB2125">
        <w:rPr>
          <w:rFonts w:cstheme="minorHAnsi"/>
          <w:szCs w:val="24"/>
        </w:rPr>
        <w:t xml:space="preserve"> barriers, e.g., information, mo</w:t>
      </w:r>
      <w:r w:rsidR="000F5C39" w:rsidRPr="00AB2125">
        <w:rPr>
          <w:rFonts w:cstheme="minorHAnsi"/>
          <w:szCs w:val="24"/>
        </w:rPr>
        <w:t xml:space="preserve">bility, multiple disabilities. </w:t>
      </w:r>
      <w:r w:rsidR="00320023" w:rsidRPr="00AB2125">
        <w:rPr>
          <w:rFonts w:cstheme="minorHAnsi"/>
          <w:szCs w:val="24"/>
        </w:rPr>
        <w:t>This includes</w:t>
      </w:r>
      <w:r w:rsidR="009F4326" w:rsidRPr="00AB2125">
        <w:rPr>
          <w:rFonts w:cstheme="minorHAnsi"/>
          <w:szCs w:val="24"/>
        </w:rPr>
        <w:t xml:space="preserve"> accessible format production and meeting physical access requirements:</w:t>
      </w:r>
    </w:p>
    <w:p w14:paraId="40BBF3F6" w14:textId="01F63612" w:rsidR="009F4326" w:rsidRPr="00AB2125" w:rsidRDefault="00CC396E" w:rsidP="009F4326">
      <w:pPr>
        <w:pStyle w:val="ListParagraph"/>
        <w:numPr>
          <w:ilvl w:val="0"/>
          <w:numId w:val="22"/>
        </w:numPr>
        <w:ind w:left="1276"/>
        <w:rPr>
          <w:rFonts w:cstheme="minorHAnsi"/>
          <w:szCs w:val="24"/>
        </w:rPr>
      </w:pPr>
      <w:r>
        <w:rPr>
          <w:rFonts w:cstheme="minorHAnsi"/>
          <w:szCs w:val="24"/>
        </w:rPr>
        <w:t xml:space="preserve">Providing information in </w:t>
      </w:r>
      <w:r w:rsidR="0059111F">
        <w:rPr>
          <w:rFonts w:cstheme="minorHAnsi"/>
          <w:szCs w:val="24"/>
        </w:rPr>
        <w:t>a</w:t>
      </w:r>
      <w:r w:rsidR="009F4326" w:rsidRPr="00AB2125">
        <w:rPr>
          <w:rFonts w:cstheme="minorHAnsi"/>
          <w:szCs w:val="24"/>
        </w:rPr>
        <w:t xml:space="preserve">ccessible formats </w:t>
      </w:r>
      <w:r>
        <w:rPr>
          <w:rFonts w:cstheme="minorHAnsi"/>
          <w:szCs w:val="24"/>
        </w:rPr>
        <w:t xml:space="preserve">which may </w:t>
      </w:r>
      <w:r w:rsidR="00ED53AE">
        <w:rPr>
          <w:rFonts w:cstheme="minorHAnsi"/>
          <w:szCs w:val="24"/>
        </w:rPr>
        <w:t>include b</w:t>
      </w:r>
      <w:r w:rsidR="009F4326" w:rsidRPr="00AB2125">
        <w:rPr>
          <w:rFonts w:cstheme="minorHAnsi"/>
          <w:szCs w:val="24"/>
        </w:rPr>
        <w:t>raille, large</w:t>
      </w:r>
      <w:r w:rsidR="00643C58">
        <w:rPr>
          <w:rFonts w:cstheme="minorHAnsi"/>
          <w:szCs w:val="24"/>
        </w:rPr>
        <w:t xml:space="preserve"> </w:t>
      </w:r>
      <w:r>
        <w:rPr>
          <w:rFonts w:cstheme="minorHAnsi"/>
          <w:szCs w:val="24"/>
        </w:rPr>
        <w:t>print</w:t>
      </w:r>
      <w:r w:rsidR="00B8555A" w:rsidRPr="00AB2125">
        <w:rPr>
          <w:rFonts w:cstheme="minorHAnsi"/>
          <w:szCs w:val="24"/>
        </w:rPr>
        <w:t>,</w:t>
      </w:r>
      <w:r w:rsidR="009F4326" w:rsidRPr="00AB2125">
        <w:rPr>
          <w:rFonts w:cstheme="minorHAnsi"/>
          <w:szCs w:val="24"/>
        </w:rPr>
        <w:t xml:space="preserve"> electronic</w:t>
      </w:r>
      <w:r w:rsidR="00B8555A" w:rsidRPr="00AB2125">
        <w:rPr>
          <w:rFonts w:cstheme="minorHAnsi"/>
          <w:szCs w:val="24"/>
        </w:rPr>
        <w:t xml:space="preserve"> and </w:t>
      </w:r>
      <w:r>
        <w:rPr>
          <w:rFonts w:cstheme="minorHAnsi"/>
          <w:szCs w:val="24"/>
        </w:rPr>
        <w:t xml:space="preserve">audio </w:t>
      </w:r>
      <w:r w:rsidR="00B8555A" w:rsidRPr="00AB2125">
        <w:rPr>
          <w:rFonts w:cstheme="minorHAnsi"/>
          <w:szCs w:val="24"/>
        </w:rPr>
        <w:t>formats</w:t>
      </w:r>
      <w:r w:rsidR="009F4326" w:rsidRPr="00AB2125">
        <w:rPr>
          <w:rFonts w:cstheme="minorHAnsi"/>
          <w:szCs w:val="24"/>
        </w:rPr>
        <w:t xml:space="preserve">. </w:t>
      </w:r>
      <w:bookmarkStart w:id="10" w:name="_GoBack"/>
      <w:r w:rsidR="009F4326" w:rsidRPr="00AB2125">
        <w:rPr>
          <w:rFonts w:cstheme="minorHAnsi"/>
          <w:szCs w:val="24"/>
        </w:rPr>
        <w:t>Healthcare</w:t>
      </w:r>
      <w:bookmarkEnd w:id="10"/>
      <w:r w:rsidR="0059111F">
        <w:rPr>
          <w:rFonts w:cstheme="minorHAnsi"/>
          <w:szCs w:val="24"/>
        </w:rPr>
        <w:t xml:space="preserve"> services </w:t>
      </w:r>
      <w:r w:rsidR="009F4326" w:rsidRPr="00AB2125">
        <w:rPr>
          <w:rFonts w:cstheme="minorHAnsi"/>
          <w:szCs w:val="24"/>
        </w:rPr>
        <w:t xml:space="preserve">need to be </w:t>
      </w:r>
      <w:r w:rsidR="00263ADA" w:rsidRPr="00AB2125">
        <w:rPr>
          <w:rFonts w:cstheme="minorHAnsi"/>
          <w:szCs w:val="24"/>
        </w:rPr>
        <w:t xml:space="preserve">equipped to </w:t>
      </w:r>
      <w:r w:rsidR="00A512E9">
        <w:rPr>
          <w:rFonts w:cstheme="minorHAnsi"/>
          <w:szCs w:val="24"/>
        </w:rPr>
        <w:t xml:space="preserve">source or produce </w:t>
      </w:r>
      <w:r w:rsidR="00263ADA" w:rsidRPr="00AB2125">
        <w:rPr>
          <w:rFonts w:cstheme="minorHAnsi"/>
          <w:szCs w:val="24"/>
        </w:rPr>
        <w:t xml:space="preserve">the preferred alternative format that </w:t>
      </w:r>
      <w:r w:rsidR="00CE7807">
        <w:rPr>
          <w:rFonts w:cstheme="minorHAnsi"/>
          <w:szCs w:val="24"/>
        </w:rPr>
        <w:t>people who are blind or vision impaired</w:t>
      </w:r>
      <w:r w:rsidR="00AB2E60">
        <w:rPr>
          <w:rFonts w:cstheme="minorHAnsi"/>
          <w:szCs w:val="24"/>
        </w:rPr>
        <w:t xml:space="preserve"> </w:t>
      </w:r>
      <w:r w:rsidR="00263ADA" w:rsidRPr="00AB2125">
        <w:rPr>
          <w:rFonts w:cstheme="minorHAnsi"/>
          <w:szCs w:val="24"/>
        </w:rPr>
        <w:t xml:space="preserve">require. </w:t>
      </w:r>
    </w:p>
    <w:p w14:paraId="252A9240" w14:textId="6F42437E" w:rsidR="000A161D" w:rsidRPr="000A161D" w:rsidRDefault="009F4326" w:rsidP="000A161D">
      <w:pPr>
        <w:pStyle w:val="ListParagraph"/>
        <w:numPr>
          <w:ilvl w:val="0"/>
          <w:numId w:val="22"/>
        </w:numPr>
        <w:ind w:left="1276"/>
        <w:rPr>
          <w:rFonts w:cstheme="minorHAnsi"/>
          <w:szCs w:val="24"/>
        </w:rPr>
      </w:pPr>
      <w:r w:rsidRPr="00AB2125">
        <w:rPr>
          <w:rFonts w:cstheme="minorHAnsi"/>
          <w:szCs w:val="24"/>
        </w:rPr>
        <w:t xml:space="preserve">Physical access requirements include </w:t>
      </w:r>
      <w:r w:rsidR="0059111F">
        <w:rPr>
          <w:rFonts w:cstheme="minorHAnsi"/>
          <w:szCs w:val="24"/>
        </w:rPr>
        <w:t xml:space="preserve">appropriate lighting, </w:t>
      </w:r>
      <w:r w:rsidR="00263ADA" w:rsidRPr="00AB2125">
        <w:rPr>
          <w:rFonts w:cstheme="minorHAnsi"/>
          <w:szCs w:val="24"/>
        </w:rPr>
        <w:t>tactile</w:t>
      </w:r>
      <w:r w:rsidR="0059111F">
        <w:rPr>
          <w:rFonts w:cstheme="minorHAnsi"/>
          <w:szCs w:val="24"/>
        </w:rPr>
        <w:t xml:space="preserve"> and contrasting</w:t>
      </w:r>
      <w:r w:rsidR="0019331D">
        <w:rPr>
          <w:rFonts w:cstheme="minorHAnsi"/>
          <w:szCs w:val="24"/>
        </w:rPr>
        <w:t xml:space="preserve"> signage, </w:t>
      </w:r>
      <w:r w:rsidR="0059111F">
        <w:rPr>
          <w:rFonts w:cstheme="minorHAnsi"/>
          <w:szCs w:val="24"/>
        </w:rPr>
        <w:t>human assistance available if required, touchscreens with audio output etc.</w:t>
      </w:r>
      <w:r w:rsidR="000A161D">
        <w:rPr>
          <w:rFonts w:cstheme="minorHAnsi"/>
          <w:szCs w:val="24"/>
        </w:rPr>
        <w:t xml:space="preserve"> </w:t>
      </w:r>
      <w:r w:rsidR="0059111F">
        <w:rPr>
          <w:rFonts w:cstheme="minorHAnsi"/>
          <w:szCs w:val="24"/>
        </w:rPr>
        <w:t xml:space="preserve">Physical </w:t>
      </w:r>
      <w:r w:rsidR="000A161D">
        <w:rPr>
          <w:rFonts w:cstheme="minorHAnsi"/>
          <w:szCs w:val="24"/>
        </w:rPr>
        <w:t xml:space="preserve">access </w:t>
      </w:r>
      <w:r w:rsidR="0059111F">
        <w:rPr>
          <w:rFonts w:cstheme="minorHAnsi"/>
          <w:szCs w:val="24"/>
        </w:rPr>
        <w:t xml:space="preserve">also </w:t>
      </w:r>
      <w:r w:rsidR="000A161D">
        <w:rPr>
          <w:rFonts w:cstheme="minorHAnsi"/>
          <w:szCs w:val="24"/>
        </w:rPr>
        <w:t xml:space="preserve">means </w:t>
      </w:r>
      <w:r w:rsidR="00113BEB">
        <w:rPr>
          <w:rFonts w:cstheme="minorHAnsi"/>
          <w:szCs w:val="24"/>
        </w:rPr>
        <w:t xml:space="preserve">complying with legislation which allows </w:t>
      </w:r>
      <w:r w:rsidR="000A161D">
        <w:rPr>
          <w:rFonts w:cstheme="minorHAnsi"/>
          <w:szCs w:val="24"/>
        </w:rPr>
        <w:t>the presence of a dog guide, except</w:t>
      </w:r>
      <w:r w:rsidR="00CF6B6C">
        <w:rPr>
          <w:rFonts w:cstheme="minorHAnsi"/>
          <w:szCs w:val="24"/>
        </w:rPr>
        <w:t xml:space="preserve"> where it is unsafe or precluded by law</w:t>
      </w:r>
      <w:r w:rsidR="003751AC">
        <w:rPr>
          <w:rFonts w:cstheme="minorHAnsi"/>
          <w:szCs w:val="24"/>
        </w:rPr>
        <w:t xml:space="preserve">. </w:t>
      </w:r>
    </w:p>
    <w:p w14:paraId="7A23028D" w14:textId="575A49B5" w:rsidR="000F5C39" w:rsidRPr="00140D1F" w:rsidRDefault="00B169AB" w:rsidP="00AB2125">
      <w:pPr>
        <w:pStyle w:val="Heading2"/>
      </w:pPr>
      <w:bookmarkStart w:id="11" w:name="_Toc25055879"/>
      <w:r>
        <w:t>4</w:t>
      </w:r>
      <w:r w:rsidR="00097707" w:rsidRPr="00140D1F">
        <w:t>.3 Safety</w:t>
      </w:r>
      <w:bookmarkEnd w:id="11"/>
    </w:p>
    <w:p w14:paraId="7CE2DB1E" w14:textId="30869DFA" w:rsidR="00371B87" w:rsidRPr="00E41A6A" w:rsidRDefault="005F66DF" w:rsidP="00E41A6A">
      <w:pPr>
        <w:pStyle w:val="ListParagraph"/>
        <w:numPr>
          <w:ilvl w:val="0"/>
          <w:numId w:val="23"/>
        </w:numPr>
        <w:ind w:left="709"/>
        <w:rPr>
          <w:rFonts w:cstheme="minorHAnsi"/>
        </w:rPr>
      </w:pPr>
      <w:r>
        <w:rPr>
          <w:rFonts w:cstheme="minorHAnsi"/>
        </w:rPr>
        <w:t>P</w:t>
      </w:r>
      <w:r w:rsidR="00371B87" w:rsidRPr="00E41A6A">
        <w:rPr>
          <w:rFonts w:cstheme="minorHAnsi"/>
        </w:rPr>
        <w:t>eople who are blind or vis</w:t>
      </w:r>
      <w:r w:rsidR="00612D5A" w:rsidRPr="00E41A6A">
        <w:rPr>
          <w:rFonts w:cstheme="minorHAnsi"/>
        </w:rPr>
        <w:t xml:space="preserve">ion impaired have the right to </w:t>
      </w:r>
      <w:r w:rsidR="004E35BF" w:rsidRPr="00E41A6A">
        <w:rPr>
          <w:rFonts w:cstheme="minorHAnsi"/>
        </w:rPr>
        <w:t>high quality healthcare delivered in a safe environment.</w:t>
      </w:r>
      <w:r w:rsidRPr="005F66DF">
        <w:rPr>
          <w:rFonts w:cstheme="minorHAnsi"/>
          <w:vertAlign w:val="superscript"/>
        </w:rPr>
        <w:t>1</w:t>
      </w:r>
    </w:p>
    <w:p w14:paraId="25FCFAFF" w14:textId="376746DA" w:rsidR="00371B87" w:rsidRPr="00E41A6A" w:rsidRDefault="00265438" w:rsidP="00E41A6A">
      <w:pPr>
        <w:pStyle w:val="ListParagraph"/>
        <w:numPr>
          <w:ilvl w:val="0"/>
          <w:numId w:val="23"/>
        </w:numPr>
        <w:ind w:left="709"/>
        <w:rPr>
          <w:rFonts w:cstheme="minorHAnsi"/>
        </w:rPr>
      </w:pPr>
      <w:r>
        <w:rPr>
          <w:rFonts w:cstheme="minorHAnsi"/>
        </w:rPr>
        <w:t xml:space="preserve">A safe </w:t>
      </w:r>
      <w:r w:rsidR="00A200BB">
        <w:rPr>
          <w:rFonts w:cstheme="minorHAnsi"/>
        </w:rPr>
        <w:t>e</w:t>
      </w:r>
      <w:r w:rsidR="00371B87" w:rsidRPr="00E41A6A">
        <w:rPr>
          <w:rFonts w:cstheme="minorHAnsi"/>
        </w:rPr>
        <w:t>nvironment in which healt</w:t>
      </w:r>
      <w:r w:rsidR="00612D5A" w:rsidRPr="00E41A6A">
        <w:rPr>
          <w:rFonts w:cstheme="minorHAnsi"/>
        </w:rPr>
        <w:t>hcare meet</w:t>
      </w:r>
      <w:r w:rsidR="00C84442" w:rsidRPr="00E41A6A">
        <w:rPr>
          <w:rFonts w:cstheme="minorHAnsi"/>
        </w:rPr>
        <w:t>s</w:t>
      </w:r>
      <w:r w:rsidR="00612D5A" w:rsidRPr="00E41A6A">
        <w:rPr>
          <w:rFonts w:cstheme="minorHAnsi"/>
        </w:rPr>
        <w:t xml:space="preserve"> </w:t>
      </w:r>
      <w:r w:rsidR="00371B87" w:rsidRPr="00E41A6A">
        <w:rPr>
          <w:rFonts w:cstheme="minorHAnsi"/>
        </w:rPr>
        <w:t>the accessibility needs of people who are blind or vision i</w:t>
      </w:r>
      <w:r w:rsidR="00612D5A" w:rsidRPr="00E41A6A">
        <w:rPr>
          <w:rFonts w:cstheme="minorHAnsi"/>
        </w:rPr>
        <w:t>mpaired includ</w:t>
      </w:r>
      <w:r>
        <w:rPr>
          <w:rFonts w:cstheme="minorHAnsi"/>
        </w:rPr>
        <w:t>es</w:t>
      </w:r>
      <w:r w:rsidR="00643C58">
        <w:rPr>
          <w:rFonts w:cstheme="minorHAnsi"/>
        </w:rPr>
        <w:t xml:space="preserve"> </w:t>
      </w:r>
      <w:r w:rsidR="0059090A">
        <w:rPr>
          <w:rFonts w:cstheme="minorHAnsi"/>
        </w:rPr>
        <w:t>features or support to assist independent navigation</w:t>
      </w:r>
      <w:r w:rsidR="00612D5A" w:rsidRPr="00E41A6A">
        <w:rPr>
          <w:rFonts w:cstheme="minorHAnsi"/>
        </w:rPr>
        <w:t>.</w:t>
      </w:r>
      <w:r w:rsidR="00895FF8" w:rsidRPr="00E41A6A">
        <w:rPr>
          <w:rFonts w:cstheme="minorHAnsi"/>
        </w:rPr>
        <w:t xml:space="preserve"> </w:t>
      </w:r>
      <w:r w:rsidR="0059090A">
        <w:rPr>
          <w:rFonts w:cstheme="minorHAnsi"/>
        </w:rPr>
        <w:t xml:space="preserve">A safe </w:t>
      </w:r>
      <w:r w:rsidR="00895FF8" w:rsidRPr="00E41A6A">
        <w:rPr>
          <w:rFonts w:cstheme="minorHAnsi"/>
        </w:rPr>
        <w:t xml:space="preserve">environment </w:t>
      </w:r>
      <w:r w:rsidR="0059090A">
        <w:rPr>
          <w:rFonts w:cstheme="minorHAnsi"/>
        </w:rPr>
        <w:t xml:space="preserve">needs to </w:t>
      </w:r>
      <w:r w:rsidR="00895FF8" w:rsidRPr="00E41A6A">
        <w:rPr>
          <w:rFonts w:cstheme="minorHAnsi"/>
        </w:rPr>
        <w:t xml:space="preserve">be free from trip hazards and other obstacles. </w:t>
      </w:r>
    </w:p>
    <w:p w14:paraId="126B7895" w14:textId="7E7FA86F" w:rsidR="00895FF8" w:rsidRPr="00E41A6A" w:rsidRDefault="00895FF8" w:rsidP="00E41A6A">
      <w:pPr>
        <w:pStyle w:val="ListParagraph"/>
        <w:numPr>
          <w:ilvl w:val="0"/>
          <w:numId w:val="23"/>
        </w:numPr>
        <w:ind w:left="709"/>
        <w:rPr>
          <w:rFonts w:cstheme="minorHAnsi"/>
        </w:rPr>
      </w:pPr>
      <w:r w:rsidRPr="00E41A6A">
        <w:rPr>
          <w:rFonts w:cstheme="minorHAnsi"/>
        </w:rPr>
        <w:t xml:space="preserve">Risk assessments </w:t>
      </w:r>
      <w:r w:rsidR="007F4A87">
        <w:rPr>
          <w:rFonts w:cstheme="minorHAnsi"/>
        </w:rPr>
        <w:t xml:space="preserve">can </w:t>
      </w:r>
      <w:r w:rsidRPr="00E41A6A">
        <w:rPr>
          <w:rFonts w:cstheme="minorHAnsi"/>
        </w:rPr>
        <w:t xml:space="preserve">be undertaken by the healthcare facility to ensure that foreseen risks </w:t>
      </w:r>
      <w:r w:rsidR="005C357D">
        <w:rPr>
          <w:rFonts w:cstheme="minorHAnsi"/>
        </w:rPr>
        <w:t xml:space="preserve">to safety </w:t>
      </w:r>
      <w:r w:rsidR="006C304B">
        <w:rPr>
          <w:rFonts w:cstheme="minorHAnsi"/>
        </w:rPr>
        <w:t>are eradicated as soon as they are identified.</w:t>
      </w:r>
    </w:p>
    <w:p w14:paraId="587DD61E" w14:textId="1015FA88" w:rsidR="001273BB" w:rsidRDefault="001273BB" w:rsidP="00E41A6A">
      <w:pPr>
        <w:pStyle w:val="ListParagraph"/>
        <w:numPr>
          <w:ilvl w:val="0"/>
          <w:numId w:val="23"/>
        </w:numPr>
        <w:ind w:left="709"/>
        <w:rPr>
          <w:rFonts w:cstheme="minorHAnsi"/>
        </w:rPr>
      </w:pPr>
      <w:r w:rsidRPr="00E41A6A">
        <w:rPr>
          <w:rFonts w:cstheme="minorHAnsi"/>
        </w:rPr>
        <w:t xml:space="preserve">If a person who is blind or vision impaired declines a particular treatment or procedure, healthcare </w:t>
      </w:r>
      <w:r w:rsidR="00C06616">
        <w:rPr>
          <w:rFonts w:cstheme="minorHAnsi"/>
        </w:rPr>
        <w:t xml:space="preserve">service </w:t>
      </w:r>
      <w:r w:rsidRPr="00E41A6A">
        <w:rPr>
          <w:rFonts w:cstheme="minorHAnsi"/>
        </w:rPr>
        <w:t xml:space="preserve">providers </w:t>
      </w:r>
      <w:r w:rsidR="007747E3">
        <w:rPr>
          <w:rFonts w:cstheme="minorHAnsi"/>
        </w:rPr>
        <w:t xml:space="preserve">need to </w:t>
      </w:r>
      <w:r w:rsidR="000A161D">
        <w:rPr>
          <w:rFonts w:cstheme="minorHAnsi"/>
        </w:rPr>
        <w:t>make clear to the person any</w:t>
      </w:r>
      <w:r w:rsidRPr="00E41A6A">
        <w:rPr>
          <w:rFonts w:cstheme="minorHAnsi"/>
        </w:rPr>
        <w:t xml:space="preserve"> risks </w:t>
      </w:r>
      <w:r w:rsidR="000A161D">
        <w:rPr>
          <w:rFonts w:cstheme="minorHAnsi"/>
        </w:rPr>
        <w:t>and benefits of accepting or declining a service.</w:t>
      </w:r>
    </w:p>
    <w:p w14:paraId="3876D0B6" w14:textId="3638E502" w:rsidR="00DA282C" w:rsidRPr="00E41A6A" w:rsidRDefault="00DA282C" w:rsidP="00E41A6A">
      <w:pPr>
        <w:pStyle w:val="ListParagraph"/>
        <w:numPr>
          <w:ilvl w:val="0"/>
          <w:numId w:val="23"/>
        </w:numPr>
        <w:ind w:left="709"/>
        <w:rPr>
          <w:rFonts w:cstheme="minorHAnsi"/>
        </w:rPr>
      </w:pPr>
      <w:r>
        <w:rPr>
          <w:rFonts w:cstheme="minorHAnsi"/>
        </w:rPr>
        <w:t xml:space="preserve">The provision of disability awareness training </w:t>
      </w:r>
      <w:r w:rsidR="00C06616">
        <w:rPr>
          <w:rFonts w:cstheme="minorHAnsi"/>
        </w:rPr>
        <w:t>can</w:t>
      </w:r>
      <w:r>
        <w:rPr>
          <w:rFonts w:cstheme="minorHAnsi"/>
        </w:rPr>
        <w:t xml:space="preserve"> be implemented in healthcare facilities to</w:t>
      </w:r>
      <w:r w:rsidR="002B2CAC">
        <w:rPr>
          <w:rFonts w:cstheme="minorHAnsi"/>
        </w:rPr>
        <w:t xml:space="preserve"> staff directly providing service to consumers</w:t>
      </w:r>
      <w:r>
        <w:rPr>
          <w:rFonts w:cstheme="minorHAnsi"/>
        </w:rPr>
        <w:t xml:space="preserve">. </w:t>
      </w:r>
    </w:p>
    <w:p w14:paraId="774F9284" w14:textId="5BFFEE24" w:rsidR="00DA3372" w:rsidRPr="00140D1F" w:rsidRDefault="00012BFE" w:rsidP="00AB2125">
      <w:pPr>
        <w:pStyle w:val="Heading2"/>
      </w:pPr>
      <w:bookmarkStart w:id="12" w:name="_Toc25055880"/>
      <w:r>
        <w:t>4</w:t>
      </w:r>
      <w:r w:rsidR="00097707" w:rsidRPr="00140D1F">
        <w:t>.4 Partnership</w:t>
      </w:r>
      <w:bookmarkEnd w:id="12"/>
    </w:p>
    <w:p w14:paraId="42B4D1C8" w14:textId="3FB66102" w:rsidR="00DA3372" w:rsidRPr="00E41A6A" w:rsidRDefault="005F66DF" w:rsidP="00E41A6A">
      <w:pPr>
        <w:pStyle w:val="ListParagraph"/>
        <w:numPr>
          <w:ilvl w:val="0"/>
          <w:numId w:val="24"/>
        </w:numPr>
        <w:ind w:left="709"/>
        <w:rPr>
          <w:rFonts w:cstheme="minorHAnsi"/>
        </w:rPr>
      </w:pPr>
      <w:r>
        <w:rPr>
          <w:rFonts w:cstheme="minorHAnsi"/>
        </w:rPr>
        <w:t>Pe</w:t>
      </w:r>
      <w:r w:rsidR="00DA3372" w:rsidRPr="00E41A6A">
        <w:rPr>
          <w:rFonts w:cstheme="minorHAnsi"/>
        </w:rPr>
        <w:t>ople who are blind or vision impaired have a right to engage in open communication and make decisions about their healthcare.</w:t>
      </w:r>
      <w:r w:rsidRPr="005F66DF">
        <w:rPr>
          <w:rFonts w:cstheme="minorHAnsi"/>
          <w:vertAlign w:val="superscript"/>
        </w:rPr>
        <w:t>1</w:t>
      </w:r>
    </w:p>
    <w:p w14:paraId="2DE0BB00" w14:textId="0BD035DE" w:rsidR="00DA3372" w:rsidRPr="00E41A6A" w:rsidRDefault="00A676FF" w:rsidP="00E41A6A">
      <w:pPr>
        <w:pStyle w:val="ListParagraph"/>
        <w:numPr>
          <w:ilvl w:val="0"/>
          <w:numId w:val="24"/>
        </w:numPr>
        <w:ind w:left="709"/>
        <w:rPr>
          <w:rFonts w:cstheme="minorHAnsi"/>
        </w:rPr>
      </w:pPr>
      <w:r>
        <w:rPr>
          <w:rFonts w:cstheme="minorHAnsi"/>
        </w:rPr>
        <w:t xml:space="preserve">People </w:t>
      </w:r>
      <w:r w:rsidR="00DA3372" w:rsidRPr="00E41A6A">
        <w:rPr>
          <w:rFonts w:cstheme="minorHAnsi"/>
        </w:rPr>
        <w:t>who are blind or vision</w:t>
      </w:r>
      <w:r w:rsidR="00F06505" w:rsidRPr="00E41A6A">
        <w:rPr>
          <w:rFonts w:cstheme="minorHAnsi"/>
        </w:rPr>
        <w:t xml:space="preserve"> impaired</w:t>
      </w:r>
      <w:r w:rsidR="00DA3372" w:rsidRPr="00E41A6A">
        <w:rPr>
          <w:rFonts w:cstheme="minorHAnsi"/>
        </w:rPr>
        <w:t xml:space="preserve"> have a rig</w:t>
      </w:r>
      <w:r w:rsidR="0022638E" w:rsidRPr="00E41A6A">
        <w:rPr>
          <w:rFonts w:cstheme="minorHAnsi"/>
        </w:rPr>
        <w:t xml:space="preserve">ht to include the people that they </w:t>
      </w:r>
      <w:r w:rsidR="00DA3372" w:rsidRPr="00E41A6A">
        <w:rPr>
          <w:rFonts w:cstheme="minorHAnsi"/>
        </w:rPr>
        <w:t>want in</w:t>
      </w:r>
      <w:r w:rsidR="00097707" w:rsidRPr="00E41A6A">
        <w:rPr>
          <w:rFonts w:cstheme="minorHAnsi"/>
        </w:rPr>
        <w:t xml:space="preserve"> planning and decision-making.</w:t>
      </w:r>
    </w:p>
    <w:p w14:paraId="2172C492" w14:textId="23205C17" w:rsidR="00DA3372" w:rsidRPr="00E41A6A" w:rsidRDefault="005F66DF" w:rsidP="00E41A6A">
      <w:pPr>
        <w:pStyle w:val="ListParagraph"/>
        <w:numPr>
          <w:ilvl w:val="0"/>
          <w:numId w:val="24"/>
        </w:numPr>
        <w:ind w:left="709"/>
        <w:rPr>
          <w:rFonts w:cstheme="minorHAnsi"/>
        </w:rPr>
      </w:pPr>
      <w:r>
        <w:rPr>
          <w:rFonts w:cstheme="minorHAnsi"/>
        </w:rPr>
        <w:t>P</w:t>
      </w:r>
      <w:r w:rsidR="0022638E" w:rsidRPr="00E41A6A">
        <w:rPr>
          <w:rFonts w:cstheme="minorHAnsi"/>
        </w:rPr>
        <w:t xml:space="preserve">eople who are blind or vision impaired have the right to share their </w:t>
      </w:r>
      <w:r w:rsidR="00DA3372" w:rsidRPr="00E41A6A">
        <w:rPr>
          <w:rFonts w:cstheme="minorHAnsi"/>
        </w:rPr>
        <w:t>experience and participate in improving t</w:t>
      </w:r>
      <w:r>
        <w:rPr>
          <w:rFonts w:cstheme="minorHAnsi"/>
        </w:rPr>
        <w:t>he quality of health services.</w:t>
      </w:r>
      <w:r w:rsidRPr="005F66DF">
        <w:rPr>
          <w:rFonts w:cstheme="minorHAnsi"/>
          <w:sz w:val="36"/>
          <w:vertAlign w:val="superscript"/>
        </w:rPr>
        <w:t>1</w:t>
      </w:r>
    </w:p>
    <w:p w14:paraId="1E500DA0" w14:textId="77777777" w:rsidR="00B279AB" w:rsidRDefault="00B279AB">
      <w:pPr>
        <w:rPr>
          <w:rFonts w:cstheme="minorHAnsi"/>
        </w:rPr>
      </w:pPr>
      <w:r>
        <w:rPr>
          <w:rFonts w:cstheme="minorHAnsi"/>
        </w:rPr>
        <w:br w:type="page"/>
      </w:r>
    </w:p>
    <w:p w14:paraId="6FD78F6C" w14:textId="58BB238F" w:rsidR="00CB0AEB" w:rsidRDefault="00CB0AEB" w:rsidP="007E27AD">
      <w:pPr>
        <w:ind w:left="360"/>
        <w:rPr>
          <w:rFonts w:cstheme="minorHAnsi"/>
        </w:rPr>
      </w:pPr>
      <w:r>
        <w:rPr>
          <w:rFonts w:cstheme="minorHAnsi"/>
        </w:rPr>
        <w:t>Partnership is demonstrated when</w:t>
      </w:r>
      <w:r w:rsidR="00C06616">
        <w:rPr>
          <w:rFonts w:cstheme="minorHAnsi"/>
        </w:rPr>
        <w:t>:</w:t>
      </w:r>
    </w:p>
    <w:p w14:paraId="3FD720F9" w14:textId="09056F82" w:rsidR="00C06616" w:rsidRPr="00C06616" w:rsidRDefault="008956EC" w:rsidP="00586426">
      <w:pPr>
        <w:pStyle w:val="ListParagraph"/>
        <w:numPr>
          <w:ilvl w:val="0"/>
          <w:numId w:val="36"/>
        </w:numPr>
        <w:ind w:left="709"/>
        <w:rPr>
          <w:rFonts w:cstheme="minorHAnsi"/>
        </w:rPr>
      </w:pPr>
      <w:r w:rsidRPr="00C06616">
        <w:rPr>
          <w:rFonts w:cstheme="minorHAnsi"/>
        </w:rPr>
        <w:t xml:space="preserve">Health practitioners </w:t>
      </w:r>
      <w:r w:rsidR="00D96392" w:rsidRPr="00C06616">
        <w:rPr>
          <w:rFonts w:cstheme="minorHAnsi"/>
        </w:rPr>
        <w:t xml:space="preserve">are </w:t>
      </w:r>
      <w:r w:rsidRPr="00C06616">
        <w:rPr>
          <w:rFonts w:cstheme="minorHAnsi"/>
        </w:rPr>
        <w:t xml:space="preserve">aware of the power imbalance in the practitioner-client relationship and </w:t>
      </w:r>
      <w:r w:rsidR="00D96392" w:rsidRPr="00C06616">
        <w:rPr>
          <w:rFonts w:cstheme="minorHAnsi"/>
        </w:rPr>
        <w:t xml:space="preserve">do </w:t>
      </w:r>
      <w:r w:rsidR="007B465E" w:rsidRPr="00C06616">
        <w:rPr>
          <w:rFonts w:cstheme="minorHAnsi"/>
        </w:rPr>
        <w:t>not exploit their power, espe</w:t>
      </w:r>
      <w:r w:rsidR="009368B0">
        <w:rPr>
          <w:rFonts w:cstheme="minorHAnsi"/>
        </w:rPr>
        <w:t>cially with vulnerable clients</w:t>
      </w:r>
      <w:r w:rsidR="002B042B" w:rsidRPr="00C06616">
        <w:rPr>
          <w:rFonts w:cstheme="minorHAnsi"/>
        </w:rPr>
        <w:t xml:space="preserve">. </w:t>
      </w:r>
    </w:p>
    <w:p w14:paraId="72FA712A" w14:textId="3F126020" w:rsidR="004E65D4" w:rsidRDefault="00BC3F13" w:rsidP="00586426">
      <w:pPr>
        <w:pStyle w:val="ListParagraph"/>
        <w:numPr>
          <w:ilvl w:val="0"/>
          <w:numId w:val="36"/>
        </w:numPr>
        <w:ind w:left="709"/>
        <w:rPr>
          <w:rFonts w:cstheme="minorHAnsi"/>
        </w:rPr>
      </w:pPr>
      <w:r>
        <w:rPr>
          <w:rFonts w:cstheme="minorHAnsi"/>
        </w:rPr>
        <w:t>P</w:t>
      </w:r>
      <w:r w:rsidR="007B465E" w:rsidRPr="00C06616">
        <w:rPr>
          <w:rFonts w:cstheme="minorHAnsi"/>
        </w:rPr>
        <w:t xml:space="preserve">ractitioners </w:t>
      </w:r>
      <w:r>
        <w:rPr>
          <w:rFonts w:cstheme="minorHAnsi"/>
        </w:rPr>
        <w:t xml:space="preserve">working for healthcare service providers </w:t>
      </w:r>
      <w:r w:rsidR="00825647" w:rsidRPr="00C06616">
        <w:rPr>
          <w:rFonts w:cstheme="minorHAnsi"/>
        </w:rPr>
        <w:t xml:space="preserve">are </w:t>
      </w:r>
      <w:r w:rsidR="007B465E" w:rsidRPr="00C06616">
        <w:rPr>
          <w:rFonts w:cstheme="minorHAnsi"/>
        </w:rPr>
        <w:t xml:space="preserve">aware of confidentiality and respect for privacy when dealing with family, friends or other support people </w:t>
      </w:r>
      <w:r w:rsidR="00FE1DB7" w:rsidRPr="00C06616">
        <w:rPr>
          <w:rFonts w:cstheme="minorHAnsi"/>
        </w:rPr>
        <w:t xml:space="preserve">including interpreters </w:t>
      </w:r>
      <w:r w:rsidR="007B465E" w:rsidRPr="00C06616">
        <w:rPr>
          <w:rFonts w:cstheme="minorHAnsi"/>
        </w:rPr>
        <w:t>who may</w:t>
      </w:r>
      <w:r w:rsidR="00FE1DB7" w:rsidRPr="00C06616">
        <w:rPr>
          <w:rFonts w:cstheme="minorHAnsi"/>
        </w:rPr>
        <w:t xml:space="preserve"> accompany p</w:t>
      </w:r>
      <w:r w:rsidR="007B465E" w:rsidRPr="00C06616">
        <w:rPr>
          <w:rFonts w:cstheme="minorHAnsi"/>
        </w:rPr>
        <w:t xml:space="preserve">eople who are blind or vision impaired </w:t>
      </w:r>
      <w:r w:rsidR="00FE1DB7" w:rsidRPr="00C06616">
        <w:rPr>
          <w:rFonts w:cstheme="minorHAnsi"/>
        </w:rPr>
        <w:t>to hea</w:t>
      </w:r>
      <w:r w:rsidR="007B465E" w:rsidRPr="00C06616">
        <w:rPr>
          <w:rFonts w:cstheme="minorHAnsi"/>
        </w:rPr>
        <w:t xml:space="preserve">lthcare-related activities or appointments. </w:t>
      </w:r>
      <w:r w:rsidR="00825647" w:rsidRPr="00C06616">
        <w:rPr>
          <w:rFonts w:cstheme="minorHAnsi"/>
        </w:rPr>
        <w:t>Respect for privacy means that e</w:t>
      </w:r>
      <w:r w:rsidR="007B465E" w:rsidRPr="00C06616">
        <w:rPr>
          <w:rFonts w:cstheme="minorHAnsi"/>
        </w:rPr>
        <w:t xml:space="preserve">xplicit consent </w:t>
      </w:r>
      <w:r w:rsidR="00CA28AF" w:rsidRPr="00C06616">
        <w:rPr>
          <w:rFonts w:cstheme="minorHAnsi"/>
        </w:rPr>
        <w:t xml:space="preserve">is </w:t>
      </w:r>
      <w:r w:rsidR="00FE1DB7" w:rsidRPr="00C06616">
        <w:rPr>
          <w:rFonts w:cstheme="minorHAnsi"/>
        </w:rPr>
        <w:t>given by the</w:t>
      </w:r>
      <w:r w:rsidR="00EC3151" w:rsidRPr="00C06616">
        <w:rPr>
          <w:rFonts w:cstheme="minorHAnsi"/>
        </w:rPr>
        <w:t xml:space="preserve"> </w:t>
      </w:r>
      <w:r w:rsidR="00CE7807">
        <w:rPr>
          <w:rFonts w:cstheme="minorHAnsi"/>
        </w:rPr>
        <w:t xml:space="preserve">person who is blind or vision impaired </w:t>
      </w:r>
      <w:r w:rsidR="00FE1DB7" w:rsidRPr="00C06616">
        <w:rPr>
          <w:rFonts w:cstheme="minorHAnsi"/>
        </w:rPr>
        <w:t>prior to any disc</w:t>
      </w:r>
      <w:r w:rsidR="007B465E" w:rsidRPr="00C06616">
        <w:rPr>
          <w:rFonts w:cstheme="minorHAnsi"/>
        </w:rPr>
        <w:t>losure of personal information including sensitive medical information like diagnoses, prognoses and conditions</w:t>
      </w:r>
      <w:r w:rsidR="002B042B" w:rsidRPr="00C06616">
        <w:rPr>
          <w:rFonts w:cstheme="minorHAnsi"/>
        </w:rPr>
        <w:t xml:space="preserve"> to anyone else. </w:t>
      </w:r>
    </w:p>
    <w:p w14:paraId="4AEBD926" w14:textId="2231FE6D" w:rsidR="00DA3372" w:rsidRPr="00445F62" w:rsidRDefault="002B042B" w:rsidP="00586426">
      <w:pPr>
        <w:pStyle w:val="ListParagraph"/>
        <w:numPr>
          <w:ilvl w:val="0"/>
          <w:numId w:val="36"/>
        </w:numPr>
        <w:ind w:left="709"/>
        <w:rPr>
          <w:rFonts w:cstheme="minorHAnsi"/>
        </w:rPr>
      </w:pPr>
      <w:r w:rsidRPr="00C06616">
        <w:rPr>
          <w:rFonts w:cstheme="minorHAnsi"/>
        </w:rPr>
        <w:t>Healthcare</w:t>
      </w:r>
      <w:r w:rsidR="00586426">
        <w:rPr>
          <w:rFonts w:cstheme="minorHAnsi"/>
        </w:rPr>
        <w:t xml:space="preserve"> service</w:t>
      </w:r>
      <w:r w:rsidRPr="00C06616">
        <w:rPr>
          <w:rFonts w:cstheme="minorHAnsi"/>
        </w:rPr>
        <w:t xml:space="preserve"> providers </w:t>
      </w:r>
      <w:r w:rsidR="00C064B7" w:rsidRPr="00C06616">
        <w:rPr>
          <w:rFonts w:cstheme="minorHAnsi"/>
        </w:rPr>
        <w:t xml:space="preserve">adhere to </w:t>
      </w:r>
      <w:r w:rsidRPr="00C06616">
        <w:rPr>
          <w:rFonts w:cstheme="minorHAnsi"/>
        </w:rPr>
        <w:t>the codes o</w:t>
      </w:r>
      <w:r w:rsidR="001979FF" w:rsidRPr="00C06616">
        <w:rPr>
          <w:rFonts w:cstheme="minorHAnsi"/>
        </w:rPr>
        <w:t>f</w:t>
      </w:r>
      <w:r w:rsidRPr="00C06616">
        <w:rPr>
          <w:rFonts w:cstheme="minorHAnsi"/>
        </w:rPr>
        <w:t xml:space="preserve"> ethics and ethical guidelines </w:t>
      </w:r>
      <w:r w:rsidR="00C064B7" w:rsidRPr="00C06616">
        <w:rPr>
          <w:rFonts w:cstheme="minorHAnsi"/>
        </w:rPr>
        <w:t xml:space="preserve">of </w:t>
      </w:r>
      <w:r w:rsidRPr="00C06616">
        <w:rPr>
          <w:rFonts w:cstheme="minorHAnsi"/>
        </w:rPr>
        <w:t>th</w:t>
      </w:r>
      <w:r w:rsidR="004E65D4">
        <w:rPr>
          <w:rFonts w:cstheme="minorHAnsi"/>
        </w:rPr>
        <w:t xml:space="preserve">eir respective governing bodies. </w:t>
      </w:r>
    </w:p>
    <w:p w14:paraId="2BC34853" w14:textId="010CAD45" w:rsidR="00DA3372" w:rsidRPr="00140D1F" w:rsidRDefault="002F33DB" w:rsidP="00AB2125">
      <w:pPr>
        <w:pStyle w:val="Heading2"/>
      </w:pPr>
      <w:bookmarkStart w:id="13" w:name="_Toc25055881"/>
      <w:r>
        <w:t>4</w:t>
      </w:r>
      <w:r w:rsidR="00097707" w:rsidRPr="00140D1F">
        <w:t>.5 Information</w:t>
      </w:r>
      <w:bookmarkEnd w:id="13"/>
    </w:p>
    <w:p w14:paraId="3C595E8F" w14:textId="5E5FE8EF" w:rsidR="00B82CBC" w:rsidRPr="00E41A6A" w:rsidRDefault="00C81EF6" w:rsidP="008042BB">
      <w:pPr>
        <w:pStyle w:val="ListParagraph"/>
        <w:numPr>
          <w:ilvl w:val="0"/>
          <w:numId w:val="37"/>
        </w:numPr>
        <w:rPr>
          <w:rFonts w:cstheme="minorHAnsi"/>
          <w:sz w:val="28"/>
        </w:rPr>
      </w:pPr>
      <w:r w:rsidRPr="00E41A6A">
        <w:rPr>
          <w:rFonts w:cstheme="minorHAnsi"/>
        </w:rPr>
        <w:t xml:space="preserve">People who are blind or vision impaired have the </w:t>
      </w:r>
      <w:r w:rsidR="00B82CBC" w:rsidRPr="00E41A6A">
        <w:rPr>
          <w:rFonts w:cstheme="minorHAnsi"/>
        </w:rPr>
        <w:t>right to be engaged in inf</w:t>
      </w:r>
      <w:r w:rsidR="005A0DE3">
        <w:rPr>
          <w:rFonts w:cstheme="minorHAnsi"/>
        </w:rPr>
        <w:t xml:space="preserve">ormed consent, be told about their </w:t>
      </w:r>
      <w:r w:rsidR="00B82CBC" w:rsidRPr="00E41A6A">
        <w:rPr>
          <w:rFonts w:cstheme="minorHAnsi"/>
        </w:rPr>
        <w:t xml:space="preserve">condition and the possible benefits and </w:t>
      </w:r>
      <w:r w:rsidRPr="00E41A6A">
        <w:rPr>
          <w:rFonts w:cstheme="minorHAnsi"/>
        </w:rPr>
        <w:t>risks of tests and treatments.</w:t>
      </w:r>
    </w:p>
    <w:p w14:paraId="4B8D622D" w14:textId="53FEF8A8" w:rsidR="00B82CBC" w:rsidRPr="00E41A6A" w:rsidRDefault="005F66DF" w:rsidP="008042BB">
      <w:pPr>
        <w:pStyle w:val="ListParagraph"/>
        <w:numPr>
          <w:ilvl w:val="0"/>
          <w:numId w:val="37"/>
        </w:numPr>
        <w:rPr>
          <w:rFonts w:cstheme="minorHAnsi"/>
          <w:sz w:val="28"/>
        </w:rPr>
      </w:pPr>
      <w:r>
        <w:rPr>
          <w:rFonts w:cstheme="minorHAnsi"/>
        </w:rPr>
        <w:t>P</w:t>
      </w:r>
      <w:r w:rsidR="00C81EF6" w:rsidRPr="00E41A6A">
        <w:rPr>
          <w:rFonts w:cstheme="minorHAnsi"/>
        </w:rPr>
        <w:t>eople who are blind or vision impaired ha</w:t>
      </w:r>
      <w:r w:rsidR="00B82CBC" w:rsidRPr="00E41A6A">
        <w:rPr>
          <w:rFonts w:cstheme="minorHAnsi"/>
        </w:rPr>
        <w:t>ve the right to clear and timely information about servi</w:t>
      </w:r>
      <w:r w:rsidR="003007A2" w:rsidRPr="00E41A6A">
        <w:rPr>
          <w:rFonts w:cstheme="minorHAnsi"/>
        </w:rPr>
        <w:t>ces, waiting times and costs</w:t>
      </w:r>
      <w:r w:rsidR="003A7D92">
        <w:rPr>
          <w:rFonts w:cstheme="minorHAnsi"/>
        </w:rPr>
        <w:t xml:space="preserve"> in accessible formats</w:t>
      </w:r>
      <w:r w:rsidR="003007A2" w:rsidRPr="00E41A6A">
        <w:rPr>
          <w:rFonts w:cstheme="minorHAnsi"/>
        </w:rPr>
        <w:t>.</w:t>
      </w:r>
      <w:r w:rsidRPr="005F66DF">
        <w:rPr>
          <w:rFonts w:cstheme="minorHAnsi"/>
          <w:vertAlign w:val="superscript"/>
        </w:rPr>
        <w:t>1</w:t>
      </w:r>
      <w:r>
        <w:rPr>
          <w:rFonts w:cstheme="minorHAnsi"/>
          <w:vertAlign w:val="superscript"/>
        </w:rPr>
        <w:t>,</w:t>
      </w:r>
      <w:r w:rsidRPr="005F66DF">
        <w:rPr>
          <w:rFonts w:cstheme="minorHAnsi"/>
          <w:vertAlign w:val="superscript"/>
        </w:rPr>
        <w:t>2</w:t>
      </w:r>
      <w:r w:rsidR="003007A2" w:rsidRPr="005F66DF">
        <w:rPr>
          <w:rFonts w:cstheme="minorHAnsi"/>
          <w:vertAlign w:val="superscript"/>
        </w:rPr>
        <w:t xml:space="preserve"> </w:t>
      </w:r>
    </w:p>
    <w:p w14:paraId="09FC241B" w14:textId="399EA79A" w:rsidR="00B82CBC" w:rsidRPr="00E41A6A" w:rsidRDefault="005F66DF" w:rsidP="008042BB">
      <w:pPr>
        <w:pStyle w:val="ListParagraph"/>
        <w:numPr>
          <w:ilvl w:val="0"/>
          <w:numId w:val="37"/>
        </w:numPr>
        <w:rPr>
          <w:rFonts w:cstheme="minorHAnsi"/>
          <w:sz w:val="28"/>
        </w:rPr>
      </w:pPr>
      <w:r>
        <w:rPr>
          <w:rFonts w:cstheme="minorHAnsi"/>
        </w:rPr>
        <w:t>P</w:t>
      </w:r>
      <w:r w:rsidR="00C81EF6" w:rsidRPr="00E41A6A">
        <w:rPr>
          <w:rFonts w:cstheme="minorHAnsi"/>
        </w:rPr>
        <w:t xml:space="preserve">eople who are blind or vision impaired </w:t>
      </w:r>
      <w:r w:rsidR="00B82CBC" w:rsidRPr="00E41A6A">
        <w:rPr>
          <w:rFonts w:cstheme="minorHAnsi"/>
        </w:rPr>
        <w:t xml:space="preserve">have a right to be given assistance to </w:t>
      </w:r>
      <w:r w:rsidR="00C81EF6" w:rsidRPr="00E41A6A">
        <w:rPr>
          <w:rFonts w:cstheme="minorHAnsi"/>
        </w:rPr>
        <w:t>understand health information.</w:t>
      </w:r>
      <w:r w:rsidRPr="005F66DF">
        <w:rPr>
          <w:rFonts w:cstheme="minorHAnsi"/>
          <w:vertAlign w:val="superscript"/>
        </w:rPr>
        <w:t>1</w:t>
      </w:r>
    </w:p>
    <w:p w14:paraId="2901C56D" w14:textId="268F71B2" w:rsidR="00B82CBC" w:rsidRPr="00CD678B" w:rsidRDefault="005F66DF" w:rsidP="008042BB">
      <w:pPr>
        <w:pStyle w:val="ListParagraph"/>
        <w:numPr>
          <w:ilvl w:val="0"/>
          <w:numId w:val="37"/>
        </w:numPr>
        <w:rPr>
          <w:rFonts w:cstheme="minorHAnsi"/>
          <w:sz w:val="28"/>
        </w:rPr>
      </w:pPr>
      <w:r>
        <w:rPr>
          <w:rFonts w:cstheme="minorHAnsi"/>
        </w:rPr>
        <w:t xml:space="preserve">People </w:t>
      </w:r>
      <w:r w:rsidR="008B353C" w:rsidRPr="00E41A6A">
        <w:rPr>
          <w:rFonts w:cstheme="minorHAnsi"/>
        </w:rPr>
        <w:t xml:space="preserve">who are blind or vision impaired have the </w:t>
      </w:r>
      <w:r w:rsidR="00B82CBC" w:rsidRPr="00E41A6A">
        <w:rPr>
          <w:rFonts w:cstheme="minorHAnsi"/>
        </w:rPr>
        <w:t>right to be told i</w:t>
      </w:r>
      <w:r w:rsidR="00586426">
        <w:rPr>
          <w:rFonts w:cstheme="minorHAnsi"/>
        </w:rPr>
        <w:t>f</w:t>
      </w:r>
      <w:r w:rsidR="00B82CBC" w:rsidRPr="00E41A6A">
        <w:rPr>
          <w:rFonts w:cstheme="minorHAnsi"/>
        </w:rPr>
        <w:t xml:space="preserve"> so</w:t>
      </w:r>
      <w:r w:rsidR="008B353C" w:rsidRPr="00E41A6A">
        <w:rPr>
          <w:rFonts w:cstheme="minorHAnsi"/>
        </w:rPr>
        <w:t>mething has gone wrong during their</w:t>
      </w:r>
      <w:r w:rsidR="00B82CBC" w:rsidRPr="00E41A6A">
        <w:rPr>
          <w:rFonts w:cstheme="minorHAnsi"/>
        </w:rPr>
        <w:t xml:space="preserve"> healthcare, how it happened and what is</w:t>
      </w:r>
      <w:r>
        <w:rPr>
          <w:rFonts w:cstheme="minorHAnsi"/>
        </w:rPr>
        <w:t xml:space="preserve"> being done to</w:t>
      </w:r>
      <w:r w:rsidR="00DE7BB3">
        <w:rPr>
          <w:rFonts w:cstheme="minorHAnsi"/>
        </w:rPr>
        <w:t xml:space="preserve"> resolve the situation</w:t>
      </w:r>
      <w:r>
        <w:rPr>
          <w:rFonts w:cstheme="minorHAnsi"/>
        </w:rPr>
        <w:t>.</w:t>
      </w:r>
      <w:r w:rsidRPr="005F66DF">
        <w:rPr>
          <w:rFonts w:cstheme="minorHAnsi"/>
          <w:vertAlign w:val="superscript"/>
        </w:rPr>
        <w:t>1</w:t>
      </w:r>
    </w:p>
    <w:p w14:paraId="3E29C669" w14:textId="2C51D2BD" w:rsidR="00586426" w:rsidRPr="00E41A6A" w:rsidRDefault="00586426" w:rsidP="008042BB">
      <w:pPr>
        <w:pStyle w:val="ListParagraph"/>
        <w:numPr>
          <w:ilvl w:val="0"/>
          <w:numId w:val="37"/>
        </w:numPr>
        <w:rPr>
          <w:rFonts w:cstheme="minorHAnsi"/>
          <w:sz w:val="28"/>
        </w:rPr>
      </w:pPr>
      <w:r w:rsidRPr="00E41A6A">
        <w:rPr>
          <w:rFonts w:cstheme="minorHAnsi"/>
        </w:rPr>
        <w:t xml:space="preserve">People who are blind or vision impaired must be able to complete forms independently and with </w:t>
      </w:r>
      <w:r w:rsidR="008042BB">
        <w:rPr>
          <w:rFonts w:cstheme="minorHAnsi"/>
        </w:rPr>
        <w:t>respect to privacy of the user.</w:t>
      </w:r>
    </w:p>
    <w:p w14:paraId="5B7C826F" w14:textId="396EEC35" w:rsidR="00586426" w:rsidRPr="00CD678B" w:rsidRDefault="00586426" w:rsidP="008042BB">
      <w:pPr>
        <w:pStyle w:val="ListParagraph"/>
        <w:numPr>
          <w:ilvl w:val="0"/>
          <w:numId w:val="37"/>
        </w:numPr>
        <w:rPr>
          <w:rFonts w:cstheme="minorHAnsi"/>
        </w:rPr>
      </w:pPr>
      <w:r w:rsidRPr="00E41A6A">
        <w:rPr>
          <w:rFonts w:cstheme="minorHAnsi"/>
        </w:rPr>
        <w:t xml:space="preserve">Any </w:t>
      </w:r>
      <w:r>
        <w:rPr>
          <w:rFonts w:cstheme="minorHAnsi"/>
        </w:rPr>
        <w:t xml:space="preserve">health service providers’ </w:t>
      </w:r>
      <w:r w:rsidRPr="00E41A6A">
        <w:rPr>
          <w:rFonts w:cstheme="minorHAnsi"/>
        </w:rPr>
        <w:t xml:space="preserve">websites need to be compliant with </w:t>
      </w:r>
      <w:r>
        <w:rPr>
          <w:rFonts w:cstheme="minorHAnsi"/>
        </w:rPr>
        <w:t xml:space="preserve">the WCAG2.1 </w:t>
      </w:r>
      <w:r w:rsidRPr="00E41A6A">
        <w:rPr>
          <w:rFonts w:cstheme="minorHAnsi"/>
        </w:rPr>
        <w:t xml:space="preserve">web accessibility standards. </w:t>
      </w:r>
    </w:p>
    <w:p w14:paraId="5554EBBC" w14:textId="2825A7EF" w:rsidR="00586426" w:rsidRPr="00CD678B" w:rsidRDefault="001D0B38" w:rsidP="008042BB">
      <w:pPr>
        <w:pStyle w:val="ListParagraph"/>
        <w:numPr>
          <w:ilvl w:val="0"/>
          <w:numId w:val="37"/>
        </w:numPr>
        <w:rPr>
          <w:rFonts w:cstheme="minorHAnsi"/>
          <w:sz w:val="28"/>
        </w:rPr>
      </w:pPr>
      <w:r w:rsidRPr="00E41A6A">
        <w:rPr>
          <w:rFonts w:cstheme="minorHAnsi"/>
        </w:rPr>
        <w:t>People</w:t>
      </w:r>
      <w:r>
        <w:rPr>
          <w:rFonts w:cstheme="minorHAnsi"/>
        </w:rPr>
        <w:t xml:space="preserve"> who are</w:t>
      </w:r>
      <w:r w:rsidRPr="00E41A6A">
        <w:rPr>
          <w:rFonts w:cstheme="minorHAnsi"/>
        </w:rPr>
        <w:t xml:space="preserve"> </w:t>
      </w:r>
      <w:r>
        <w:rPr>
          <w:rFonts w:cstheme="minorHAnsi"/>
        </w:rPr>
        <w:t>b</w:t>
      </w:r>
      <w:r w:rsidR="00B82CBC" w:rsidRPr="00E41A6A">
        <w:rPr>
          <w:rFonts w:cstheme="minorHAnsi"/>
        </w:rPr>
        <w:t xml:space="preserve">lind </w:t>
      </w:r>
      <w:r>
        <w:rPr>
          <w:rFonts w:cstheme="minorHAnsi"/>
        </w:rPr>
        <w:t>or</w:t>
      </w:r>
      <w:r w:rsidR="00B82CBC" w:rsidRPr="00E41A6A">
        <w:rPr>
          <w:rFonts w:cstheme="minorHAnsi"/>
        </w:rPr>
        <w:t xml:space="preserve"> vision impaired have the right to receive direct verbal communication regarding treatment, procedures, information and choices. </w:t>
      </w:r>
    </w:p>
    <w:p w14:paraId="0BBD570B" w14:textId="49802D41" w:rsidR="009D1698" w:rsidRPr="00586426" w:rsidRDefault="008506DC" w:rsidP="008042BB">
      <w:pPr>
        <w:rPr>
          <w:rFonts w:cstheme="minorHAnsi"/>
          <w:sz w:val="28"/>
        </w:rPr>
      </w:pPr>
      <w:r w:rsidRPr="00586426">
        <w:rPr>
          <w:rFonts w:cstheme="minorHAnsi"/>
        </w:rPr>
        <w:t xml:space="preserve">Direct </w:t>
      </w:r>
      <w:r w:rsidR="00B82CBC" w:rsidRPr="00586426">
        <w:rPr>
          <w:rFonts w:cstheme="minorHAnsi"/>
        </w:rPr>
        <w:t xml:space="preserve">communication includes: </w:t>
      </w:r>
    </w:p>
    <w:p w14:paraId="63C48978" w14:textId="2B0B8FC4" w:rsidR="009D1698" w:rsidRPr="009D1698" w:rsidRDefault="006E61EF" w:rsidP="008042BB">
      <w:pPr>
        <w:pStyle w:val="ListParagraph"/>
        <w:numPr>
          <w:ilvl w:val="0"/>
          <w:numId w:val="38"/>
        </w:numPr>
        <w:rPr>
          <w:rFonts w:cstheme="minorHAnsi"/>
          <w:sz w:val="28"/>
        </w:rPr>
      </w:pPr>
      <w:r>
        <w:rPr>
          <w:rFonts w:cstheme="minorHAnsi"/>
        </w:rPr>
        <w:t xml:space="preserve">Staff </w:t>
      </w:r>
      <w:r w:rsidR="003063E8" w:rsidRPr="009D1698">
        <w:rPr>
          <w:rFonts w:cstheme="minorHAnsi"/>
        </w:rPr>
        <w:t>verbally identify</w:t>
      </w:r>
      <w:r w:rsidR="006D711F">
        <w:rPr>
          <w:rFonts w:cstheme="minorHAnsi"/>
        </w:rPr>
        <w:t xml:space="preserve">ing </w:t>
      </w:r>
      <w:r>
        <w:rPr>
          <w:rFonts w:cstheme="minorHAnsi"/>
        </w:rPr>
        <w:t xml:space="preserve">themselves </w:t>
      </w:r>
      <w:r w:rsidR="003063E8" w:rsidRPr="009D1698">
        <w:rPr>
          <w:rFonts w:cstheme="minorHAnsi"/>
        </w:rPr>
        <w:t xml:space="preserve">and </w:t>
      </w:r>
      <w:r>
        <w:rPr>
          <w:rFonts w:cstheme="minorHAnsi"/>
        </w:rPr>
        <w:t xml:space="preserve">their </w:t>
      </w:r>
      <w:r w:rsidR="003063E8" w:rsidRPr="009D1698">
        <w:rPr>
          <w:rFonts w:cstheme="minorHAnsi"/>
        </w:rPr>
        <w:t>role</w:t>
      </w:r>
      <w:r w:rsidR="009D1698">
        <w:rPr>
          <w:rFonts w:cstheme="minorHAnsi"/>
        </w:rPr>
        <w:t xml:space="preserve"> at the beginning of </w:t>
      </w:r>
      <w:r w:rsidR="003063E8" w:rsidRPr="009D1698">
        <w:rPr>
          <w:rFonts w:cstheme="minorHAnsi"/>
        </w:rPr>
        <w:t>any interaction;</w:t>
      </w:r>
      <w:r w:rsidR="009D1698" w:rsidRPr="009D1698">
        <w:rPr>
          <w:rFonts w:cstheme="minorHAnsi"/>
        </w:rPr>
        <w:t xml:space="preserve"> </w:t>
      </w:r>
    </w:p>
    <w:p w14:paraId="55A1BF32" w14:textId="3D225357" w:rsidR="006D711F" w:rsidRPr="006D711F" w:rsidRDefault="00B64892" w:rsidP="008042BB">
      <w:pPr>
        <w:pStyle w:val="ListParagraph"/>
        <w:numPr>
          <w:ilvl w:val="0"/>
          <w:numId w:val="38"/>
        </w:numPr>
        <w:rPr>
          <w:rFonts w:cstheme="minorHAnsi"/>
          <w:sz w:val="28"/>
        </w:rPr>
      </w:pPr>
      <w:r>
        <w:rPr>
          <w:rFonts w:cstheme="minorHAnsi"/>
        </w:rPr>
        <w:t>Staff a</w:t>
      </w:r>
      <w:r w:rsidR="00B82CBC" w:rsidRPr="009D1698">
        <w:rPr>
          <w:rFonts w:cstheme="minorHAnsi"/>
        </w:rPr>
        <w:t>ddressing the</w:t>
      </w:r>
      <w:r>
        <w:rPr>
          <w:rFonts w:cstheme="minorHAnsi"/>
        </w:rPr>
        <w:t xml:space="preserve"> </w:t>
      </w:r>
      <w:r w:rsidR="00B82CBC" w:rsidRPr="009D1698">
        <w:rPr>
          <w:rFonts w:cstheme="minorHAnsi"/>
        </w:rPr>
        <w:t xml:space="preserve">person directly; </w:t>
      </w:r>
    </w:p>
    <w:p w14:paraId="5D560D7F" w14:textId="210240DD" w:rsidR="006D711F" w:rsidRPr="006D711F" w:rsidRDefault="0077110E" w:rsidP="008042BB">
      <w:pPr>
        <w:pStyle w:val="ListParagraph"/>
        <w:numPr>
          <w:ilvl w:val="0"/>
          <w:numId w:val="38"/>
        </w:numPr>
        <w:rPr>
          <w:rFonts w:cstheme="minorHAnsi"/>
          <w:sz w:val="28"/>
        </w:rPr>
      </w:pPr>
      <w:r>
        <w:rPr>
          <w:rFonts w:cstheme="minorHAnsi"/>
        </w:rPr>
        <w:t>Staff c</w:t>
      </w:r>
      <w:r w:rsidR="00B82CBC" w:rsidRPr="009D1698">
        <w:rPr>
          <w:rFonts w:cstheme="minorHAnsi"/>
        </w:rPr>
        <w:t>ommunicating whi</w:t>
      </w:r>
      <w:r w:rsidR="008042BB">
        <w:rPr>
          <w:rFonts w:cstheme="minorHAnsi"/>
        </w:rPr>
        <w:t>lst tests and treatments occur, explaining and warning about their physical actions and checking that the person</w:t>
      </w:r>
      <w:r w:rsidR="009368B0">
        <w:rPr>
          <w:rFonts w:cstheme="minorHAnsi"/>
        </w:rPr>
        <w:t xml:space="preserve"> who is blind or vision impaired</w:t>
      </w:r>
      <w:r w:rsidR="008042BB">
        <w:rPr>
          <w:rFonts w:cstheme="minorHAnsi"/>
        </w:rPr>
        <w:t xml:space="preserve"> understands what is or will be happening.</w:t>
      </w:r>
    </w:p>
    <w:p w14:paraId="092E795E" w14:textId="73DED3A0" w:rsidR="006D711F" w:rsidRPr="006D711F" w:rsidRDefault="00C240DE" w:rsidP="008042BB">
      <w:pPr>
        <w:pStyle w:val="ListParagraph"/>
        <w:numPr>
          <w:ilvl w:val="0"/>
          <w:numId w:val="38"/>
        </w:numPr>
        <w:rPr>
          <w:rFonts w:cstheme="minorHAnsi"/>
          <w:sz w:val="28"/>
        </w:rPr>
      </w:pPr>
      <w:r>
        <w:rPr>
          <w:rFonts w:cstheme="minorHAnsi"/>
        </w:rPr>
        <w:t>Healthcare s</w:t>
      </w:r>
      <w:r w:rsidR="007F6CFD">
        <w:rPr>
          <w:rFonts w:cstheme="minorHAnsi"/>
        </w:rPr>
        <w:t xml:space="preserve">ervice providers conveying </w:t>
      </w:r>
      <w:r w:rsidR="00B82CBC" w:rsidRPr="009D1698">
        <w:rPr>
          <w:rFonts w:cstheme="minorHAnsi"/>
        </w:rPr>
        <w:t>visual information in accessible formats and/or verbally depending on the situation</w:t>
      </w:r>
      <w:r w:rsidR="009368B0">
        <w:rPr>
          <w:rFonts w:cstheme="minorHAnsi"/>
        </w:rPr>
        <w:t xml:space="preserve"> and the preferences of the person who is blind or vision impaired</w:t>
      </w:r>
      <w:r w:rsidR="00B82CBC" w:rsidRPr="009D1698">
        <w:rPr>
          <w:rFonts w:cstheme="minorHAnsi"/>
        </w:rPr>
        <w:t xml:space="preserve">; </w:t>
      </w:r>
      <w:r w:rsidR="001D0B38">
        <w:rPr>
          <w:rFonts w:cstheme="minorHAnsi"/>
        </w:rPr>
        <w:t>and</w:t>
      </w:r>
    </w:p>
    <w:p w14:paraId="43FFA11E" w14:textId="52371E13" w:rsidR="00B82CBC" w:rsidRPr="009D1698" w:rsidRDefault="00CD678B" w:rsidP="008042BB">
      <w:pPr>
        <w:pStyle w:val="ListParagraph"/>
        <w:numPr>
          <w:ilvl w:val="0"/>
          <w:numId w:val="38"/>
        </w:numPr>
        <w:rPr>
          <w:rFonts w:cstheme="minorHAnsi"/>
          <w:sz w:val="28"/>
        </w:rPr>
      </w:pPr>
      <w:r>
        <w:rPr>
          <w:rFonts w:cstheme="minorHAnsi"/>
        </w:rPr>
        <w:t>N</w:t>
      </w:r>
      <w:r w:rsidR="00B82CBC" w:rsidRPr="009D1698">
        <w:rPr>
          <w:rFonts w:cstheme="minorHAnsi"/>
        </w:rPr>
        <w:t>ot relying on interm</w:t>
      </w:r>
      <w:r w:rsidR="008042BB">
        <w:rPr>
          <w:rFonts w:cstheme="minorHAnsi"/>
        </w:rPr>
        <w:t>ediaries to convey i</w:t>
      </w:r>
      <w:r w:rsidR="009368B0">
        <w:rPr>
          <w:rFonts w:cstheme="minorHAnsi"/>
        </w:rPr>
        <w:t>nformation, unless that is the stated preference of the person who is blind or vision impaired.</w:t>
      </w:r>
      <w:r w:rsidR="008042BB">
        <w:rPr>
          <w:rFonts w:cstheme="minorHAnsi"/>
        </w:rPr>
        <w:t xml:space="preserve"> </w:t>
      </w:r>
    </w:p>
    <w:p w14:paraId="22F5D35A" w14:textId="69B70AE9" w:rsidR="00B82CBC" w:rsidRPr="00140D1F" w:rsidRDefault="00336DD3" w:rsidP="00AB2125">
      <w:pPr>
        <w:pStyle w:val="Heading2"/>
      </w:pPr>
      <w:bookmarkStart w:id="14" w:name="_Toc25055882"/>
      <w:r>
        <w:t>4</w:t>
      </w:r>
      <w:r w:rsidR="002A7922" w:rsidRPr="00140D1F">
        <w:t>.6 Give Feedback</w:t>
      </w:r>
      <w:bookmarkEnd w:id="14"/>
    </w:p>
    <w:p w14:paraId="1F4AE402" w14:textId="496B9E56" w:rsidR="006A5474" w:rsidRPr="00E41A6A" w:rsidRDefault="005F66DF" w:rsidP="006A5474">
      <w:pPr>
        <w:pStyle w:val="ListParagraph"/>
        <w:numPr>
          <w:ilvl w:val="0"/>
          <w:numId w:val="27"/>
        </w:numPr>
        <w:rPr>
          <w:rFonts w:cstheme="minorHAnsi"/>
        </w:rPr>
      </w:pPr>
      <w:r>
        <w:rPr>
          <w:rFonts w:cstheme="minorHAnsi"/>
        </w:rPr>
        <w:t xml:space="preserve">People </w:t>
      </w:r>
      <w:r w:rsidR="006A5474" w:rsidRPr="00E41A6A">
        <w:rPr>
          <w:rFonts w:cstheme="minorHAnsi"/>
        </w:rPr>
        <w:t xml:space="preserve">who are blind or vision impaired </w:t>
      </w:r>
      <w:r w:rsidR="00376049" w:rsidRPr="00E41A6A">
        <w:rPr>
          <w:rFonts w:cstheme="minorHAnsi"/>
        </w:rPr>
        <w:t>have the right to provide feedback or make a complaint without it affec</w:t>
      </w:r>
      <w:r w:rsidR="006A5474" w:rsidRPr="00E41A6A">
        <w:rPr>
          <w:rFonts w:cstheme="minorHAnsi"/>
        </w:rPr>
        <w:t>ting the way that they are treated</w:t>
      </w:r>
      <w:r w:rsidR="002A7922" w:rsidRPr="00E41A6A">
        <w:rPr>
          <w:rFonts w:cstheme="minorHAnsi"/>
        </w:rPr>
        <w:t>.</w:t>
      </w:r>
      <w:r w:rsidRPr="005F66DF">
        <w:rPr>
          <w:rFonts w:cstheme="minorHAnsi"/>
          <w:vertAlign w:val="superscript"/>
        </w:rPr>
        <w:t>1</w:t>
      </w:r>
    </w:p>
    <w:p w14:paraId="09A83207" w14:textId="11B53DF0" w:rsidR="00376049" w:rsidRPr="00E41A6A" w:rsidRDefault="005F66DF" w:rsidP="006A5474">
      <w:pPr>
        <w:pStyle w:val="ListParagraph"/>
        <w:numPr>
          <w:ilvl w:val="0"/>
          <w:numId w:val="27"/>
        </w:numPr>
        <w:rPr>
          <w:rFonts w:cstheme="minorHAnsi"/>
        </w:rPr>
      </w:pPr>
      <w:r>
        <w:rPr>
          <w:rFonts w:cstheme="minorHAnsi"/>
        </w:rPr>
        <w:t xml:space="preserve">People </w:t>
      </w:r>
      <w:r w:rsidR="006A5474" w:rsidRPr="00E41A6A">
        <w:rPr>
          <w:rFonts w:cstheme="minorHAnsi"/>
        </w:rPr>
        <w:t>who are blind or vision impaired</w:t>
      </w:r>
      <w:r w:rsidR="00376049" w:rsidRPr="00E41A6A">
        <w:rPr>
          <w:rFonts w:cstheme="minorHAnsi"/>
        </w:rPr>
        <w:t xml:space="preserve"> have the right to have </w:t>
      </w:r>
      <w:r w:rsidR="005304C1">
        <w:rPr>
          <w:rFonts w:cstheme="minorHAnsi"/>
        </w:rPr>
        <w:t xml:space="preserve">their </w:t>
      </w:r>
      <w:r w:rsidR="00376049" w:rsidRPr="00E41A6A">
        <w:rPr>
          <w:rFonts w:cstheme="minorHAnsi"/>
        </w:rPr>
        <w:t>concerns dealt with in a fair and timely way</w:t>
      </w:r>
      <w:r w:rsidR="002A7922" w:rsidRPr="00E41A6A">
        <w:rPr>
          <w:rFonts w:cstheme="minorHAnsi"/>
        </w:rPr>
        <w:t>.</w:t>
      </w:r>
      <w:r w:rsidRPr="005F66DF">
        <w:rPr>
          <w:rFonts w:cstheme="minorHAnsi"/>
          <w:vertAlign w:val="superscript"/>
        </w:rPr>
        <w:t>1</w:t>
      </w:r>
    </w:p>
    <w:p w14:paraId="1493E693" w14:textId="1C92371C" w:rsidR="00376049" w:rsidRPr="00E41A6A" w:rsidRDefault="00376049" w:rsidP="00376049">
      <w:pPr>
        <w:pStyle w:val="ListParagraph"/>
        <w:numPr>
          <w:ilvl w:val="0"/>
          <w:numId w:val="27"/>
        </w:numPr>
        <w:rPr>
          <w:rFonts w:cstheme="minorHAnsi"/>
        </w:rPr>
      </w:pPr>
      <w:r w:rsidRPr="00E41A6A">
        <w:rPr>
          <w:rFonts w:cstheme="minorHAnsi"/>
        </w:rPr>
        <w:t>The opinions of</w:t>
      </w:r>
      <w:r w:rsidR="006A5474" w:rsidRPr="00E41A6A">
        <w:rPr>
          <w:rFonts w:cstheme="minorHAnsi"/>
        </w:rPr>
        <w:t xml:space="preserve"> people who are blind or vision impaired </w:t>
      </w:r>
      <w:r w:rsidR="0074221F">
        <w:rPr>
          <w:rFonts w:cstheme="minorHAnsi"/>
        </w:rPr>
        <w:t xml:space="preserve">need to be </w:t>
      </w:r>
      <w:r w:rsidRPr="00E41A6A">
        <w:rPr>
          <w:rFonts w:cstheme="minorHAnsi"/>
        </w:rPr>
        <w:t xml:space="preserve">actively sought, listened to and considered by healthcare </w:t>
      </w:r>
      <w:r w:rsidR="00CD678B">
        <w:rPr>
          <w:rFonts w:cstheme="minorHAnsi"/>
        </w:rPr>
        <w:t xml:space="preserve">service </w:t>
      </w:r>
      <w:r w:rsidRPr="00E41A6A">
        <w:rPr>
          <w:rFonts w:cstheme="minorHAnsi"/>
        </w:rPr>
        <w:t>pr</w:t>
      </w:r>
      <w:r w:rsidR="00265FAD">
        <w:rPr>
          <w:rFonts w:cstheme="minorHAnsi"/>
        </w:rPr>
        <w:t>oviders, including the impact on</w:t>
      </w:r>
      <w:r w:rsidRPr="00E41A6A">
        <w:rPr>
          <w:rFonts w:cstheme="minorHAnsi"/>
        </w:rPr>
        <w:t xml:space="preserve"> blindness </w:t>
      </w:r>
      <w:r w:rsidR="00265FAD">
        <w:rPr>
          <w:rFonts w:cstheme="minorHAnsi"/>
        </w:rPr>
        <w:t>and the way the person lives.</w:t>
      </w:r>
    </w:p>
    <w:p w14:paraId="4455C44F" w14:textId="4832EA69" w:rsidR="00376049" w:rsidRPr="00E41A6A" w:rsidRDefault="00376049" w:rsidP="00376049">
      <w:pPr>
        <w:pStyle w:val="ListParagraph"/>
        <w:numPr>
          <w:ilvl w:val="0"/>
          <w:numId w:val="27"/>
        </w:numPr>
        <w:rPr>
          <w:rFonts w:cstheme="minorHAnsi"/>
        </w:rPr>
      </w:pPr>
      <w:r w:rsidRPr="00E41A6A">
        <w:rPr>
          <w:rFonts w:cstheme="minorHAnsi"/>
        </w:rPr>
        <w:t xml:space="preserve">Complaints processes </w:t>
      </w:r>
      <w:r w:rsidR="00697641">
        <w:rPr>
          <w:rFonts w:cstheme="minorHAnsi"/>
        </w:rPr>
        <w:t xml:space="preserve">need to be </w:t>
      </w:r>
      <w:r w:rsidRPr="00E41A6A">
        <w:rPr>
          <w:rFonts w:cstheme="minorHAnsi"/>
        </w:rPr>
        <w:t>accessible to blind</w:t>
      </w:r>
      <w:r w:rsidR="00CD678B">
        <w:rPr>
          <w:rFonts w:cstheme="minorHAnsi"/>
        </w:rPr>
        <w:t xml:space="preserve"> or vision impaired</w:t>
      </w:r>
      <w:r w:rsidRPr="00E41A6A">
        <w:rPr>
          <w:rFonts w:cstheme="minorHAnsi"/>
        </w:rPr>
        <w:t xml:space="preserve"> people and their families, and </w:t>
      </w:r>
      <w:r w:rsidR="00697641">
        <w:rPr>
          <w:rFonts w:cstheme="minorHAnsi"/>
        </w:rPr>
        <w:t xml:space="preserve">their </w:t>
      </w:r>
      <w:r w:rsidRPr="00E41A6A">
        <w:rPr>
          <w:rFonts w:cstheme="minorHAnsi"/>
        </w:rPr>
        <w:t xml:space="preserve">complaints </w:t>
      </w:r>
      <w:r w:rsidR="00697641">
        <w:rPr>
          <w:rFonts w:cstheme="minorHAnsi"/>
        </w:rPr>
        <w:t xml:space="preserve">and feedback </w:t>
      </w:r>
      <w:r w:rsidR="00CD678B">
        <w:rPr>
          <w:rFonts w:cstheme="minorHAnsi"/>
        </w:rPr>
        <w:t xml:space="preserve">should </w:t>
      </w:r>
      <w:r w:rsidRPr="00E41A6A">
        <w:rPr>
          <w:rFonts w:cstheme="minorHAnsi"/>
        </w:rPr>
        <w:t>receive consideration and resolution.</w:t>
      </w:r>
    </w:p>
    <w:p w14:paraId="4C183C65" w14:textId="28653749" w:rsidR="007671C7" w:rsidRPr="00140D1F" w:rsidRDefault="00C61300" w:rsidP="00AB2125">
      <w:pPr>
        <w:pStyle w:val="Heading2"/>
      </w:pPr>
      <w:bookmarkStart w:id="15" w:name="_Toc25055883"/>
      <w:r>
        <w:t>4</w:t>
      </w:r>
      <w:r w:rsidR="002A7922" w:rsidRPr="00140D1F">
        <w:t>.7 Privacy</w:t>
      </w:r>
      <w:bookmarkEnd w:id="15"/>
    </w:p>
    <w:p w14:paraId="5AFEF882" w14:textId="5F10600E" w:rsidR="00A42518" w:rsidRPr="00E41A6A" w:rsidRDefault="00306124" w:rsidP="00A42518">
      <w:pPr>
        <w:pStyle w:val="ListParagraph"/>
        <w:numPr>
          <w:ilvl w:val="0"/>
          <w:numId w:val="30"/>
        </w:numPr>
        <w:spacing w:line="256" w:lineRule="auto"/>
        <w:rPr>
          <w:rFonts w:cstheme="minorHAnsi"/>
        </w:rPr>
      </w:pPr>
      <w:r>
        <w:rPr>
          <w:rFonts w:cstheme="minorHAnsi"/>
        </w:rPr>
        <w:t>P</w:t>
      </w:r>
      <w:r w:rsidR="00A42518" w:rsidRPr="00E41A6A">
        <w:rPr>
          <w:rFonts w:cstheme="minorHAnsi"/>
        </w:rPr>
        <w:t>eople who are blind or vision impaired have the right to have their privacy respe</w:t>
      </w:r>
      <w:r w:rsidR="002A7922" w:rsidRPr="00E41A6A">
        <w:rPr>
          <w:rFonts w:cstheme="minorHAnsi"/>
        </w:rPr>
        <w:t>cted.</w:t>
      </w:r>
      <w:r w:rsidRPr="00306124">
        <w:rPr>
          <w:rFonts w:cstheme="minorHAnsi"/>
          <w:vertAlign w:val="superscript"/>
        </w:rPr>
        <w:t>1</w:t>
      </w:r>
    </w:p>
    <w:p w14:paraId="38BFE167" w14:textId="7ABB622B" w:rsidR="003B71DD" w:rsidRDefault="00CD678B" w:rsidP="003B71DD">
      <w:pPr>
        <w:pStyle w:val="ListParagraph"/>
        <w:numPr>
          <w:ilvl w:val="0"/>
          <w:numId w:val="30"/>
        </w:numPr>
        <w:spacing w:line="256" w:lineRule="auto"/>
        <w:rPr>
          <w:rFonts w:cstheme="minorHAnsi"/>
        </w:rPr>
      </w:pPr>
      <w:r>
        <w:rPr>
          <w:rFonts w:cstheme="minorHAnsi"/>
        </w:rPr>
        <w:t>Healthcare s</w:t>
      </w:r>
      <w:r w:rsidR="00DC7FD7">
        <w:rPr>
          <w:rFonts w:cstheme="minorHAnsi"/>
        </w:rPr>
        <w:t xml:space="preserve">ervice providers </w:t>
      </w:r>
      <w:r w:rsidR="0097194B">
        <w:rPr>
          <w:rFonts w:cstheme="minorHAnsi"/>
        </w:rPr>
        <w:t xml:space="preserve">need to </w:t>
      </w:r>
      <w:r w:rsidR="00DC7FD7">
        <w:rPr>
          <w:rFonts w:cstheme="minorHAnsi"/>
        </w:rPr>
        <w:t>make clear to</w:t>
      </w:r>
      <w:r w:rsidR="00F86A37">
        <w:rPr>
          <w:rFonts w:cstheme="minorHAnsi"/>
        </w:rPr>
        <w:t xml:space="preserve"> </w:t>
      </w:r>
      <w:r w:rsidR="000B414D">
        <w:rPr>
          <w:rFonts w:cstheme="minorHAnsi"/>
        </w:rPr>
        <w:t>consumer</w:t>
      </w:r>
      <w:r w:rsidR="00DC7FD7">
        <w:rPr>
          <w:rFonts w:cstheme="minorHAnsi"/>
        </w:rPr>
        <w:t xml:space="preserve">, including people who are blind or vision impaired how </w:t>
      </w:r>
      <w:r w:rsidR="00C36E5E">
        <w:rPr>
          <w:rFonts w:cstheme="minorHAnsi"/>
        </w:rPr>
        <w:t xml:space="preserve">their </w:t>
      </w:r>
      <w:r w:rsidR="00DC7FD7">
        <w:rPr>
          <w:rFonts w:cstheme="minorHAnsi"/>
        </w:rPr>
        <w:t xml:space="preserve">information will be stored and kept private. Any information pertaining to privacy and confidentiality needs to be made available to </w:t>
      </w:r>
      <w:r w:rsidR="00846B76">
        <w:rPr>
          <w:rFonts w:cstheme="minorHAnsi"/>
        </w:rPr>
        <w:t xml:space="preserve">people who are </w:t>
      </w:r>
      <w:r w:rsidR="00C36E5E">
        <w:rPr>
          <w:rFonts w:cstheme="minorHAnsi"/>
        </w:rPr>
        <w:t>blind</w:t>
      </w:r>
      <w:r w:rsidR="003B71DD">
        <w:rPr>
          <w:rFonts w:cstheme="minorHAnsi"/>
        </w:rPr>
        <w:t xml:space="preserve"> or</w:t>
      </w:r>
      <w:r w:rsidR="00C36E5E">
        <w:rPr>
          <w:rFonts w:cstheme="minorHAnsi"/>
        </w:rPr>
        <w:t xml:space="preserve"> vision</w:t>
      </w:r>
      <w:r w:rsidR="00F86A37">
        <w:rPr>
          <w:rFonts w:cstheme="minorHAnsi"/>
        </w:rPr>
        <w:t xml:space="preserve"> </w:t>
      </w:r>
      <w:r w:rsidR="00846B76">
        <w:rPr>
          <w:rFonts w:cstheme="minorHAnsi"/>
        </w:rPr>
        <w:t>impaired</w:t>
      </w:r>
      <w:r w:rsidR="00F86A37">
        <w:rPr>
          <w:rFonts w:cstheme="minorHAnsi"/>
        </w:rPr>
        <w:t xml:space="preserve"> </w:t>
      </w:r>
      <w:r w:rsidR="00993802">
        <w:rPr>
          <w:rFonts w:cstheme="minorHAnsi"/>
        </w:rPr>
        <w:t>in their preferred format.</w:t>
      </w:r>
    </w:p>
    <w:p w14:paraId="02906BF2" w14:textId="0D87CDCE" w:rsidR="00A42518" w:rsidRPr="003B71DD" w:rsidRDefault="00306124" w:rsidP="003B71DD">
      <w:pPr>
        <w:pStyle w:val="ListParagraph"/>
        <w:numPr>
          <w:ilvl w:val="0"/>
          <w:numId w:val="30"/>
        </w:numPr>
        <w:spacing w:line="256" w:lineRule="auto"/>
        <w:rPr>
          <w:rFonts w:cstheme="minorHAnsi"/>
        </w:rPr>
      </w:pPr>
      <w:r w:rsidRPr="003B71DD">
        <w:rPr>
          <w:rFonts w:cstheme="minorHAnsi"/>
        </w:rPr>
        <w:t xml:space="preserve">People </w:t>
      </w:r>
      <w:r w:rsidR="00A42518" w:rsidRPr="003B71DD">
        <w:rPr>
          <w:rFonts w:cstheme="minorHAnsi"/>
        </w:rPr>
        <w:t xml:space="preserve">who are blind or vision impaired have the right to </w:t>
      </w:r>
      <w:r w:rsidR="002A72E5" w:rsidRPr="003B71DD">
        <w:rPr>
          <w:rFonts w:cstheme="minorHAnsi"/>
        </w:rPr>
        <w:t xml:space="preserve">the security and confidentiality of their </w:t>
      </w:r>
      <w:r w:rsidR="00A42518" w:rsidRPr="003B71DD">
        <w:rPr>
          <w:rFonts w:cstheme="minorHAnsi"/>
        </w:rPr>
        <w:t>personal and health</w:t>
      </w:r>
      <w:r w:rsidR="002A72E5" w:rsidRPr="003B71DD">
        <w:rPr>
          <w:rFonts w:cstheme="minorHAnsi"/>
        </w:rPr>
        <w:t>-</w:t>
      </w:r>
      <w:r w:rsidR="00B95F04" w:rsidRPr="003B71DD">
        <w:rPr>
          <w:rFonts w:cstheme="minorHAnsi"/>
        </w:rPr>
        <w:t>related information</w:t>
      </w:r>
      <w:r w:rsidR="002A7922" w:rsidRPr="003B71DD">
        <w:rPr>
          <w:rFonts w:cstheme="minorHAnsi"/>
        </w:rPr>
        <w:t>.</w:t>
      </w:r>
      <w:r w:rsidRPr="003B71DD">
        <w:rPr>
          <w:rFonts w:cstheme="minorHAnsi"/>
          <w:vertAlign w:val="superscript"/>
        </w:rPr>
        <w:t>1</w:t>
      </w:r>
    </w:p>
    <w:p w14:paraId="7989D8C9" w14:textId="46741D11" w:rsidR="00A42518" w:rsidRPr="00E41A6A" w:rsidRDefault="00A42518" w:rsidP="00A42518">
      <w:pPr>
        <w:pStyle w:val="ListParagraph"/>
        <w:numPr>
          <w:ilvl w:val="0"/>
          <w:numId w:val="30"/>
        </w:numPr>
        <w:spacing w:line="256" w:lineRule="auto"/>
        <w:rPr>
          <w:rFonts w:cstheme="minorHAnsi"/>
        </w:rPr>
      </w:pPr>
      <w:r w:rsidRPr="00E41A6A">
        <w:rPr>
          <w:rFonts w:cstheme="minorHAnsi"/>
        </w:rPr>
        <w:t xml:space="preserve">Information concerning privacy provisions and policies </w:t>
      </w:r>
      <w:r w:rsidR="006E08FB">
        <w:rPr>
          <w:rFonts w:cstheme="minorHAnsi"/>
        </w:rPr>
        <w:t xml:space="preserve">need to be </w:t>
      </w:r>
      <w:r w:rsidRPr="00E41A6A">
        <w:rPr>
          <w:rFonts w:cstheme="minorHAnsi"/>
        </w:rPr>
        <w:t>communicated to</w:t>
      </w:r>
      <w:r w:rsidR="00E43CB4">
        <w:rPr>
          <w:rFonts w:cstheme="minorHAnsi"/>
        </w:rPr>
        <w:t xml:space="preserve"> people who are</w:t>
      </w:r>
      <w:r w:rsidRPr="00E41A6A">
        <w:rPr>
          <w:rFonts w:cstheme="minorHAnsi"/>
        </w:rPr>
        <w:t xml:space="preserve"> blind</w:t>
      </w:r>
      <w:r w:rsidR="00CE7807">
        <w:rPr>
          <w:rFonts w:cstheme="minorHAnsi"/>
        </w:rPr>
        <w:t xml:space="preserve"> or vision impaired</w:t>
      </w:r>
      <w:r w:rsidRPr="00E41A6A">
        <w:rPr>
          <w:rFonts w:cstheme="minorHAnsi"/>
        </w:rPr>
        <w:t xml:space="preserve"> in a range of accessible formats. </w:t>
      </w:r>
    </w:p>
    <w:p w14:paraId="384E87DD" w14:textId="7519C7E1" w:rsidR="00A42518" w:rsidRPr="00E41A6A" w:rsidRDefault="00A42518" w:rsidP="00A42518">
      <w:pPr>
        <w:pStyle w:val="ListParagraph"/>
        <w:numPr>
          <w:ilvl w:val="0"/>
          <w:numId w:val="30"/>
        </w:numPr>
        <w:spacing w:line="256" w:lineRule="auto"/>
        <w:rPr>
          <w:rFonts w:cstheme="minorHAnsi"/>
        </w:rPr>
      </w:pPr>
      <w:r w:rsidRPr="00E41A6A">
        <w:rPr>
          <w:rFonts w:cstheme="minorHAnsi"/>
        </w:rPr>
        <w:t xml:space="preserve">Information concerning healthcare </w:t>
      </w:r>
      <w:r w:rsidR="00901AAB">
        <w:rPr>
          <w:rFonts w:cstheme="minorHAnsi"/>
        </w:rPr>
        <w:t xml:space="preserve">should </w:t>
      </w:r>
      <w:r w:rsidRPr="00E41A6A">
        <w:rPr>
          <w:rFonts w:cstheme="minorHAnsi"/>
        </w:rPr>
        <w:t xml:space="preserve">not </w:t>
      </w:r>
      <w:r w:rsidR="00901AAB">
        <w:rPr>
          <w:rFonts w:cstheme="minorHAnsi"/>
        </w:rPr>
        <w:t xml:space="preserve">be </w:t>
      </w:r>
      <w:r w:rsidRPr="00E41A6A">
        <w:rPr>
          <w:rFonts w:cstheme="minorHAnsi"/>
        </w:rPr>
        <w:t xml:space="preserve">communicated to, or through intermediaries. </w:t>
      </w:r>
    </w:p>
    <w:p w14:paraId="37BF08F8" w14:textId="6B7C78F1" w:rsidR="00A42518" w:rsidRPr="00E41A6A" w:rsidRDefault="00E43CB4" w:rsidP="00A42518">
      <w:pPr>
        <w:pStyle w:val="ListParagraph"/>
        <w:numPr>
          <w:ilvl w:val="0"/>
          <w:numId w:val="30"/>
        </w:numPr>
        <w:spacing w:line="256" w:lineRule="auto"/>
        <w:rPr>
          <w:rFonts w:cstheme="minorHAnsi"/>
        </w:rPr>
      </w:pPr>
      <w:r>
        <w:rPr>
          <w:rFonts w:cstheme="minorHAnsi"/>
        </w:rPr>
        <w:t>P</w:t>
      </w:r>
      <w:r w:rsidRPr="00E41A6A">
        <w:rPr>
          <w:rFonts w:cstheme="minorHAnsi"/>
        </w:rPr>
        <w:t xml:space="preserve">eople </w:t>
      </w:r>
      <w:r>
        <w:rPr>
          <w:rFonts w:cstheme="minorHAnsi"/>
        </w:rPr>
        <w:t>who are b</w:t>
      </w:r>
      <w:r w:rsidR="00A42518" w:rsidRPr="00E41A6A">
        <w:rPr>
          <w:rFonts w:cstheme="minorHAnsi"/>
        </w:rPr>
        <w:t xml:space="preserve">lind or vision impaired </w:t>
      </w:r>
      <w:r w:rsidR="005A4F9F">
        <w:rPr>
          <w:rFonts w:cstheme="minorHAnsi"/>
        </w:rPr>
        <w:t xml:space="preserve">need to </w:t>
      </w:r>
      <w:r w:rsidR="00A42518" w:rsidRPr="00E41A6A">
        <w:rPr>
          <w:rFonts w:cstheme="minorHAnsi"/>
        </w:rPr>
        <w:t xml:space="preserve">have accessible options with which to provide information to healthcare providers, to ensure confidentiality. </w:t>
      </w:r>
    </w:p>
    <w:p w14:paraId="36C7EA36" w14:textId="1B70C55C" w:rsidR="00A42518" w:rsidRPr="00E41A6A" w:rsidRDefault="00E43CB4" w:rsidP="00A42518">
      <w:pPr>
        <w:pStyle w:val="ListParagraph"/>
        <w:numPr>
          <w:ilvl w:val="0"/>
          <w:numId w:val="30"/>
        </w:numPr>
        <w:spacing w:line="256" w:lineRule="auto"/>
        <w:rPr>
          <w:rFonts w:cstheme="minorHAnsi"/>
        </w:rPr>
      </w:pPr>
      <w:r>
        <w:rPr>
          <w:rFonts w:cstheme="minorHAnsi"/>
        </w:rPr>
        <w:t>P</w:t>
      </w:r>
      <w:r w:rsidR="00A42518" w:rsidRPr="00E41A6A">
        <w:rPr>
          <w:rFonts w:cstheme="minorHAnsi"/>
        </w:rPr>
        <w:t>eople</w:t>
      </w:r>
      <w:r>
        <w:rPr>
          <w:rFonts w:cstheme="minorHAnsi"/>
        </w:rPr>
        <w:t xml:space="preserve"> who are</w:t>
      </w:r>
      <w:r w:rsidR="00A42518" w:rsidRPr="00E41A6A">
        <w:rPr>
          <w:rFonts w:cstheme="minorHAnsi"/>
        </w:rPr>
        <w:t xml:space="preserve"> </w:t>
      </w:r>
      <w:r>
        <w:rPr>
          <w:rFonts w:cstheme="minorHAnsi"/>
        </w:rPr>
        <w:t>b</w:t>
      </w:r>
      <w:r w:rsidRPr="00E41A6A">
        <w:rPr>
          <w:rFonts w:cstheme="minorHAnsi"/>
        </w:rPr>
        <w:t>lind</w:t>
      </w:r>
      <w:r>
        <w:rPr>
          <w:rFonts w:cstheme="minorHAnsi"/>
        </w:rPr>
        <w:t xml:space="preserve"> or vision impaired</w:t>
      </w:r>
      <w:r w:rsidRPr="00E41A6A" w:rsidDel="00C96EDD">
        <w:rPr>
          <w:rFonts w:cstheme="minorHAnsi"/>
        </w:rPr>
        <w:t xml:space="preserve"> </w:t>
      </w:r>
      <w:r w:rsidR="00C96EDD">
        <w:rPr>
          <w:rFonts w:cstheme="minorHAnsi"/>
        </w:rPr>
        <w:t xml:space="preserve">should </w:t>
      </w:r>
      <w:r w:rsidR="00A42518" w:rsidRPr="00E41A6A">
        <w:rPr>
          <w:rFonts w:cstheme="minorHAnsi"/>
        </w:rPr>
        <w:t xml:space="preserve">not </w:t>
      </w:r>
      <w:r w:rsidR="00C96EDD">
        <w:rPr>
          <w:rFonts w:cstheme="minorHAnsi"/>
        </w:rPr>
        <w:t xml:space="preserve">be </w:t>
      </w:r>
      <w:r w:rsidR="00A42518" w:rsidRPr="00E41A6A">
        <w:rPr>
          <w:rFonts w:cstheme="minorHAnsi"/>
        </w:rPr>
        <w:t xml:space="preserve">required to disclose private information in public venues, or without other mechanisms to ensure privacy. Any provisions to protect privacy must take into account digital eavesdropping (e.g. preventing others seeing enlarged text displays on devices etc.) and aural eavesdropping (e.g., other bystanders overhearing information, especially where the person who is blind or vision impaired may not be aware of their presence). </w:t>
      </w:r>
    </w:p>
    <w:p w14:paraId="4254E858" w14:textId="50502D38" w:rsidR="00927292" w:rsidRPr="00140D1F" w:rsidRDefault="00221C9B" w:rsidP="00AB2125">
      <w:pPr>
        <w:pStyle w:val="Heading1"/>
      </w:pPr>
      <w:bookmarkStart w:id="16" w:name="_Toc25055884"/>
      <w:r>
        <w:t>5</w:t>
      </w:r>
      <w:r w:rsidR="00E349FE" w:rsidRPr="00140D1F">
        <w:t>. Other relevant research</w:t>
      </w:r>
      <w:bookmarkEnd w:id="16"/>
      <w:r w:rsidR="003545F7">
        <w:t xml:space="preserve"> </w:t>
      </w:r>
    </w:p>
    <w:p w14:paraId="0BB5710D" w14:textId="229B649E" w:rsidR="00D5012B" w:rsidRPr="000A1A33" w:rsidRDefault="00D5012B" w:rsidP="000A1A33">
      <w:pPr>
        <w:spacing w:after="0" w:line="240" w:lineRule="auto"/>
        <w:ind w:left="720" w:hanging="720"/>
        <w:rPr>
          <w:rFonts w:eastAsia="Calibri" w:cstheme="minorHAnsi"/>
          <w:lang w:val="en-US"/>
        </w:rPr>
      </w:pPr>
      <w:r w:rsidRPr="000A1A33">
        <w:rPr>
          <w:rFonts w:eastAsia="Calibri" w:cstheme="minorHAnsi"/>
          <w:lang w:val="en-US"/>
        </w:rPr>
        <w:t xml:space="preserve">Ahmed, T., Hoyle, R., Connelly, K., Crandall, D. &amp;Kapadia, A. (2015). Privacy concerns and behaviours of people with visual impairments. </w:t>
      </w:r>
      <w:r w:rsidRPr="000A1A33">
        <w:rPr>
          <w:rFonts w:eastAsia="Calibri" w:cstheme="minorHAnsi"/>
          <w:i/>
          <w:lang w:val="en-US"/>
        </w:rPr>
        <w:t>Proceedings of the 33rd Annual ACM Conference on Human Factors in Computing Systems</w:t>
      </w:r>
      <w:r w:rsidR="00C52E72" w:rsidRPr="000A1A33">
        <w:rPr>
          <w:rFonts w:eastAsia="Calibri" w:cstheme="minorHAnsi"/>
          <w:lang w:val="en-US"/>
        </w:rPr>
        <w:t xml:space="preserve"> (pp.</w:t>
      </w:r>
      <w:r w:rsidR="00C52E72" w:rsidRPr="00C52E72">
        <w:t xml:space="preserve"> </w:t>
      </w:r>
      <w:r w:rsidR="00C52E72" w:rsidRPr="000A1A33">
        <w:rPr>
          <w:rFonts w:eastAsia="Calibri" w:cstheme="minorHAnsi"/>
          <w:lang w:val="en-US"/>
        </w:rPr>
        <w:t>3523-32).</w:t>
      </w:r>
      <w:r w:rsidRPr="000A1A33">
        <w:rPr>
          <w:rFonts w:eastAsia="Calibri" w:cstheme="minorHAnsi"/>
          <w:lang w:val="en-US"/>
        </w:rPr>
        <w:t xml:space="preserve"> </w:t>
      </w:r>
      <w:r w:rsidR="00C52E72" w:rsidRPr="000A1A33">
        <w:rPr>
          <w:rFonts w:eastAsia="Calibri" w:cstheme="minorHAnsi"/>
          <w:lang w:val="en-US"/>
        </w:rPr>
        <w:t>Seoul, Republic of Korea: ACM Digital Library. doi: 10.1145/2702123.2702334</w:t>
      </w:r>
    </w:p>
    <w:p w14:paraId="4E6258B3" w14:textId="328AA3AA" w:rsidR="00927292" w:rsidRPr="000A1A33" w:rsidRDefault="00E91A4E" w:rsidP="000A1A33">
      <w:pPr>
        <w:spacing w:after="0" w:line="240" w:lineRule="auto"/>
        <w:ind w:left="720" w:hanging="720"/>
        <w:rPr>
          <w:rFonts w:eastAsia="Calibri" w:cstheme="minorHAnsi"/>
          <w:lang w:val="en-US"/>
        </w:rPr>
      </w:pPr>
      <w:r w:rsidRPr="000A1A33">
        <w:rPr>
          <w:rFonts w:eastAsia="Calibri" w:cstheme="minorHAnsi"/>
          <w:lang w:val="en-US"/>
        </w:rPr>
        <w:t>Cupples, M., Hart, P., Johnst</w:t>
      </w:r>
      <w:r w:rsidR="00A857B0" w:rsidRPr="000A1A33">
        <w:rPr>
          <w:rFonts w:eastAsia="Calibri" w:cstheme="minorHAnsi"/>
          <w:lang w:val="en-US"/>
        </w:rPr>
        <w:t>on, A. &amp; Jackson, A.J. (2012) Improvi</w:t>
      </w:r>
      <w:r w:rsidRPr="000A1A33">
        <w:rPr>
          <w:rFonts w:eastAsia="Calibri" w:cstheme="minorHAnsi"/>
          <w:lang w:val="en-US"/>
        </w:rPr>
        <w:t xml:space="preserve">ng health access for people with visual impairment and blindness. </w:t>
      </w:r>
      <w:r w:rsidRPr="000A1A33">
        <w:rPr>
          <w:rFonts w:eastAsia="Calibri" w:cstheme="minorHAnsi"/>
          <w:i/>
          <w:lang w:val="en-US"/>
        </w:rPr>
        <w:t>BMJ (Clinical Research edition), 344</w:t>
      </w:r>
      <w:r w:rsidRPr="000A1A33">
        <w:rPr>
          <w:rFonts w:eastAsia="Calibri" w:cstheme="minorHAnsi"/>
          <w:lang w:val="en-US"/>
        </w:rPr>
        <w:t>(7842)</w:t>
      </w:r>
      <w:r w:rsidR="003C4D79" w:rsidRPr="000A1A33">
        <w:rPr>
          <w:rFonts w:eastAsia="Calibri" w:cstheme="minorHAnsi"/>
          <w:lang w:val="en-US"/>
        </w:rPr>
        <w:t xml:space="preserve">, </w:t>
      </w:r>
      <w:r w:rsidR="00A857B0" w:rsidRPr="000A1A33">
        <w:rPr>
          <w:rFonts w:eastAsia="Calibri" w:cstheme="minorHAnsi"/>
          <w:lang w:val="en-US"/>
        </w:rPr>
        <w:t>e542</w:t>
      </w:r>
      <w:r w:rsidRPr="000A1A33">
        <w:rPr>
          <w:rFonts w:eastAsia="Calibri" w:cstheme="minorHAnsi"/>
          <w:lang w:val="en-US"/>
        </w:rPr>
        <w:t xml:space="preserve">. </w:t>
      </w:r>
      <w:r w:rsidR="003C4D79" w:rsidRPr="000A1A33">
        <w:rPr>
          <w:rFonts w:eastAsia="Calibri" w:cstheme="minorHAnsi"/>
          <w:lang w:val="en-US"/>
        </w:rPr>
        <w:t>doi: 10.1136/bmj.e542</w:t>
      </w:r>
    </w:p>
    <w:p w14:paraId="7F67C902" w14:textId="1516D6FB" w:rsidR="00A30E44" w:rsidRPr="000A1A33" w:rsidRDefault="00A30E44" w:rsidP="000A1A33">
      <w:pPr>
        <w:spacing w:after="0" w:line="240" w:lineRule="auto"/>
        <w:ind w:left="720" w:hanging="720"/>
        <w:rPr>
          <w:rFonts w:eastAsia="Calibri" w:cstheme="minorHAnsi"/>
          <w:lang w:val="en-US"/>
        </w:rPr>
      </w:pPr>
      <w:r w:rsidRPr="000A1A33">
        <w:rPr>
          <w:rFonts w:eastAsia="Calibri" w:cstheme="minorHAnsi"/>
          <w:lang w:val="en-US"/>
        </w:rPr>
        <w:t xml:space="preserve">Luckowski, A. &amp; Luckowski, M. (2015). Caring for a patient with vision loss. </w:t>
      </w:r>
      <w:r w:rsidRPr="000A1A33">
        <w:rPr>
          <w:rFonts w:eastAsia="Calibri" w:cstheme="minorHAnsi"/>
          <w:i/>
          <w:lang w:val="en-US"/>
        </w:rPr>
        <w:t>Nursing2015</w:t>
      </w:r>
      <w:r w:rsidRPr="000A1A33">
        <w:rPr>
          <w:rFonts w:eastAsia="Calibri" w:cstheme="minorHAnsi"/>
          <w:lang w:val="en-US"/>
        </w:rPr>
        <w:t xml:space="preserve">, </w:t>
      </w:r>
      <w:r w:rsidRPr="000A1A33">
        <w:rPr>
          <w:rFonts w:eastAsia="Calibri" w:cstheme="minorHAnsi"/>
          <w:i/>
          <w:lang w:val="en-US"/>
        </w:rPr>
        <w:t>45</w:t>
      </w:r>
      <w:r w:rsidRPr="000A1A33">
        <w:rPr>
          <w:rFonts w:eastAsia="Calibri" w:cstheme="minorHAnsi"/>
          <w:lang w:val="en-US"/>
        </w:rPr>
        <w:t>(11), 55-8. doi: 10.1097/01.NURSE.0000471416.42310.35</w:t>
      </w:r>
    </w:p>
    <w:p w14:paraId="0E1B12B4" w14:textId="77777777" w:rsidR="00870A8C" w:rsidRPr="000A1A33" w:rsidRDefault="00A857B0" w:rsidP="000A1A33">
      <w:pPr>
        <w:spacing w:after="0" w:line="240" w:lineRule="auto"/>
        <w:ind w:left="720" w:hanging="720"/>
        <w:rPr>
          <w:rFonts w:eastAsia="Calibri" w:cstheme="minorHAnsi"/>
          <w:lang w:val="en-US"/>
        </w:rPr>
      </w:pPr>
      <w:r w:rsidRPr="000A1A33">
        <w:rPr>
          <w:rFonts w:eastAsia="Calibri" w:cstheme="minorHAnsi"/>
          <w:lang w:val="en-US"/>
        </w:rPr>
        <w:t xml:space="preserve">Rosenberg, E. A. &amp; Sperazza, L.C. (2008). The visually impaired patient. </w:t>
      </w:r>
      <w:r w:rsidRPr="000A1A33">
        <w:rPr>
          <w:rFonts w:eastAsia="Calibri" w:cstheme="minorHAnsi"/>
          <w:i/>
          <w:lang w:val="en-US"/>
        </w:rPr>
        <w:t>American Family Physician</w:t>
      </w:r>
      <w:r w:rsidRPr="000A1A33">
        <w:rPr>
          <w:rFonts w:eastAsia="Calibri" w:cstheme="minorHAnsi"/>
          <w:lang w:val="en-US"/>
        </w:rPr>
        <w:t xml:space="preserve">, </w:t>
      </w:r>
      <w:r w:rsidRPr="000A1A33">
        <w:rPr>
          <w:rFonts w:eastAsia="Calibri" w:cstheme="minorHAnsi"/>
          <w:i/>
          <w:lang w:val="en-US"/>
        </w:rPr>
        <w:t>77</w:t>
      </w:r>
      <w:r w:rsidRPr="000A1A33">
        <w:rPr>
          <w:rFonts w:eastAsia="Calibri" w:cstheme="minorHAnsi"/>
          <w:lang w:val="en-US"/>
        </w:rPr>
        <w:t xml:space="preserve">(10), 1431-6. </w:t>
      </w:r>
    </w:p>
    <w:p w14:paraId="03F525F2" w14:textId="18DF15F6" w:rsidR="000B0B73" w:rsidRPr="000A1A33" w:rsidRDefault="00870A8C" w:rsidP="000A1A33">
      <w:pPr>
        <w:spacing w:after="0" w:line="240" w:lineRule="auto"/>
        <w:ind w:left="720" w:hanging="720"/>
        <w:rPr>
          <w:rFonts w:eastAsia="Calibri" w:cstheme="minorHAnsi"/>
          <w:szCs w:val="24"/>
          <w:lang w:val="en-US"/>
        </w:rPr>
      </w:pPr>
      <w:r w:rsidRPr="000A1A33">
        <w:rPr>
          <w:rFonts w:cstheme="minorHAnsi"/>
          <w:color w:val="333333"/>
          <w:szCs w:val="24"/>
          <w:shd w:val="clear" w:color="auto" w:fill="FFFFFF"/>
        </w:rPr>
        <w:t>Thurston, M., &amp; Thurston, A. (2013). Risks to Client Confidentiality when Communicating Health Information to Blind and Partially Sighted Persons. </w:t>
      </w:r>
      <w:r w:rsidRPr="000A1A33">
        <w:rPr>
          <w:rStyle w:val="Emphasis"/>
          <w:rFonts w:cstheme="minorHAnsi"/>
          <w:color w:val="333333"/>
          <w:szCs w:val="24"/>
          <w:shd w:val="clear" w:color="auto" w:fill="FFFFFF"/>
        </w:rPr>
        <w:t>Disability, CBR &amp; Inclusive Development, 24</w:t>
      </w:r>
      <w:r w:rsidRPr="000A1A33">
        <w:rPr>
          <w:rFonts w:cstheme="minorHAnsi"/>
          <w:color w:val="333333"/>
          <w:szCs w:val="24"/>
          <w:shd w:val="clear" w:color="auto" w:fill="FFFFFF"/>
        </w:rPr>
        <w:t xml:space="preserve">(1), 22-40. doi: </w:t>
      </w:r>
      <w:r w:rsidRPr="000A1A33">
        <w:rPr>
          <w:rFonts w:cstheme="minorHAnsi"/>
          <w:szCs w:val="24"/>
          <w:shd w:val="clear" w:color="auto" w:fill="FFFFFF"/>
        </w:rPr>
        <w:t>https://doi.org/10.5463/dcid.v24i1.182</w:t>
      </w:r>
    </w:p>
    <w:p w14:paraId="41609549" w14:textId="45E9BDF4" w:rsidR="00927292" w:rsidRPr="00140D1F" w:rsidRDefault="00E349FE" w:rsidP="00AB2125">
      <w:pPr>
        <w:pStyle w:val="Heading1"/>
      </w:pPr>
      <w:bookmarkStart w:id="17" w:name="_Toc25055885"/>
      <w:r w:rsidRPr="00140D1F">
        <w:t xml:space="preserve">6. </w:t>
      </w:r>
      <w:r w:rsidR="00927292" w:rsidRPr="00140D1F">
        <w:t>Glossary of key terms</w:t>
      </w:r>
      <w:bookmarkEnd w:id="17"/>
    </w:p>
    <w:p w14:paraId="314BEC7C" w14:textId="77777777" w:rsidR="00927292" w:rsidRPr="00140D1F" w:rsidRDefault="00927292" w:rsidP="00927292">
      <w:pPr>
        <w:spacing w:after="0" w:line="240" w:lineRule="auto"/>
        <w:rPr>
          <w:rFonts w:eastAsia="Calibri" w:cstheme="minorHAnsi"/>
          <w:sz w:val="24"/>
          <w:lang w:val="en-US"/>
        </w:rPr>
      </w:pPr>
    </w:p>
    <w:p w14:paraId="50CCA87D" w14:textId="0B98EE3F" w:rsidR="000A5029" w:rsidRPr="00350C67" w:rsidRDefault="000A5029" w:rsidP="000A5029">
      <w:pPr>
        <w:pStyle w:val="ListParagraph"/>
        <w:numPr>
          <w:ilvl w:val="0"/>
          <w:numId w:val="20"/>
        </w:numPr>
        <w:tabs>
          <w:tab w:val="left" w:pos="6237"/>
        </w:tabs>
        <w:rPr>
          <w:rFonts w:cstheme="minorHAnsi"/>
          <w:i/>
        </w:rPr>
      </w:pPr>
      <w:r w:rsidRPr="00E41A6A">
        <w:rPr>
          <w:rFonts w:cstheme="minorHAnsi"/>
          <w:i/>
        </w:rPr>
        <w:t xml:space="preserve">Accessibility </w:t>
      </w:r>
      <w:r w:rsidRPr="00E41A6A">
        <w:rPr>
          <w:rFonts w:cstheme="minorHAnsi"/>
        </w:rPr>
        <w:t>refers to making either physical locations or communications able to be used by everyone, including people who are blin</w:t>
      </w:r>
      <w:r>
        <w:rPr>
          <w:rFonts w:cstheme="minorHAnsi"/>
        </w:rPr>
        <w:t>d or</w:t>
      </w:r>
      <w:r w:rsidRPr="00B55613">
        <w:rPr>
          <w:rFonts w:cstheme="minorHAnsi"/>
        </w:rPr>
        <w:t xml:space="preserve"> vision impaired. </w:t>
      </w:r>
    </w:p>
    <w:p w14:paraId="04F895F2" w14:textId="0FD8E95A" w:rsidR="00350C67" w:rsidRPr="000A5029" w:rsidRDefault="00350C67" w:rsidP="000A5029">
      <w:pPr>
        <w:pStyle w:val="ListParagraph"/>
        <w:numPr>
          <w:ilvl w:val="0"/>
          <w:numId w:val="20"/>
        </w:numPr>
        <w:tabs>
          <w:tab w:val="left" w:pos="6237"/>
        </w:tabs>
        <w:rPr>
          <w:rFonts w:cstheme="minorHAnsi"/>
          <w:i/>
        </w:rPr>
      </w:pPr>
      <w:r>
        <w:rPr>
          <w:rFonts w:cstheme="minorHAnsi"/>
          <w:i/>
        </w:rPr>
        <w:t xml:space="preserve">Blindness </w:t>
      </w:r>
      <w:r>
        <w:rPr>
          <w:rFonts w:cstheme="minorHAnsi"/>
        </w:rPr>
        <w:t>includes vision impairment or low vision.</w:t>
      </w:r>
    </w:p>
    <w:p w14:paraId="0967D2C1" w14:textId="5745AFA4" w:rsidR="000A5029" w:rsidRPr="000A5029" w:rsidRDefault="00034302" w:rsidP="000A5029">
      <w:pPr>
        <w:pStyle w:val="ListParagraph"/>
        <w:numPr>
          <w:ilvl w:val="0"/>
          <w:numId w:val="20"/>
        </w:numPr>
        <w:rPr>
          <w:rFonts w:cstheme="minorHAnsi"/>
        </w:rPr>
      </w:pPr>
      <w:r>
        <w:rPr>
          <w:rFonts w:cstheme="minorHAnsi"/>
          <w:i/>
        </w:rPr>
        <w:t>Blindness service p</w:t>
      </w:r>
      <w:r w:rsidR="000A5029">
        <w:rPr>
          <w:rFonts w:cstheme="minorHAnsi"/>
          <w:i/>
        </w:rPr>
        <w:t xml:space="preserve">rovider </w:t>
      </w:r>
      <w:r w:rsidR="000A5029">
        <w:rPr>
          <w:rFonts w:cstheme="minorHAnsi"/>
        </w:rPr>
        <w:t xml:space="preserve">refers to any </w:t>
      </w:r>
      <w:r w:rsidR="00287B0D">
        <w:rPr>
          <w:rFonts w:cstheme="minorHAnsi"/>
        </w:rPr>
        <w:t>organisation whose main focus is providing services to blind people or which portrays itself to the public as being in existence to assist people who are blind or vision impaired.</w:t>
      </w:r>
    </w:p>
    <w:p w14:paraId="5668B5AD" w14:textId="22370592" w:rsidR="000A5029" w:rsidRPr="00E41A6A" w:rsidRDefault="000A5029" w:rsidP="000A5029">
      <w:pPr>
        <w:pStyle w:val="ListParagraph"/>
        <w:numPr>
          <w:ilvl w:val="0"/>
          <w:numId w:val="20"/>
        </w:numPr>
        <w:rPr>
          <w:rFonts w:cstheme="minorHAnsi"/>
          <w:i/>
        </w:rPr>
      </w:pPr>
      <w:r w:rsidRPr="00E41A6A">
        <w:rPr>
          <w:rFonts w:cstheme="minorHAnsi"/>
          <w:i/>
        </w:rPr>
        <w:t xml:space="preserve">Communication </w:t>
      </w:r>
      <w:r w:rsidRPr="00E41A6A">
        <w:rPr>
          <w:rFonts w:cstheme="minorHAnsi"/>
        </w:rPr>
        <w:t>refers to all</w:t>
      </w:r>
      <w:r w:rsidR="00287B0D">
        <w:rPr>
          <w:rFonts w:cstheme="minorHAnsi"/>
        </w:rPr>
        <w:t xml:space="preserve"> face-to-face,</w:t>
      </w:r>
      <w:r w:rsidRPr="00E41A6A">
        <w:rPr>
          <w:rFonts w:cstheme="minorHAnsi"/>
        </w:rPr>
        <w:t xml:space="preserve"> print, electronic, verbal or other written, audio or audio-visual information about a healthcare service, procedure, treatment, advice, billing and any other communicat</w:t>
      </w:r>
      <w:r>
        <w:rPr>
          <w:rFonts w:cstheme="minorHAnsi"/>
        </w:rPr>
        <w:t>ion</w:t>
      </w:r>
      <w:r w:rsidRPr="00E41A6A">
        <w:rPr>
          <w:rFonts w:cstheme="minorHAnsi"/>
        </w:rPr>
        <w:t xml:space="preserve"> produced by a heal</w:t>
      </w:r>
      <w:r w:rsidR="00287B0D">
        <w:rPr>
          <w:rFonts w:cstheme="minorHAnsi"/>
        </w:rPr>
        <w:t>thcare service.</w:t>
      </w:r>
    </w:p>
    <w:p w14:paraId="0A0E87C4" w14:textId="77777777" w:rsidR="000A5029" w:rsidRPr="00445F62" w:rsidRDefault="000A5029" w:rsidP="000A5029">
      <w:pPr>
        <w:pStyle w:val="ListParagraph"/>
        <w:numPr>
          <w:ilvl w:val="0"/>
          <w:numId w:val="20"/>
        </w:numPr>
        <w:tabs>
          <w:tab w:val="left" w:pos="6237"/>
        </w:tabs>
        <w:rPr>
          <w:rFonts w:cstheme="minorHAnsi"/>
          <w:i/>
        </w:rPr>
      </w:pPr>
      <w:r>
        <w:rPr>
          <w:rFonts w:cstheme="minorHAnsi"/>
          <w:i/>
        </w:rPr>
        <w:t xml:space="preserve">Consumer </w:t>
      </w:r>
      <w:r>
        <w:rPr>
          <w:rFonts w:cstheme="minorHAnsi"/>
        </w:rPr>
        <w:t xml:space="preserve">refers to all people accessing a healthcare service provider. </w:t>
      </w:r>
    </w:p>
    <w:p w14:paraId="5DAC3D48" w14:textId="2233EC7A" w:rsidR="00CE1041" w:rsidRPr="000A5029" w:rsidRDefault="00CE1041" w:rsidP="000A5029">
      <w:pPr>
        <w:pStyle w:val="ListParagraph"/>
        <w:numPr>
          <w:ilvl w:val="0"/>
          <w:numId w:val="20"/>
        </w:numPr>
        <w:rPr>
          <w:rFonts w:cstheme="minorHAnsi"/>
        </w:rPr>
      </w:pPr>
      <w:r w:rsidRPr="00E41A6A">
        <w:rPr>
          <w:rFonts w:cstheme="minorHAnsi"/>
          <w:i/>
        </w:rPr>
        <w:t>Healthcare</w:t>
      </w:r>
      <w:r w:rsidR="00034302">
        <w:rPr>
          <w:rFonts w:cstheme="minorHAnsi"/>
          <w:i/>
        </w:rPr>
        <w:t xml:space="preserve"> s</w:t>
      </w:r>
      <w:r>
        <w:rPr>
          <w:rFonts w:cstheme="minorHAnsi"/>
          <w:i/>
        </w:rPr>
        <w:t>ervice</w:t>
      </w:r>
      <w:r w:rsidR="00034302">
        <w:rPr>
          <w:rFonts w:cstheme="minorHAnsi"/>
          <w:i/>
        </w:rPr>
        <w:t xml:space="preserve"> p</w:t>
      </w:r>
      <w:r w:rsidRPr="00E41A6A">
        <w:rPr>
          <w:rFonts w:cstheme="minorHAnsi"/>
          <w:i/>
        </w:rPr>
        <w:t>rovider</w:t>
      </w:r>
      <w:r w:rsidR="00034302">
        <w:rPr>
          <w:rFonts w:cstheme="minorHAnsi"/>
          <w:i/>
        </w:rPr>
        <w:t xml:space="preserve"> </w:t>
      </w:r>
      <w:r w:rsidR="00034302">
        <w:rPr>
          <w:rFonts w:cstheme="minorHAnsi"/>
        </w:rPr>
        <w:t xml:space="preserve">or </w:t>
      </w:r>
      <w:r w:rsidR="00287B0D">
        <w:rPr>
          <w:rFonts w:cstheme="minorHAnsi"/>
          <w:i/>
        </w:rPr>
        <w:t>h</w:t>
      </w:r>
      <w:r w:rsidR="00034302">
        <w:rPr>
          <w:rFonts w:cstheme="minorHAnsi"/>
          <w:i/>
        </w:rPr>
        <w:t>ealthcare service</w:t>
      </w:r>
      <w:r w:rsidRPr="00E41A6A">
        <w:rPr>
          <w:rFonts w:cstheme="minorHAnsi"/>
          <w:i/>
        </w:rPr>
        <w:t xml:space="preserve"> </w:t>
      </w:r>
      <w:r w:rsidRPr="00E41A6A">
        <w:rPr>
          <w:rFonts w:cstheme="minorHAnsi"/>
        </w:rPr>
        <w:t>refers to any service which offers services to people for the benefit of their health. It refers to any provider which advertises or portrays itself to provide healthcare services or prod</w:t>
      </w:r>
      <w:r w:rsidR="00350C67">
        <w:rPr>
          <w:rFonts w:cstheme="minorHAnsi"/>
        </w:rPr>
        <w:t xml:space="preserve">uct to the public. </w:t>
      </w:r>
    </w:p>
    <w:sectPr w:rsidR="00CE1041" w:rsidRPr="000A502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0BD39" w14:textId="77777777" w:rsidR="00E27ACC" w:rsidRDefault="00E27ACC" w:rsidP="002B4AB0">
      <w:pPr>
        <w:spacing w:after="0" w:line="240" w:lineRule="auto"/>
      </w:pPr>
      <w:r>
        <w:separator/>
      </w:r>
    </w:p>
  </w:endnote>
  <w:endnote w:type="continuationSeparator" w:id="0">
    <w:p w14:paraId="4067EE76" w14:textId="77777777" w:rsidR="00E27ACC" w:rsidRDefault="00E27ACC" w:rsidP="002B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372867"/>
      <w:docPartObj>
        <w:docPartGallery w:val="Page Numbers (Bottom of Page)"/>
        <w:docPartUnique/>
      </w:docPartObj>
    </w:sdtPr>
    <w:sdtEndPr>
      <w:rPr>
        <w:noProof/>
      </w:rPr>
    </w:sdtEndPr>
    <w:sdtContent>
      <w:p w14:paraId="26DCB882" w14:textId="7C4EED6E" w:rsidR="007B0213" w:rsidRDefault="007B0213">
        <w:pPr>
          <w:pStyle w:val="Footer"/>
          <w:jc w:val="right"/>
        </w:pPr>
        <w:r>
          <w:fldChar w:fldCharType="begin"/>
        </w:r>
        <w:r>
          <w:instrText xml:space="preserve"> PAGE   \* MERGEFORMAT </w:instrText>
        </w:r>
        <w:r>
          <w:fldChar w:fldCharType="separate"/>
        </w:r>
        <w:r w:rsidR="00E27ACC">
          <w:rPr>
            <w:noProof/>
          </w:rPr>
          <w:t>1</w:t>
        </w:r>
        <w:r>
          <w:rPr>
            <w:noProof/>
          </w:rPr>
          <w:fldChar w:fldCharType="end"/>
        </w:r>
      </w:p>
    </w:sdtContent>
  </w:sdt>
  <w:p w14:paraId="40769969" w14:textId="77777777" w:rsidR="007B0213" w:rsidRDefault="007B02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63D0" w14:textId="77777777" w:rsidR="00E27ACC" w:rsidRDefault="00E27ACC" w:rsidP="002B4AB0">
      <w:pPr>
        <w:spacing w:after="0" w:line="240" w:lineRule="auto"/>
      </w:pPr>
      <w:r>
        <w:separator/>
      </w:r>
    </w:p>
  </w:footnote>
  <w:footnote w:type="continuationSeparator" w:id="0">
    <w:p w14:paraId="74688FEF" w14:textId="77777777" w:rsidR="00E27ACC" w:rsidRDefault="00E27ACC" w:rsidP="002B4AB0">
      <w:pPr>
        <w:spacing w:after="0" w:line="240" w:lineRule="auto"/>
      </w:pPr>
      <w:r>
        <w:continuationSeparator/>
      </w:r>
    </w:p>
  </w:footnote>
  <w:footnote w:id="1">
    <w:p w14:paraId="3DE4BFE0" w14:textId="2353BD99" w:rsidR="007B0213" w:rsidRPr="005F66DF" w:rsidRDefault="007B0213">
      <w:pPr>
        <w:pStyle w:val="FootnoteText"/>
        <w:rPr>
          <w:rFonts w:cstheme="minorHAnsi"/>
        </w:rPr>
      </w:pPr>
      <w:r w:rsidRPr="005F66DF">
        <w:rPr>
          <w:rStyle w:val="FootnoteReference"/>
          <w:rFonts w:cstheme="minorHAnsi"/>
        </w:rPr>
        <w:footnoteRef/>
      </w:r>
      <w:r w:rsidRPr="005F66DF">
        <w:rPr>
          <w:rFonts w:cstheme="minorHAnsi"/>
        </w:rPr>
        <w:t xml:space="preserve"> Australian Commission on Safety and Quality in Healthcare (2019). </w:t>
      </w:r>
      <w:r w:rsidRPr="005F66DF">
        <w:rPr>
          <w:rFonts w:cstheme="minorHAnsi"/>
          <w:i/>
        </w:rPr>
        <w:t>Australian Charter of Healthcare Rights</w:t>
      </w:r>
      <w:r w:rsidRPr="005F66DF">
        <w:rPr>
          <w:rFonts w:cstheme="minorHAnsi"/>
        </w:rPr>
        <w:t xml:space="preserve"> (2</w:t>
      </w:r>
      <w:r w:rsidRPr="005F66DF">
        <w:rPr>
          <w:rFonts w:cstheme="minorHAnsi"/>
          <w:vertAlign w:val="superscript"/>
        </w:rPr>
        <w:t>nd</w:t>
      </w:r>
      <w:r w:rsidRPr="005F66DF">
        <w:rPr>
          <w:rFonts w:cstheme="minorHAnsi"/>
        </w:rPr>
        <w:t xml:space="preserve"> ed.). Retrieved from </w:t>
      </w:r>
      <w:hyperlink r:id="rId1" w:history="1">
        <w:r w:rsidRPr="005F66DF">
          <w:rPr>
            <w:rStyle w:val="Hyperlink"/>
            <w:rFonts w:cstheme="minorHAnsi"/>
          </w:rPr>
          <w:t>https://www.safetyandquality.gov.au/publications-and-resources/resource-library/australian-charter-healthcare-rights-second-edition-a4-accessible</w:t>
        </w:r>
      </w:hyperlink>
      <w:r w:rsidRPr="005F66DF">
        <w:rPr>
          <w:rFonts w:cstheme="minorHAnsi"/>
        </w:rPr>
        <w:t xml:space="preserve"> </w:t>
      </w:r>
    </w:p>
  </w:footnote>
  <w:footnote w:id="2">
    <w:p w14:paraId="7844371C" w14:textId="14E93E62" w:rsidR="007B0213" w:rsidRDefault="007B0213">
      <w:pPr>
        <w:pStyle w:val="FootnoteText"/>
      </w:pPr>
      <w:r w:rsidRPr="005F66DF">
        <w:rPr>
          <w:rStyle w:val="FootnoteReference"/>
          <w:rFonts w:cstheme="minorHAnsi"/>
        </w:rPr>
        <w:footnoteRef/>
      </w:r>
      <w:r w:rsidRPr="005F66DF">
        <w:rPr>
          <w:rFonts w:cstheme="minorHAnsi"/>
        </w:rPr>
        <w:t xml:space="preserve"> </w:t>
      </w:r>
      <w:r w:rsidRPr="005F66DF">
        <w:rPr>
          <w:rFonts w:cstheme="minorHAnsi"/>
          <w:color w:val="666666"/>
          <w:shd w:val="clear" w:color="auto" w:fill="FFFFFF"/>
        </w:rPr>
        <w:t>Australian Governmen</w:t>
      </w:r>
      <w:r>
        <w:rPr>
          <w:rFonts w:cstheme="minorHAnsi"/>
          <w:color w:val="666666"/>
          <w:shd w:val="clear" w:color="auto" w:fill="FFFFFF"/>
        </w:rPr>
        <w:t>t (2012</w:t>
      </w:r>
      <w:r w:rsidRPr="005F66DF">
        <w:rPr>
          <w:rFonts w:cstheme="minorHAnsi"/>
          <w:color w:val="666666"/>
          <w:shd w:val="clear" w:color="auto" w:fill="FFFFFF"/>
        </w:rPr>
        <w:t>). </w:t>
      </w:r>
      <w:r w:rsidRPr="005F66DF">
        <w:rPr>
          <w:rFonts w:cstheme="minorHAnsi"/>
          <w:i/>
          <w:iCs/>
          <w:color w:val="666666"/>
          <w:shd w:val="clear" w:color="auto" w:fill="FFFFFF"/>
        </w:rPr>
        <w:t>National Disability Strategy 2010-2020</w:t>
      </w:r>
      <w:r w:rsidRPr="005F66DF">
        <w:rPr>
          <w:rFonts w:cstheme="minorHAnsi"/>
          <w:color w:val="666666"/>
          <w:shd w:val="clear" w:color="auto" w:fill="FFFFFF"/>
        </w:rPr>
        <w:t>. Canberra: Australian Govern</w:t>
      </w:r>
      <w:r>
        <w:rPr>
          <w:rFonts w:cstheme="minorHAnsi"/>
          <w:color w:val="666666"/>
          <w:shd w:val="clear" w:color="auto" w:fill="FFFFFF"/>
        </w:rPr>
        <w:t xml:space="preserve">ment. Retrieved from </w:t>
      </w:r>
      <w:hyperlink r:id="rId2" w:history="1">
        <w:r>
          <w:rPr>
            <w:rStyle w:val="Hyperlink"/>
          </w:rPr>
          <w:t>https://www.dss.gov.au/our-responsibilities/disability-and-carers/publications-articles/policy-research/national-disability-strategy-2010-2020</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02D6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A7551"/>
    <w:multiLevelType w:val="hybridMultilevel"/>
    <w:tmpl w:val="EE20F3BE"/>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04E9B"/>
    <w:multiLevelType w:val="hybridMultilevel"/>
    <w:tmpl w:val="3886F5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F4BBD"/>
    <w:multiLevelType w:val="hybridMultilevel"/>
    <w:tmpl w:val="B014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DF0F84"/>
    <w:multiLevelType w:val="hybridMultilevel"/>
    <w:tmpl w:val="CAE40FC8"/>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6547856"/>
    <w:multiLevelType w:val="hybridMultilevel"/>
    <w:tmpl w:val="A918B272"/>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7B320CA"/>
    <w:multiLevelType w:val="hybridMultilevel"/>
    <w:tmpl w:val="44341004"/>
    <w:lvl w:ilvl="0" w:tplc="3806B320">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96582B"/>
    <w:multiLevelType w:val="hybridMultilevel"/>
    <w:tmpl w:val="46F22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89238D"/>
    <w:multiLevelType w:val="hybridMultilevel"/>
    <w:tmpl w:val="0238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2C4617"/>
    <w:multiLevelType w:val="hybridMultilevel"/>
    <w:tmpl w:val="01DCCD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817339"/>
    <w:multiLevelType w:val="hybridMultilevel"/>
    <w:tmpl w:val="469A0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B6619"/>
    <w:multiLevelType w:val="hybridMultilevel"/>
    <w:tmpl w:val="1040A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93E6BD4"/>
    <w:multiLevelType w:val="hybridMultilevel"/>
    <w:tmpl w:val="E6E0ADD8"/>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C3E63"/>
    <w:multiLevelType w:val="hybridMultilevel"/>
    <w:tmpl w:val="54D0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44C25"/>
    <w:multiLevelType w:val="hybridMultilevel"/>
    <w:tmpl w:val="BC3CDC58"/>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C572CF"/>
    <w:multiLevelType w:val="hybridMultilevel"/>
    <w:tmpl w:val="5CCC7E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8B822CE"/>
    <w:multiLevelType w:val="hybridMultilevel"/>
    <w:tmpl w:val="D590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323040"/>
    <w:multiLevelType w:val="hybridMultilevel"/>
    <w:tmpl w:val="ABF8F66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42174C2"/>
    <w:multiLevelType w:val="hybridMultilevel"/>
    <w:tmpl w:val="F50EDD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365596"/>
    <w:multiLevelType w:val="hybridMultilevel"/>
    <w:tmpl w:val="4412F0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9452880"/>
    <w:multiLevelType w:val="hybridMultilevel"/>
    <w:tmpl w:val="E3469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DD612F"/>
    <w:multiLevelType w:val="hybridMultilevel"/>
    <w:tmpl w:val="41B41370"/>
    <w:lvl w:ilvl="0" w:tplc="3806B320">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AF2364"/>
    <w:multiLevelType w:val="hybridMultilevel"/>
    <w:tmpl w:val="593241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4C4732"/>
    <w:multiLevelType w:val="hybridMultilevel"/>
    <w:tmpl w:val="DD521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224C52"/>
    <w:multiLevelType w:val="hybridMultilevel"/>
    <w:tmpl w:val="6B0AE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232FF5"/>
    <w:multiLevelType w:val="hybridMultilevel"/>
    <w:tmpl w:val="FA3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D92131"/>
    <w:multiLevelType w:val="hybridMultilevel"/>
    <w:tmpl w:val="FDD0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2F3105"/>
    <w:multiLevelType w:val="hybridMultilevel"/>
    <w:tmpl w:val="9D26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4E7DC1"/>
    <w:multiLevelType w:val="hybridMultilevel"/>
    <w:tmpl w:val="3BCC4CC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5609B7"/>
    <w:multiLevelType w:val="hybridMultilevel"/>
    <w:tmpl w:val="C964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AD1738"/>
    <w:multiLevelType w:val="hybridMultilevel"/>
    <w:tmpl w:val="D83AAC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0ED04FC"/>
    <w:multiLevelType w:val="hybridMultilevel"/>
    <w:tmpl w:val="B440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A92062"/>
    <w:multiLevelType w:val="hybridMultilevel"/>
    <w:tmpl w:val="301A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104761"/>
    <w:multiLevelType w:val="hybridMultilevel"/>
    <w:tmpl w:val="2390CB00"/>
    <w:lvl w:ilvl="0" w:tplc="192023C8">
      <w:start w:val="1"/>
      <w:numFmt w:val="decimal"/>
      <w:lvlText w:val="%1."/>
      <w:lvlJc w:val="left"/>
      <w:pPr>
        <w:ind w:left="720" w:hanging="360"/>
      </w:pPr>
      <w:rPr>
        <w:rFonts w:eastAsia="Times New Roman"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0B328D"/>
    <w:multiLevelType w:val="hybridMultilevel"/>
    <w:tmpl w:val="EAD8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3"/>
  </w:num>
  <w:num w:numId="4">
    <w:abstractNumId w:val="8"/>
  </w:num>
  <w:num w:numId="5">
    <w:abstractNumId w:val="21"/>
  </w:num>
  <w:num w:numId="6">
    <w:abstractNumId w:val="1"/>
  </w:num>
  <w:num w:numId="7">
    <w:abstractNumId w:val="12"/>
  </w:num>
  <w:num w:numId="8">
    <w:abstractNumId w:val="17"/>
  </w:num>
  <w:num w:numId="9">
    <w:abstractNumId w:val="15"/>
  </w:num>
  <w:num w:numId="10">
    <w:abstractNumId w:val="26"/>
  </w:num>
  <w:num w:numId="11">
    <w:abstractNumId w:val="31"/>
  </w:num>
  <w:num w:numId="12">
    <w:abstractNumId w:val="6"/>
  </w:num>
  <w:num w:numId="13">
    <w:abstractNumId w:val="14"/>
  </w:num>
  <w:num w:numId="14">
    <w:abstractNumId w:val="28"/>
  </w:num>
  <w:num w:numId="15">
    <w:abstractNumId w:val="4"/>
  </w:num>
  <w:num w:numId="16">
    <w:abstractNumId w:val="5"/>
  </w:num>
  <w:num w:numId="17">
    <w:abstractNumId w:val="25"/>
  </w:num>
  <w:num w:numId="18">
    <w:abstractNumId w:val="9"/>
  </w:num>
  <w:num w:numId="19">
    <w:abstractNumId w:val="3"/>
  </w:num>
  <w:num w:numId="20">
    <w:abstractNumId w:val="20"/>
  </w:num>
  <w:num w:numId="21">
    <w:abstractNumId w:val="33"/>
  </w:num>
  <w:num w:numId="22">
    <w:abstractNumId w:val="2"/>
  </w:num>
  <w:num w:numId="23">
    <w:abstractNumId w:val="30"/>
  </w:num>
  <w:num w:numId="24">
    <w:abstractNumId w:val="18"/>
  </w:num>
  <w:num w:numId="25">
    <w:abstractNumId w:val="22"/>
  </w:num>
  <w:num w:numId="26">
    <w:abstractNumId w:val="16"/>
  </w:num>
  <w:num w:numId="27">
    <w:abstractNumId w:val="7"/>
  </w:num>
  <w:num w:numId="28">
    <w:abstractNumId w:val="13"/>
  </w:num>
  <w:num w:numId="29">
    <w:abstractNumId w:val="29"/>
  </w:num>
  <w:num w:numId="30">
    <w:abstractNumId w:val="24"/>
  </w:num>
  <w:num w:numId="31">
    <w:abstractNumId w:val="11"/>
  </w:num>
  <w:num w:numId="32">
    <w:abstractNumId w:val="10"/>
  </w:num>
  <w:num w:numId="33">
    <w:abstractNumId w:val="30"/>
  </w:num>
  <w:num w:numId="34">
    <w:abstractNumId w:val="24"/>
  </w:num>
  <w:num w:numId="35">
    <w:abstractNumId w:val="32"/>
  </w:num>
  <w:num w:numId="36">
    <w:abstractNumId w:val="19"/>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1C"/>
    <w:rsid w:val="000029F4"/>
    <w:rsid w:val="00012BFE"/>
    <w:rsid w:val="00021BEE"/>
    <w:rsid w:val="0002639E"/>
    <w:rsid w:val="00034302"/>
    <w:rsid w:val="00034F60"/>
    <w:rsid w:val="000411BE"/>
    <w:rsid w:val="00053551"/>
    <w:rsid w:val="000624F3"/>
    <w:rsid w:val="00064556"/>
    <w:rsid w:val="00096D7D"/>
    <w:rsid w:val="00097707"/>
    <w:rsid w:val="000A161D"/>
    <w:rsid w:val="000A1A33"/>
    <w:rsid w:val="000A5029"/>
    <w:rsid w:val="000B0B73"/>
    <w:rsid w:val="000B414D"/>
    <w:rsid w:val="000C124C"/>
    <w:rsid w:val="000C469C"/>
    <w:rsid w:val="000C4C9A"/>
    <w:rsid w:val="000C7B5D"/>
    <w:rsid w:val="000D0EC1"/>
    <w:rsid w:val="000D1693"/>
    <w:rsid w:val="000D27D8"/>
    <w:rsid w:val="000D2A53"/>
    <w:rsid w:val="000D404B"/>
    <w:rsid w:val="000D4612"/>
    <w:rsid w:val="000F5C39"/>
    <w:rsid w:val="001025F3"/>
    <w:rsid w:val="00113BEB"/>
    <w:rsid w:val="001273BB"/>
    <w:rsid w:val="001363C9"/>
    <w:rsid w:val="00140D1F"/>
    <w:rsid w:val="0015508D"/>
    <w:rsid w:val="00181E76"/>
    <w:rsid w:val="00181F81"/>
    <w:rsid w:val="00185907"/>
    <w:rsid w:val="0019331D"/>
    <w:rsid w:val="001979FF"/>
    <w:rsid w:val="001D0B38"/>
    <w:rsid w:val="001F52C3"/>
    <w:rsid w:val="001F54E9"/>
    <w:rsid w:val="00221C9B"/>
    <w:rsid w:val="00224663"/>
    <w:rsid w:val="0022638E"/>
    <w:rsid w:val="002271EE"/>
    <w:rsid w:val="00244F02"/>
    <w:rsid w:val="00253D63"/>
    <w:rsid w:val="002602CB"/>
    <w:rsid w:val="00263ADA"/>
    <w:rsid w:val="00265438"/>
    <w:rsid w:val="00265FAD"/>
    <w:rsid w:val="0027712B"/>
    <w:rsid w:val="002805F0"/>
    <w:rsid w:val="00287B0D"/>
    <w:rsid w:val="002A72E5"/>
    <w:rsid w:val="002A7922"/>
    <w:rsid w:val="002B042B"/>
    <w:rsid w:val="002B2CAC"/>
    <w:rsid w:val="002B4AB0"/>
    <w:rsid w:val="002B65E4"/>
    <w:rsid w:val="002B6CD5"/>
    <w:rsid w:val="002C4578"/>
    <w:rsid w:val="002D4316"/>
    <w:rsid w:val="002E52C1"/>
    <w:rsid w:val="002E6545"/>
    <w:rsid w:val="002F33DB"/>
    <w:rsid w:val="003007A2"/>
    <w:rsid w:val="003018D3"/>
    <w:rsid w:val="00306124"/>
    <w:rsid w:val="003063E8"/>
    <w:rsid w:val="00320023"/>
    <w:rsid w:val="003204CD"/>
    <w:rsid w:val="003341E3"/>
    <w:rsid w:val="00336019"/>
    <w:rsid w:val="00336DD3"/>
    <w:rsid w:val="00344233"/>
    <w:rsid w:val="00344BE3"/>
    <w:rsid w:val="00350C67"/>
    <w:rsid w:val="00353D02"/>
    <w:rsid w:val="003542AB"/>
    <w:rsid w:val="003545F7"/>
    <w:rsid w:val="00357D85"/>
    <w:rsid w:val="003611BA"/>
    <w:rsid w:val="00363285"/>
    <w:rsid w:val="003719D2"/>
    <w:rsid w:val="00371B87"/>
    <w:rsid w:val="00372FD9"/>
    <w:rsid w:val="003751AC"/>
    <w:rsid w:val="00376049"/>
    <w:rsid w:val="00380C69"/>
    <w:rsid w:val="003A2C17"/>
    <w:rsid w:val="003A48D1"/>
    <w:rsid w:val="003A7D92"/>
    <w:rsid w:val="003B71DD"/>
    <w:rsid w:val="003C4D79"/>
    <w:rsid w:val="003C5BCA"/>
    <w:rsid w:val="003C60AF"/>
    <w:rsid w:val="003D572B"/>
    <w:rsid w:val="003E017F"/>
    <w:rsid w:val="003E3D00"/>
    <w:rsid w:val="003E3DFA"/>
    <w:rsid w:val="0040373E"/>
    <w:rsid w:val="00426B6E"/>
    <w:rsid w:val="00437136"/>
    <w:rsid w:val="00443EBA"/>
    <w:rsid w:val="00445F62"/>
    <w:rsid w:val="0045015D"/>
    <w:rsid w:val="00455E2C"/>
    <w:rsid w:val="00455FF5"/>
    <w:rsid w:val="00460CBC"/>
    <w:rsid w:val="00481F3B"/>
    <w:rsid w:val="004842F6"/>
    <w:rsid w:val="00491C8C"/>
    <w:rsid w:val="004A40BE"/>
    <w:rsid w:val="004A657C"/>
    <w:rsid w:val="004B4039"/>
    <w:rsid w:val="004C34FA"/>
    <w:rsid w:val="004C354F"/>
    <w:rsid w:val="004D118E"/>
    <w:rsid w:val="004D1F68"/>
    <w:rsid w:val="004E0285"/>
    <w:rsid w:val="004E35BF"/>
    <w:rsid w:val="004E65D4"/>
    <w:rsid w:val="005056F4"/>
    <w:rsid w:val="00512288"/>
    <w:rsid w:val="005139B6"/>
    <w:rsid w:val="00517B9A"/>
    <w:rsid w:val="005215EF"/>
    <w:rsid w:val="00523952"/>
    <w:rsid w:val="005304C1"/>
    <w:rsid w:val="00531758"/>
    <w:rsid w:val="0053291D"/>
    <w:rsid w:val="005404EC"/>
    <w:rsid w:val="0055046F"/>
    <w:rsid w:val="00553C6C"/>
    <w:rsid w:val="005722F3"/>
    <w:rsid w:val="00585E7A"/>
    <w:rsid w:val="00586426"/>
    <w:rsid w:val="005864A6"/>
    <w:rsid w:val="0059090A"/>
    <w:rsid w:val="0059111F"/>
    <w:rsid w:val="005914D5"/>
    <w:rsid w:val="0059504C"/>
    <w:rsid w:val="005A054B"/>
    <w:rsid w:val="005A0DE3"/>
    <w:rsid w:val="005A0FA3"/>
    <w:rsid w:val="005A3BCD"/>
    <w:rsid w:val="005A4F9F"/>
    <w:rsid w:val="005B101B"/>
    <w:rsid w:val="005C357D"/>
    <w:rsid w:val="005D25F9"/>
    <w:rsid w:val="005D4FF2"/>
    <w:rsid w:val="005E3974"/>
    <w:rsid w:val="005E4657"/>
    <w:rsid w:val="005E5820"/>
    <w:rsid w:val="005F1916"/>
    <w:rsid w:val="005F2F4D"/>
    <w:rsid w:val="005F66DF"/>
    <w:rsid w:val="00607A43"/>
    <w:rsid w:val="00611446"/>
    <w:rsid w:val="00612D5A"/>
    <w:rsid w:val="0064063E"/>
    <w:rsid w:val="00643C58"/>
    <w:rsid w:val="00670662"/>
    <w:rsid w:val="006748E9"/>
    <w:rsid w:val="00674FBA"/>
    <w:rsid w:val="006779E5"/>
    <w:rsid w:val="00682B4E"/>
    <w:rsid w:val="00697641"/>
    <w:rsid w:val="00697AD3"/>
    <w:rsid w:val="006A3032"/>
    <w:rsid w:val="006A5290"/>
    <w:rsid w:val="006A5356"/>
    <w:rsid w:val="006A5474"/>
    <w:rsid w:val="006B6383"/>
    <w:rsid w:val="006C304B"/>
    <w:rsid w:val="006C74EE"/>
    <w:rsid w:val="006C7E4C"/>
    <w:rsid w:val="006D3B3C"/>
    <w:rsid w:val="006D711F"/>
    <w:rsid w:val="006D7917"/>
    <w:rsid w:val="006E08FB"/>
    <w:rsid w:val="006E0D6B"/>
    <w:rsid w:val="006E61EF"/>
    <w:rsid w:val="00706089"/>
    <w:rsid w:val="00711119"/>
    <w:rsid w:val="007123D5"/>
    <w:rsid w:val="00720B3B"/>
    <w:rsid w:val="00734486"/>
    <w:rsid w:val="0074221F"/>
    <w:rsid w:val="00750B6A"/>
    <w:rsid w:val="00755DCA"/>
    <w:rsid w:val="0075616B"/>
    <w:rsid w:val="007671C7"/>
    <w:rsid w:val="0077110E"/>
    <w:rsid w:val="00772AB9"/>
    <w:rsid w:val="007747E3"/>
    <w:rsid w:val="00774A7F"/>
    <w:rsid w:val="00783AC9"/>
    <w:rsid w:val="00783CD1"/>
    <w:rsid w:val="007876C6"/>
    <w:rsid w:val="007944DA"/>
    <w:rsid w:val="007952C9"/>
    <w:rsid w:val="007A7E18"/>
    <w:rsid w:val="007B0213"/>
    <w:rsid w:val="007B465E"/>
    <w:rsid w:val="007D31FE"/>
    <w:rsid w:val="007E27AD"/>
    <w:rsid w:val="007E3B7A"/>
    <w:rsid w:val="007E61AD"/>
    <w:rsid w:val="007F4A87"/>
    <w:rsid w:val="007F6CFD"/>
    <w:rsid w:val="00802F3B"/>
    <w:rsid w:val="008042BB"/>
    <w:rsid w:val="008141A8"/>
    <w:rsid w:val="00814892"/>
    <w:rsid w:val="00824F38"/>
    <w:rsid w:val="00825647"/>
    <w:rsid w:val="0083758B"/>
    <w:rsid w:val="00837855"/>
    <w:rsid w:val="00842743"/>
    <w:rsid w:val="00846B76"/>
    <w:rsid w:val="008506DC"/>
    <w:rsid w:val="00851CF9"/>
    <w:rsid w:val="00863D3A"/>
    <w:rsid w:val="0086537E"/>
    <w:rsid w:val="00866B67"/>
    <w:rsid w:val="00870A8C"/>
    <w:rsid w:val="00882F83"/>
    <w:rsid w:val="008837DB"/>
    <w:rsid w:val="008956EC"/>
    <w:rsid w:val="00895FF8"/>
    <w:rsid w:val="00896C3D"/>
    <w:rsid w:val="008B353C"/>
    <w:rsid w:val="008B5444"/>
    <w:rsid w:val="00901AAB"/>
    <w:rsid w:val="009051B1"/>
    <w:rsid w:val="009103FB"/>
    <w:rsid w:val="00926D73"/>
    <w:rsid w:val="00927292"/>
    <w:rsid w:val="00930A18"/>
    <w:rsid w:val="0093264E"/>
    <w:rsid w:val="009368B0"/>
    <w:rsid w:val="00947C00"/>
    <w:rsid w:val="0097194B"/>
    <w:rsid w:val="00980286"/>
    <w:rsid w:val="009920DB"/>
    <w:rsid w:val="00993802"/>
    <w:rsid w:val="00995A68"/>
    <w:rsid w:val="009A6A3A"/>
    <w:rsid w:val="009B5628"/>
    <w:rsid w:val="009C28AF"/>
    <w:rsid w:val="009D06DC"/>
    <w:rsid w:val="009D13D5"/>
    <w:rsid w:val="009D1698"/>
    <w:rsid w:val="009E1036"/>
    <w:rsid w:val="009F0BBB"/>
    <w:rsid w:val="009F2511"/>
    <w:rsid w:val="009F4326"/>
    <w:rsid w:val="00A03BDB"/>
    <w:rsid w:val="00A07B2B"/>
    <w:rsid w:val="00A200BB"/>
    <w:rsid w:val="00A20F37"/>
    <w:rsid w:val="00A30E44"/>
    <w:rsid w:val="00A314DC"/>
    <w:rsid w:val="00A34789"/>
    <w:rsid w:val="00A3797A"/>
    <w:rsid w:val="00A42518"/>
    <w:rsid w:val="00A439CE"/>
    <w:rsid w:val="00A512E9"/>
    <w:rsid w:val="00A676FF"/>
    <w:rsid w:val="00A857B0"/>
    <w:rsid w:val="00AB2125"/>
    <w:rsid w:val="00AB2E60"/>
    <w:rsid w:val="00AB62FE"/>
    <w:rsid w:val="00AD1A25"/>
    <w:rsid w:val="00AE291C"/>
    <w:rsid w:val="00AE7796"/>
    <w:rsid w:val="00AF0095"/>
    <w:rsid w:val="00B15FCA"/>
    <w:rsid w:val="00B169AB"/>
    <w:rsid w:val="00B279AB"/>
    <w:rsid w:val="00B302B1"/>
    <w:rsid w:val="00B33206"/>
    <w:rsid w:val="00B42B9C"/>
    <w:rsid w:val="00B43A0C"/>
    <w:rsid w:val="00B43FBE"/>
    <w:rsid w:val="00B51247"/>
    <w:rsid w:val="00B55613"/>
    <w:rsid w:val="00B642C0"/>
    <w:rsid w:val="00B64892"/>
    <w:rsid w:val="00B7377C"/>
    <w:rsid w:val="00B75903"/>
    <w:rsid w:val="00B7626D"/>
    <w:rsid w:val="00B82CBC"/>
    <w:rsid w:val="00B8509C"/>
    <w:rsid w:val="00B8555A"/>
    <w:rsid w:val="00B95F04"/>
    <w:rsid w:val="00BA741C"/>
    <w:rsid w:val="00BB1D7F"/>
    <w:rsid w:val="00BB4F0F"/>
    <w:rsid w:val="00BC3F13"/>
    <w:rsid w:val="00BC4D8A"/>
    <w:rsid w:val="00BD4866"/>
    <w:rsid w:val="00BD4F34"/>
    <w:rsid w:val="00C015E4"/>
    <w:rsid w:val="00C02DFB"/>
    <w:rsid w:val="00C064B7"/>
    <w:rsid w:val="00C06616"/>
    <w:rsid w:val="00C06886"/>
    <w:rsid w:val="00C1259A"/>
    <w:rsid w:val="00C240DE"/>
    <w:rsid w:val="00C36E5E"/>
    <w:rsid w:val="00C52E72"/>
    <w:rsid w:val="00C56458"/>
    <w:rsid w:val="00C61300"/>
    <w:rsid w:val="00C64412"/>
    <w:rsid w:val="00C81EF6"/>
    <w:rsid w:val="00C84442"/>
    <w:rsid w:val="00C96EDD"/>
    <w:rsid w:val="00CA1998"/>
    <w:rsid w:val="00CA28AF"/>
    <w:rsid w:val="00CA3A1A"/>
    <w:rsid w:val="00CB0AEB"/>
    <w:rsid w:val="00CC396E"/>
    <w:rsid w:val="00CC4D07"/>
    <w:rsid w:val="00CC557A"/>
    <w:rsid w:val="00CD678B"/>
    <w:rsid w:val="00CE1041"/>
    <w:rsid w:val="00CE24AC"/>
    <w:rsid w:val="00CE7807"/>
    <w:rsid w:val="00CF6B6C"/>
    <w:rsid w:val="00D024C4"/>
    <w:rsid w:val="00D15120"/>
    <w:rsid w:val="00D25294"/>
    <w:rsid w:val="00D25329"/>
    <w:rsid w:val="00D349ED"/>
    <w:rsid w:val="00D35558"/>
    <w:rsid w:val="00D430F6"/>
    <w:rsid w:val="00D44FFF"/>
    <w:rsid w:val="00D5012B"/>
    <w:rsid w:val="00D55060"/>
    <w:rsid w:val="00D71CE7"/>
    <w:rsid w:val="00D80869"/>
    <w:rsid w:val="00D86B3D"/>
    <w:rsid w:val="00D96392"/>
    <w:rsid w:val="00DA282C"/>
    <w:rsid w:val="00DA3372"/>
    <w:rsid w:val="00DA6F8C"/>
    <w:rsid w:val="00DB5263"/>
    <w:rsid w:val="00DC7FD7"/>
    <w:rsid w:val="00DE6E1C"/>
    <w:rsid w:val="00DE7BB3"/>
    <w:rsid w:val="00DF6153"/>
    <w:rsid w:val="00E05D90"/>
    <w:rsid w:val="00E27ACC"/>
    <w:rsid w:val="00E349FE"/>
    <w:rsid w:val="00E40F1C"/>
    <w:rsid w:val="00E41A6A"/>
    <w:rsid w:val="00E43CB4"/>
    <w:rsid w:val="00E506A5"/>
    <w:rsid w:val="00E64A07"/>
    <w:rsid w:val="00E67D9D"/>
    <w:rsid w:val="00E7710D"/>
    <w:rsid w:val="00E77EB3"/>
    <w:rsid w:val="00E91A4E"/>
    <w:rsid w:val="00E92A8B"/>
    <w:rsid w:val="00EB1A6D"/>
    <w:rsid w:val="00EB32FD"/>
    <w:rsid w:val="00EC15BE"/>
    <w:rsid w:val="00EC1AFD"/>
    <w:rsid w:val="00EC3151"/>
    <w:rsid w:val="00EC700E"/>
    <w:rsid w:val="00ED1F79"/>
    <w:rsid w:val="00ED53AE"/>
    <w:rsid w:val="00ED5C7A"/>
    <w:rsid w:val="00EF6A97"/>
    <w:rsid w:val="00F06505"/>
    <w:rsid w:val="00F07C5D"/>
    <w:rsid w:val="00F116AA"/>
    <w:rsid w:val="00F11871"/>
    <w:rsid w:val="00F12BB5"/>
    <w:rsid w:val="00F407FC"/>
    <w:rsid w:val="00F540BE"/>
    <w:rsid w:val="00F5458A"/>
    <w:rsid w:val="00F61420"/>
    <w:rsid w:val="00F6481F"/>
    <w:rsid w:val="00F64C11"/>
    <w:rsid w:val="00F67E57"/>
    <w:rsid w:val="00F76E73"/>
    <w:rsid w:val="00F83706"/>
    <w:rsid w:val="00F86A37"/>
    <w:rsid w:val="00FC5DAF"/>
    <w:rsid w:val="00FE1DB7"/>
    <w:rsid w:val="00FF6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BC94"/>
  <w15:chartTrackingRefBased/>
  <w15:docId w15:val="{7802269F-9303-4FDB-9C19-33125019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BE"/>
    <w:rPr>
      <w:rFonts w:ascii="Calibri" w:hAnsi="Calibri"/>
      <w:sz w:val="32"/>
    </w:rPr>
  </w:style>
  <w:style w:type="paragraph" w:styleId="Heading1">
    <w:name w:val="heading 1"/>
    <w:basedOn w:val="Normal"/>
    <w:link w:val="Heading1Char"/>
    <w:qFormat/>
    <w:rsid w:val="00AB2125"/>
    <w:pPr>
      <w:keepNext/>
      <w:keepLines/>
      <w:spacing w:before="360" w:after="0" w:line="240" w:lineRule="auto"/>
      <w:ind w:left="851" w:hanging="851"/>
      <w:outlineLvl w:val="0"/>
    </w:pPr>
    <w:rPr>
      <w:rFonts w:eastAsia="Times New Roman" w:cstheme="minorHAnsi"/>
      <w:b/>
      <w:bCs/>
      <w:sz w:val="40"/>
      <w:szCs w:val="28"/>
      <w:lang w:eastAsia="en-AU"/>
    </w:rPr>
  </w:style>
  <w:style w:type="paragraph" w:styleId="Heading2">
    <w:name w:val="heading 2"/>
    <w:basedOn w:val="Normal"/>
    <w:next w:val="Normal"/>
    <w:link w:val="Heading2Char"/>
    <w:uiPriority w:val="9"/>
    <w:unhideWhenUsed/>
    <w:qFormat/>
    <w:rsid w:val="00AB2125"/>
    <w:pPr>
      <w:keepNext/>
      <w:keepLines/>
      <w:spacing w:before="40" w:after="0"/>
      <w:outlineLvl w:val="1"/>
    </w:pPr>
    <w:rPr>
      <w:rFonts w:eastAsia="Calibri" w:cstheme="minorHAnsi"/>
      <w:b/>
      <w:szCs w:val="26"/>
      <w:lang w:val="en-US"/>
    </w:rPr>
  </w:style>
  <w:style w:type="paragraph" w:styleId="Heading3">
    <w:name w:val="heading 3"/>
    <w:basedOn w:val="Normal"/>
    <w:next w:val="Normal"/>
    <w:link w:val="Heading3Char"/>
    <w:uiPriority w:val="9"/>
    <w:unhideWhenUsed/>
    <w:qFormat/>
    <w:rsid w:val="000977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125"/>
    <w:rPr>
      <w:rFonts w:eastAsia="Times New Roman" w:cstheme="minorHAnsi"/>
      <w:b/>
      <w:bCs/>
      <w:sz w:val="40"/>
      <w:szCs w:val="28"/>
      <w:lang w:eastAsia="en-AU"/>
    </w:rPr>
  </w:style>
  <w:style w:type="paragraph" w:styleId="ListBullet">
    <w:name w:val="List Bullet"/>
    <w:basedOn w:val="Normal"/>
    <w:uiPriority w:val="99"/>
    <w:unhideWhenUsed/>
    <w:rsid w:val="00ED5C7A"/>
    <w:pPr>
      <w:numPr>
        <w:numId w:val="1"/>
      </w:numPr>
      <w:contextualSpacing/>
    </w:pPr>
  </w:style>
  <w:style w:type="character" w:customStyle="1" w:styleId="NoSpacingChar">
    <w:name w:val="No Spacing Char"/>
    <w:link w:val="NoSpacing"/>
    <w:uiPriority w:val="1"/>
    <w:locked/>
    <w:rsid w:val="005A054B"/>
    <w:rPr>
      <w:rFonts w:ascii="Arial" w:eastAsia="SimSun" w:hAnsi="Arial" w:cs="Mangal"/>
      <w:sz w:val="32"/>
      <w:lang w:val="en-US"/>
    </w:rPr>
  </w:style>
  <w:style w:type="paragraph" w:styleId="NoSpacing">
    <w:name w:val="No Spacing"/>
    <w:link w:val="NoSpacingChar"/>
    <w:uiPriority w:val="1"/>
    <w:qFormat/>
    <w:rsid w:val="005A054B"/>
    <w:pPr>
      <w:spacing w:after="0" w:line="240" w:lineRule="auto"/>
    </w:pPr>
    <w:rPr>
      <w:rFonts w:ascii="Arial" w:eastAsia="SimSun" w:hAnsi="Arial" w:cs="Mangal"/>
      <w:sz w:val="32"/>
      <w:lang w:val="en-US"/>
    </w:rPr>
  </w:style>
  <w:style w:type="paragraph" w:styleId="TOCHeading">
    <w:name w:val="TOC Heading"/>
    <w:basedOn w:val="Heading1"/>
    <w:next w:val="Normal"/>
    <w:uiPriority w:val="39"/>
    <w:unhideWhenUsed/>
    <w:qFormat/>
    <w:rsid w:val="009B5628"/>
    <w:p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9B5628"/>
    <w:pPr>
      <w:spacing w:after="100"/>
    </w:pPr>
  </w:style>
  <w:style w:type="character" w:styleId="Hyperlink">
    <w:name w:val="Hyperlink"/>
    <w:basedOn w:val="DefaultParagraphFont"/>
    <w:uiPriority w:val="99"/>
    <w:unhideWhenUsed/>
    <w:rsid w:val="009B5628"/>
    <w:rPr>
      <w:color w:val="0563C1" w:themeColor="hyperlink"/>
      <w:u w:val="single"/>
    </w:rPr>
  </w:style>
  <w:style w:type="paragraph" w:styleId="Header">
    <w:name w:val="header"/>
    <w:basedOn w:val="Normal"/>
    <w:link w:val="HeaderChar"/>
    <w:uiPriority w:val="99"/>
    <w:unhideWhenUsed/>
    <w:rsid w:val="002B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AB0"/>
  </w:style>
  <w:style w:type="paragraph" w:styleId="Footer">
    <w:name w:val="footer"/>
    <w:basedOn w:val="Normal"/>
    <w:link w:val="FooterChar"/>
    <w:uiPriority w:val="99"/>
    <w:unhideWhenUsed/>
    <w:rsid w:val="002B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AB0"/>
  </w:style>
  <w:style w:type="paragraph" w:styleId="ListParagraph">
    <w:name w:val="List Paragraph"/>
    <w:basedOn w:val="Normal"/>
    <w:uiPriority w:val="34"/>
    <w:qFormat/>
    <w:rsid w:val="005914D5"/>
    <w:pPr>
      <w:ind w:left="720"/>
      <w:contextualSpacing/>
    </w:pPr>
  </w:style>
  <w:style w:type="character" w:customStyle="1" w:styleId="Heading2Char">
    <w:name w:val="Heading 2 Char"/>
    <w:basedOn w:val="DefaultParagraphFont"/>
    <w:link w:val="Heading2"/>
    <w:uiPriority w:val="9"/>
    <w:rsid w:val="00AB2125"/>
    <w:rPr>
      <w:rFonts w:eastAsia="Calibri" w:cstheme="minorHAnsi"/>
      <w:b/>
      <w:sz w:val="32"/>
      <w:szCs w:val="26"/>
      <w:lang w:val="en-US"/>
    </w:rPr>
  </w:style>
  <w:style w:type="paragraph" w:styleId="TOC2">
    <w:name w:val="toc 2"/>
    <w:basedOn w:val="Normal"/>
    <w:next w:val="Normal"/>
    <w:autoRedefine/>
    <w:uiPriority w:val="39"/>
    <w:unhideWhenUsed/>
    <w:rsid w:val="005E4657"/>
    <w:pPr>
      <w:spacing w:after="100"/>
      <w:ind w:left="220"/>
    </w:pPr>
  </w:style>
  <w:style w:type="character" w:customStyle="1" w:styleId="Heading3Char">
    <w:name w:val="Heading 3 Char"/>
    <w:basedOn w:val="DefaultParagraphFont"/>
    <w:link w:val="Heading3"/>
    <w:uiPriority w:val="9"/>
    <w:rsid w:val="00097707"/>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870A8C"/>
    <w:rPr>
      <w:i/>
      <w:iCs/>
    </w:rPr>
  </w:style>
  <w:style w:type="character" w:styleId="CommentReference">
    <w:name w:val="annotation reference"/>
    <w:basedOn w:val="DefaultParagraphFont"/>
    <w:uiPriority w:val="99"/>
    <w:semiHidden/>
    <w:unhideWhenUsed/>
    <w:rsid w:val="004B4039"/>
    <w:rPr>
      <w:sz w:val="16"/>
      <w:szCs w:val="16"/>
    </w:rPr>
  </w:style>
  <w:style w:type="paragraph" w:styleId="CommentText">
    <w:name w:val="annotation text"/>
    <w:basedOn w:val="Normal"/>
    <w:link w:val="CommentTextChar"/>
    <w:uiPriority w:val="99"/>
    <w:semiHidden/>
    <w:unhideWhenUsed/>
    <w:rsid w:val="004B4039"/>
    <w:pPr>
      <w:spacing w:line="240" w:lineRule="auto"/>
    </w:pPr>
    <w:rPr>
      <w:sz w:val="20"/>
      <w:szCs w:val="20"/>
    </w:rPr>
  </w:style>
  <w:style w:type="character" w:customStyle="1" w:styleId="CommentTextChar">
    <w:name w:val="Comment Text Char"/>
    <w:basedOn w:val="DefaultParagraphFont"/>
    <w:link w:val="CommentText"/>
    <w:uiPriority w:val="99"/>
    <w:semiHidden/>
    <w:rsid w:val="004B4039"/>
    <w:rPr>
      <w:sz w:val="20"/>
      <w:szCs w:val="20"/>
    </w:rPr>
  </w:style>
  <w:style w:type="paragraph" w:styleId="CommentSubject">
    <w:name w:val="annotation subject"/>
    <w:basedOn w:val="CommentText"/>
    <w:next w:val="CommentText"/>
    <w:link w:val="CommentSubjectChar"/>
    <w:uiPriority w:val="99"/>
    <w:semiHidden/>
    <w:unhideWhenUsed/>
    <w:rsid w:val="004B4039"/>
    <w:rPr>
      <w:b/>
      <w:bCs/>
    </w:rPr>
  </w:style>
  <w:style w:type="character" w:customStyle="1" w:styleId="CommentSubjectChar">
    <w:name w:val="Comment Subject Char"/>
    <w:basedOn w:val="CommentTextChar"/>
    <w:link w:val="CommentSubject"/>
    <w:uiPriority w:val="99"/>
    <w:semiHidden/>
    <w:rsid w:val="004B4039"/>
    <w:rPr>
      <w:b/>
      <w:bCs/>
      <w:sz w:val="20"/>
      <w:szCs w:val="20"/>
    </w:rPr>
  </w:style>
  <w:style w:type="paragraph" w:styleId="BalloonText">
    <w:name w:val="Balloon Text"/>
    <w:basedOn w:val="Normal"/>
    <w:link w:val="BalloonTextChar"/>
    <w:uiPriority w:val="99"/>
    <w:semiHidden/>
    <w:unhideWhenUsed/>
    <w:rsid w:val="004B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39"/>
    <w:rPr>
      <w:rFonts w:ascii="Segoe UI" w:hAnsi="Segoe UI" w:cs="Segoe UI"/>
      <w:sz w:val="18"/>
      <w:szCs w:val="18"/>
    </w:rPr>
  </w:style>
  <w:style w:type="paragraph" w:styleId="FootnoteText">
    <w:name w:val="footnote text"/>
    <w:basedOn w:val="Normal"/>
    <w:link w:val="FootnoteTextChar"/>
    <w:uiPriority w:val="99"/>
    <w:semiHidden/>
    <w:unhideWhenUsed/>
    <w:rsid w:val="00E67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D9D"/>
    <w:rPr>
      <w:sz w:val="20"/>
      <w:szCs w:val="20"/>
    </w:rPr>
  </w:style>
  <w:style w:type="character" w:styleId="FootnoteReference">
    <w:name w:val="footnote reference"/>
    <w:basedOn w:val="DefaultParagraphFont"/>
    <w:uiPriority w:val="99"/>
    <w:semiHidden/>
    <w:unhideWhenUsed/>
    <w:rsid w:val="00E67D9D"/>
    <w:rPr>
      <w:vertAlign w:val="superscript"/>
    </w:rPr>
  </w:style>
  <w:style w:type="character" w:styleId="FollowedHyperlink">
    <w:name w:val="FollowedHyperlink"/>
    <w:basedOn w:val="DefaultParagraphFont"/>
    <w:uiPriority w:val="99"/>
    <w:semiHidden/>
    <w:unhideWhenUsed/>
    <w:rsid w:val="00E67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2333">
      <w:bodyDiv w:val="1"/>
      <w:marLeft w:val="0"/>
      <w:marRight w:val="0"/>
      <w:marTop w:val="0"/>
      <w:marBottom w:val="0"/>
      <w:divBdr>
        <w:top w:val="none" w:sz="0" w:space="0" w:color="auto"/>
        <w:left w:val="none" w:sz="0" w:space="0" w:color="auto"/>
        <w:bottom w:val="none" w:sz="0" w:space="0" w:color="auto"/>
        <w:right w:val="none" w:sz="0" w:space="0" w:color="auto"/>
      </w:divBdr>
    </w:div>
    <w:div w:id="57175801">
      <w:bodyDiv w:val="1"/>
      <w:marLeft w:val="0"/>
      <w:marRight w:val="0"/>
      <w:marTop w:val="0"/>
      <w:marBottom w:val="0"/>
      <w:divBdr>
        <w:top w:val="none" w:sz="0" w:space="0" w:color="auto"/>
        <w:left w:val="none" w:sz="0" w:space="0" w:color="auto"/>
        <w:bottom w:val="none" w:sz="0" w:space="0" w:color="auto"/>
        <w:right w:val="none" w:sz="0" w:space="0" w:color="auto"/>
      </w:divBdr>
    </w:div>
    <w:div w:id="166402806">
      <w:bodyDiv w:val="1"/>
      <w:marLeft w:val="0"/>
      <w:marRight w:val="0"/>
      <w:marTop w:val="0"/>
      <w:marBottom w:val="0"/>
      <w:divBdr>
        <w:top w:val="none" w:sz="0" w:space="0" w:color="auto"/>
        <w:left w:val="none" w:sz="0" w:space="0" w:color="auto"/>
        <w:bottom w:val="none" w:sz="0" w:space="0" w:color="auto"/>
        <w:right w:val="none" w:sz="0" w:space="0" w:color="auto"/>
      </w:divBdr>
    </w:div>
    <w:div w:id="406389420">
      <w:bodyDiv w:val="1"/>
      <w:marLeft w:val="0"/>
      <w:marRight w:val="0"/>
      <w:marTop w:val="0"/>
      <w:marBottom w:val="0"/>
      <w:divBdr>
        <w:top w:val="none" w:sz="0" w:space="0" w:color="auto"/>
        <w:left w:val="none" w:sz="0" w:space="0" w:color="auto"/>
        <w:bottom w:val="none" w:sz="0" w:space="0" w:color="auto"/>
        <w:right w:val="none" w:sz="0" w:space="0" w:color="auto"/>
      </w:divBdr>
    </w:div>
    <w:div w:id="912157615">
      <w:bodyDiv w:val="1"/>
      <w:marLeft w:val="0"/>
      <w:marRight w:val="0"/>
      <w:marTop w:val="0"/>
      <w:marBottom w:val="0"/>
      <w:divBdr>
        <w:top w:val="none" w:sz="0" w:space="0" w:color="auto"/>
        <w:left w:val="none" w:sz="0" w:space="0" w:color="auto"/>
        <w:bottom w:val="none" w:sz="0" w:space="0" w:color="auto"/>
        <w:right w:val="none" w:sz="0" w:space="0" w:color="auto"/>
      </w:divBdr>
    </w:div>
    <w:div w:id="1017853831">
      <w:bodyDiv w:val="1"/>
      <w:marLeft w:val="0"/>
      <w:marRight w:val="0"/>
      <w:marTop w:val="0"/>
      <w:marBottom w:val="0"/>
      <w:divBdr>
        <w:top w:val="none" w:sz="0" w:space="0" w:color="auto"/>
        <w:left w:val="none" w:sz="0" w:space="0" w:color="auto"/>
        <w:bottom w:val="none" w:sz="0" w:space="0" w:color="auto"/>
        <w:right w:val="none" w:sz="0" w:space="0" w:color="auto"/>
      </w:divBdr>
    </w:div>
    <w:div w:id="10713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ss.gov.au/our-responsibilities/disability-and-carers/publications-articles/policy-research/national-disability-strategy-2010-2020" TargetMode="External"/><Relationship Id="rId1" Type="http://schemas.openxmlformats.org/officeDocument/2006/relationships/hyperlink" Target="https://www.safetyandquality.gov.au/publications-and-resources/resource-library/australian-charter-healthcare-rights-second-edition-a4-acce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680A-C8B6-466E-80DA-5CF4DA660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8750A7-AF1E-4B3B-8325-6EFC3D7D3CBA}">
  <ds:schemaRefs>
    <ds:schemaRef ds:uri="http://schemas.microsoft.com/sharepoint/v3/contenttype/forms"/>
  </ds:schemaRefs>
</ds:datastoreItem>
</file>

<file path=customXml/itemProps3.xml><?xml version="1.0" encoding="utf-8"?>
<ds:datastoreItem xmlns:ds="http://schemas.openxmlformats.org/officeDocument/2006/customXml" ds:itemID="{154E9C4B-0E6D-4BD1-98D0-4FF24097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CC81D-E8B7-4379-A434-72C13BF1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2834</Words>
  <Characters>16155</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Healthcare Policy</vt:lpstr>
      <vt:lpstr>    About Blind Citizens Australia</vt:lpstr>
      <vt:lpstr>    About Australians who are blind or vision impaired</vt:lpstr>
      <vt:lpstr>1. Purpose of this policy</vt:lpstr>
      <vt:lpstr>2. How this policy should be used</vt:lpstr>
      <vt:lpstr>3. Policy Context</vt:lpstr>
      <vt:lpstr>4. Policy Statement</vt:lpstr>
      <vt:lpstr>    4.1 Respect</vt:lpstr>
      <vt:lpstr>    4.2 Access</vt:lpstr>
      <vt:lpstr>    4.3 Safety</vt:lpstr>
      <vt:lpstr>    4.4 Partnership</vt:lpstr>
      <vt:lpstr>    4.5 Information</vt:lpstr>
      <vt:lpstr>    4.6 Give Feedback</vt:lpstr>
      <vt:lpstr>    4.7 Privacy</vt:lpstr>
      <vt:lpstr>5. Other relevant research </vt:lpstr>
      <vt:lpstr>6. Glossary of key terms</vt:lpstr>
    </vt:vector>
  </TitlesOfParts>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Taylor</dc:creator>
  <cp:keywords/>
  <dc:description/>
  <cp:lastModifiedBy>Jane Britt</cp:lastModifiedBy>
  <cp:revision>85</cp:revision>
  <dcterms:created xsi:type="dcterms:W3CDTF">2019-10-30T00:57:00Z</dcterms:created>
  <dcterms:modified xsi:type="dcterms:W3CDTF">2019-11-20T00:27:00Z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