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A817C" w14:textId="47BD3418" w:rsidR="002B4AB0" w:rsidRPr="006677CB" w:rsidRDefault="001549B0" w:rsidP="006677CB">
      <w:pPr>
        <w:pStyle w:val="NormalStandardPrint"/>
        <w:tabs>
          <w:tab w:val="right" w:pos="9026"/>
        </w:tabs>
        <w:spacing w:before="0" w:after="0" w:line="276" w:lineRule="auto"/>
        <w:rPr>
          <w:rFonts w:ascii="Arial Narrow" w:hAnsi="Arial Narrow" w:cs="Arial"/>
          <w:sz w:val="20"/>
          <w:szCs w:val="20"/>
        </w:rPr>
      </w:pPr>
      <w:bookmarkStart w:id="0" w:name="_GoBack"/>
      <w:bookmarkEnd w:id="0"/>
      <w:r w:rsidRPr="001549B0">
        <w:rPr>
          <w:rFonts w:cs="Arial"/>
          <w:noProof/>
          <w:sz w:val="20"/>
          <w:szCs w:val="20"/>
          <w:lang w:eastAsia="en-AU"/>
        </w:rPr>
        <w:drawing>
          <wp:anchor distT="0" distB="0" distL="114300" distR="114300" simplePos="0" relativeHeight="251657728" behindDoc="1" locked="0" layoutInCell="1" allowOverlap="1" wp14:anchorId="6F5CB1FF" wp14:editId="4087C31A">
            <wp:simplePos x="0" y="0"/>
            <wp:positionH relativeFrom="margin">
              <wp:posOffset>-8255</wp:posOffset>
            </wp:positionH>
            <wp:positionV relativeFrom="paragraph">
              <wp:posOffset>0</wp:posOffset>
            </wp:positionV>
            <wp:extent cx="1471930" cy="1219200"/>
            <wp:effectExtent l="0" t="0" r="0" b="0"/>
            <wp:wrapTight wrapText="bothSides">
              <wp:wrapPolygon edited="0">
                <wp:start x="0" y="0"/>
                <wp:lineTo x="0" y="21263"/>
                <wp:lineTo x="21246" y="21263"/>
                <wp:lineTo x="21246"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193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2B4AB0" w:rsidRPr="006677CB">
        <w:rPr>
          <w:rFonts w:ascii="Arial Narrow" w:hAnsi="Arial Narrow" w:cs="Arial"/>
          <w:sz w:val="20"/>
          <w:szCs w:val="20"/>
        </w:rPr>
        <w:t>Level 3</w:t>
      </w:r>
      <w:r w:rsidR="00BA741C" w:rsidRPr="006677CB">
        <w:rPr>
          <w:rFonts w:ascii="Arial Narrow" w:hAnsi="Arial Narrow" w:cs="Arial"/>
          <w:sz w:val="20"/>
          <w:szCs w:val="20"/>
        </w:rPr>
        <w:t xml:space="preserve"> </w:t>
      </w:r>
      <w:r w:rsidR="002B4AB0" w:rsidRPr="006677CB">
        <w:rPr>
          <w:rFonts w:ascii="Arial Narrow" w:hAnsi="Arial Narrow" w:cs="Arial"/>
          <w:sz w:val="20"/>
          <w:szCs w:val="20"/>
        </w:rPr>
        <w:t>Ross House</w:t>
      </w:r>
    </w:p>
    <w:p w14:paraId="1A363D6D" w14:textId="35C78FE1" w:rsidR="002B4AB0" w:rsidRPr="006677CB" w:rsidRDefault="001549B0" w:rsidP="006677CB">
      <w:pPr>
        <w:pStyle w:val="NormalStandardPrint"/>
        <w:tabs>
          <w:tab w:val="right" w:pos="9026"/>
        </w:tabs>
        <w:spacing w:before="0" w:after="0" w:line="276" w:lineRule="auto"/>
        <w:rPr>
          <w:rFonts w:ascii="Arial Narrow" w:hAnsi="Arial Narrow" w:cs="Arial"/>
          <w:sz w:val="20"/>
          <w:szCs w:val="20"/>
        </w:rPr>
      </w:pPr>
      <w:r w:rsidRPr="006677CB">
        <w:rPr>
          <w:rFonts w:ascii="Arial Narrow" w:hAnsi="Arial Narrow" w:cs="Arial"/>
          <w:sz w:val="20"/>
          <w:szCs w:val="20"/>
        </w:rPr>
        <w:tab/>
      </w:r>
      <w:r w:rsidR="002B4AB0" w:rsidRPr="006677CB">
        <w:rPr>
          <w:rFonts w:ascii="Arial Narrow" w:hAnsi="Arial Narrow" w:cs="Arial"/>
          <w:sz w:val="20"/>
          <w:szCs w:val="20"/>
        </w:rPr>
        <w:t>247-251 Flinders Lane</w:t>
      </w:r>
    </w:p>
    <w:p w14:paraId="2DDF4E19" w14:textId="18747BC7" w:rsidR="002B4AB0" w:rsidRPr="006677CB" w:rsidRDefault="001549B0" w:rsidP="006677CB">
      <w:pPr>
        <w:pStyle w:val="NormalStandardPrint"/>
        <w:tabs>
          <w:tab w:val="right" w:pos="9026"/>
        </w:tabs>
        <w:spacing w:before="0" w:after="0" w:line="276" w:lineRule="auto"/>
        <w:rPr>
          <w:rFonts w:ascii="Arial Narrow" w:hAnsi="Arial Narrow" w:cs="Arial"/>
          <w:sz w:val="20"/>
          <w:szCs w:val="20"/>
        </w:rPr>
      </w:pPr>
      <w:r w:rsidRPr="006677CB">
        <w:rPr>
          <w:rFonts w:ascii="Arial Narrow" w:hAnsi="Arial Narrow" w:cs="Arial"/>
          <w:sz w:val="20"/>
          <w:szCs w:val="20"/>
        </w:rPr>
        <w:tab/>
      </w:r>
      <w:r w:rsidR="002B4AB0" w:rsidRPr="006677CB">
        <w:rPr>
          <w:rFonts w:ascii="Arial Narrow" w:hAnsi="Arial Narrow" w:cs="Arial"/>
          <w:sz w:val="20"/>
          <w:szCs w:val="20"/>
        </w:rPr>
        <w:t>Melbourne Victoria 3000</w:t>
      </w:r>
    </w:p>
    <w:p w14:paraId="6AC3E434" w14:textId="3814D002" w:rsidR="002B4AB0" w:rsidRPr="006677CB" w:rsidRDefault="001549B0" w:rsidP="006677CB">
      <w:pPr>
        <w:pStyle w:val="NormalStandardPrint"/>
        <w:tabs>
          <w:tab w:val="right" w:pos="9026"/>
        </w:tabs>
        <w:spacing w:before="0" w:after="0" w:line="276" w:lineRule="auto"/>
        <w:rPr>
          <w:rFonts w:ascii="Arial Narrow" w:hAnsi="Arial Narrow" w:cs="Arial"/>
          <w:sz w:val="20"/>
          <w:szCs w:val="20"/>
        </w:rPr>
      </w:pPr>
      <w:r w:rsidRPr="006677CB">
        <w:rPr>
          <w:rFonts w:ascii="Arial Narrow" w:hAnsi="Arial Narrow" w:cs="Arial"/>
          <w:sz w:val="20"/>
          <w:szCs w:val="20"/>
        </w:rPr>
        <w:tab/>
      </w:r>
      <w:r w:rsidR="002B4AB0" w:rsidRPr="006677CB">
        <w:rPr>
          <w:rFonts w:ascii="Arial Narrow" w:hAnsi="Arial Narrow" w:cs="Arial"/>
          <w:sz w:val="20"/>
          <w:szCs w:val="20"/>
        </w:rPr>
        <w:t>Telephone: 03 9654 1400</w:t>
      </w:r>
    </w:p>
    <w:p w14:paraId="781697E6" w14:textId="117CAE7A" w:rsidR="002B4AB0" w:rsidRPr="006677CB" w:rsidRDefault="001549B0" w:rsidP="006677CB">
      <w:pPr>
        <w:pStyle w:val="NormalStandardPrint"/>
        <w:tabs>
          <w:tab w:val="right" w:pos="9026"/>
        </w:tabs>
        <w:spacing w:before="0" w:after="0" w:line="276" w:lineRule="auto"/>
        <w:rPr>
          <w:rFonts w:ascii="Arial Narrow" w:hAnsi="Arial Narrow" w:cs="Arial"/>
          <w:sz w:val="20"/>
          <w:szCs w:val="20"/>
        </w:rPr>
      </w:pPr>
      <w:r w:rsidRPr="006677CB">
        <w:rPr>
          <w:rFonts w:ascii="Arial Narrow" w:hAnsi="Arial Narrow" w:cs="Arial"/>
          <w:sz w:val="20"/>
          <w:szCs w:val="20"/>
        </w:rPr>
        <w:tab/>
      </w:r>
      <w:r w:rsidR="002B4AB0" w:rsidRPr="006677CB">
        <w:rPr>
          <w:rFonts w:ascii="Arial Narrow" w:hAnsi="Arial Narrow" w:cs="Arial"/>
          <w:sz w:val="20"/>
          <w:szCs w:val="20"/>
        </w:rPr>
        <w:t>Toll Free: 1800 033 660</w:t>
      </w:r>
    </w:p>
    <w:p w14:paraId="15CE39CF" w14:textId="773E3850" w:rsidR="002B4AB0" w:rsidRPr="006677CB" w:rsidRDefault="001549B0" w:rsidP="006677CB">
      <w:pPr>
        <w:pStyle w:val="NormalStandardPrint"/>
        <w:tabs>
          <w:tab w:val="right" w:pos="9026"/>
        </w:tabs>
        <w:spacing w:before="0" w:after="0" w:line="276" w:lineRule="auto"/>
        <w:rPr>
          <w:rFonts w:ascii="Arial Narrow" w:hAnsi="Arial Narrow" w:cs="Arial"/>
          <w:sz w:val="20"/>
          <w:szCs w:val="20"/>
        </w:rPr>
      </w:pPr>
      <w:r w:rsidRPr="006677CB">
        <w:rPr>
          <w:rFonts w:ascii="Arial Narrow" w:hAnsi="Arial Narrow" w:cs="Arial"/>
          <w:sz w:val="20"/>
          <w:szCs w:val="20"/>
        </w:rPr>
        <w:tab/>
      </w:r>
      <w:r w:rsidR="002B4AB0" w:rsidRPr="006677CB">
        <w:rPr>
          <w:rFonts w:ascii="Arial Narrow" w:hAnsi="Arial Narrow" w:cs="Arial"/>
          <w:sz w:val="20"/>
          <w:szCs w:val="20"/>
        </w:rPr>
        <w:t>Fax: 03 9650 3200</w:t>
      </w:r>
    </w:p>
    <w:p w14:paraId="238C795E" w14:textId="29034588" w:rsidR="002B4AB0" w:rsidRPr="006677CB" w:rsidRDefault="001549B0" w:rsidP="006677CB">
      <w:pPr>
        <w:pStyle w:val="NormalStandardPrint"/>
        <w:tabs>
          <w:tab w:val="right" w:pos="9026"/>
        </w:tabs>
        <w:spacing w:before="0" w:after="0" w:line="276" w:lineRule="auto"/>
        <w:rPr>
          <w:rFonts w:ascii="Arial Narrow" w:hAnsi="Arial Narrow" w:cs="Arial"/>
          <w:sz w:val="20"/>
          <w:szCs w:val="20"/>
        </w:rPr>
      </w:pPr>
      <w:r w:rsidRPr="006677CB">
        <w:rPr>
          <w:rFonts w:ascii="Arial Narrow" w:hAnsi="Arial Narrow" w:cs="Arial"/>
          <w:sz w:val="20"/>
          <w:szCs w:val="20"/>
        </w:rPr>
        <w:tab/>
      </w:r>
      <w:r w:rsidR="002B4AB0" w:rsidRPr="006677CB">
        <w:rPr>
          <w:rFonts w:ascii="Arial Narrow" w:hAnsi="Arial Narrow" w:cs="Arial"/>
          <w:sz w:val="20"/>
          <w:szCs w:val="20"/>
        </w:rPr>
        <w:t>Email: bca@bca.org.au</w:t>
      </w:r>
    </w:p>
    <w:p w14:paraId="3471E647" w14:textId="7D8F3E9B" w:rsidR="00BB4F0F" w:rsidRPr="006677CB" w:rsidRDefault="001549B0" w:rsidP="006677CB">
      <w:pPr>
        <w:pStyle w:val="NormalStandardPrint"/>
        <w:tabs>
          <w:tab w:val="right" w:pos="9026"/>
        </w:tabs>
        <w:spacing w:before="0" w:after="0" w:line="276" w:lineRule="auto"/>
        <w:rPr>
          <w:rFonts w:ascii="Arial Narrow" w:hAnsi="Arial Narrow" w:cs="Arial"/>
          <w:sz w:val="20"/>
          <w:szCs w:val="20"/>
        </w:rPr>
      </w:pPr>
      <w:r w:rsidRPr="006677CB">
        <w:rPr>
          <w:rFonts w:ascii="Arial Narrow" w:hAnsi="Arial Narrow" w:cs="Arial"/>
          <w:sz w:val="20"/>
          <w:szCs w:val="20"/>
        </w:rPr>
        <w:tab/>
      </w:r>
      <w:r w:rsidR="002B4AB0" w:rsidRPr="006677CB">
        <w:rPr>
          <w:rFonts w:ascii="Arial Narrow" w:hAnsi="Arial Narrow" w:cs="Arial"/>
          <w:sz w:val="20"/>
          <w:szCs w:val="20"/>
        </w:rPr>
        <w:t xml:space="preserve">Website: </w:t>
      </w:r>
      <w:hyperlink r:id="rId12" w:history="1">
        <w:r w:rsidR="00BB4F0F" w:rsidRPr="006677CB">
          <w:rPr>
            <w:rStyle w:val="Hyperlink"/>
            <w:rFonts w:ascii="Arial Narrow" w:hAnsi="Arial Narrow" w:cs="Arial"/>
            <w:sz w:val="20"/>
            <w:szCs w:val="20"/>
          </w:rPr>
          <w:t>www.bca.org.au</w:t>
        </w:r>
      </w:hyperlink>
    </w:p>
    <w:p w14:paraId="64902289" w14:textId="7B61B618" w:rsidR="00BB4F0F" w:rsidRPr="006677CB" w:rsidRDefault="001549B0" w:rsidP="006677CB">
      <w:pPr>
        <w:pStyle w:val="NormalStandardPrint"/>
        <w:tabs>
          <w:tab w:val="right" w:pos="9026"/>
        </w:tabs>
        <w:spacing w:before="0" w:after="0" w:line="276" w:lineRule="auto"/>
        <w:rPr>
          <w:rFonts w:ascii="Arial Narrow" w:hAnsi="Arial Narrow" w:cs="Arial"/>
          <w:sz w:val="20"/>
          <w:szCs w:val="20"/>
        </w:rPr>
      </w:pPr>
      <w:r w:rsidRPr="006677CB">
        <w:rPr>
          <w:rFonts w:ascii="Arial Narrow" w:hAnsi="Arial Narrow" w:cs="Arial"/>
          <w:sz w:val="20"/>
          <w:szCs w:val="20"/>
        </w:rPr>
        <w:tab/>
      </w:r>
      <w:r w:rsidR="00E64A07" w:rsidRPr="006677CB">
        <w:rPr>
          <w:rFonts w:ascii="Arial Narrow" w:hAnsi="Arial Narrow" w:cs="Arial"/>
          <w:sz w:val="20"/>
          <w:szCs w:val="20"/>
        </w:rPr>
        <w:t xml:space="preserve">Facebook: </w:t>
      </w:r>
      <w:r w:rsidR="00BB4F0F" w:rsidRPr="006677CB">
        <w:rPr>
          <w:rFonts w:ascii="Arial Narrow" w:hAnsi="Arial Narrow" w:cs="Arial"/>
          <w:sz w:val="20"/>
          <w:szCs w:val="20"/>
        </w:rPr>
        <w:t>/</w:t>
      </w:r>
      <w:proofErr w:type="spellStart"/>
      <w:r w:rsidR="00BB4F0F" w:rsidRPr="006677CB">
        <w:rPr>
          <w:rFonts w:ascii="Arial Narrow" w:hAnsi="Arial Narrow" w:cs="Arial"/>
          <w:sz w:val="20"/>
          <w:szCs w:val="20"/>
        </w:rPr>
        <w:t>BlindCitizensAustralia</w:t>
      </w:r>
      <w:proofErr w:type="spellEnd"/>
    </w:p>
    <w:p w14:paraId="0889C7C0" w14:textId="6E93A53C" w:rsidR="00BB4F0F" w:rsidRPr="006677CB" w:rsidRDefault="001549B0" w:rsidP="006677CB">
      <w:pPr>
        <w:pStyle w:val="NormalStandardPrint"/>
        <w:tabs>
          <w:tab w:val="right" w:pos="9026"/>
        </w:tabs>
        <w:spacing w:before="0" w:after="0" w:line="276" w:lineRule="auto"/>
        <w:rPr>
          <w:rFonts w:ascii="Arial Narrow" w:hAnsi="Arial Narrow"/>
        </w:rPr>
      </w:pPr>
      <w:r w:rsidRPr="006677CB">
        <w:rPr>
          <w:rFonts w:ascii="Arial Narrow" w:hAnsi="Arial Narrow" w:cs="Arial"/>
          <w:sz w:val="20"/>
          <w:szCs w:val="20"/>
        </w:rPr>
        <w:tab/>
      </w:r>
      <w:r w:rsidR="00BB4F0F" w:rsidRPr="006677CB">
        <w:rPr>
          <w:rFonts w:ascii="Arial Narrow" w:hAnsi="Arial Narrow" w:cs="Arial"/>
          <w:sz w:val="20"/>
          <w:szCs w:val="20"/>
        </w:rPr>
        <w:t>Twitter:  @</w:t>
      </w:r>
      <w:proofErr w:type="spellStart"/>
      <w:r w:rsidR="00BB4F0F" w:rsidRPr="006677CB">
        <w:rPr>
          <w:rFonts w:ascii="Arial Narrow" w:hAnsi="Arial Narrow" w:cs="Arial"/>
          <w:sz w:val="20"/>
          <w:szCs w:val="20"/>
        </w:rPr>
        <w:t>au_BCA</w:t>
      </w:r>
      <w:proofErr w:type="spellEnd"/>
    </w:p>
    <w:p w14:paraId="66D9B42E" w14:textId="2B84DCC2" w:rsidR="00CC557A" w:rsidRPr="002B4AB0" w:rsidRDefault="00CC557A" w:rsidP="006677CB">
      <w:pPr>
        <w:spacing w:line="276" w:lineRule="auto"/>
      </w:pPr>
      <w:r w:rsidRPr="002B4AB0">
        <w:t>Blind Citizens Australia</w:t>
      </w:r>
    </w:p>
    <w:p w14:paraId="04CF00E2" w14:textId="77777777" w:rsidR="00927292" w:rsidRPr="002B4AB0" w:rsidRDefault="00927292" w:rsidP="00D5582F"/>
    <w:p w14:paraId="52C7A76A" w14:textId="0933ADA4" w:rsidR="00927292" w:rsidRPr="002B4AB0" w:rsidRDefault="007650CE" w:rsidP="006D244D">
      <w:pPr>
        <w:pStyle w:val="Heading1"/>
      </w:pPr>
      <w:bookmarkStart w:id="1" w:name="_Toc34997106"/>
      <w:r w:rsidRPr="002944B3">
        <w:rPr>
          <w:rFonts w:eastAsia="Calibri"/>
        </w:rPr>
        <w:t>Epidemic / Pandemic Policy</w:t>
      </w:r>
      <w:r>
        <w:rPr>
          <w:rFonts w:eastAsia="Calibri"/>
        </w:rPr>
        <w:br/>
      </w:r>
      <w:bookmarkEnd w:id="1"/>
    </w:p>
    <w:p w14:paraId="396AF161" w14:textId="3A2EF861" w:rsidR="00927292" w:rsidRPr="002B4AB0" w:rsidRDefault="00A439CE" w:rsidP="006677CB">
      <w:pPr>
        <w:pStyle w:val="NormalStandardPrint"/>
        <w:spacing w:before="0" w:after="0"/>
      </w:pPr>
      <w:r>
        <w:t>Date adopted:</w:t>
      </w:r>
      <w:r w:rsidR="007936FD">
        <w:t xml:space="preserve"> 16/3/2020</w:t>
      </w:r>
    </w:p>
    <w:p w14:paraId="56BAF253" w14:textId="461C048D" w:rsidR="00927292" w:rsidRDefault="00927292" w:rsidP="006677CB">
      <w:pPr>
        <w:pStyle w:val="NormalStandardPrint"/>
        <w:spacing w:before="0" w:after="0"/>
      </w:pPr>
      <w:r w:rsidRPr="002B4AB0">
        <w:t>Date last amended</w:t>
      </w:r>
      <w:r w:rsidR="00A439CE">
        <w:t>:</w:t>
      </w:r>
      <w:r w:rsidR="007936FD">
        <w:t xml:space="preserve"> 16/3/2020</w:t>
      </w:r>
    </w:p>
    <w:p w14:paraId="52B28073" w14:textId="7842DC37" w:rsidR="00947C00" w:rsidRDefault="00947C00" w:rsidP="006677CB">
      <w:pPr>
        <w:pStyle w:val="NormalStandardPrint"/>
        <w:spacing w:before="0" w:after="0"/>
      </w:pPr>
      <w:r>
        <w:t xml:space="preserve">Review date: </w:t>
      </w:r>
      <w:r w:rsidR="006D244D">
        <w:t xml:space="preserve">June </w:t>
      </w:r>
      <w:r w:rsidR="007650CE">
        <w:t>202</w:t>
      </w:r>
      <w:r w:rsidR="006D244D">
        <w:t>0</w:t>
      </w:r>
    </w:p>
    <w:p w14:paraId="4304B2EC" w14:textId="19524D17" w:rsidR="00947C00" w:rsidRPr="002B4AB0" w:rsidRDefault="00947C00" w:rsidP="006677CB">
      <w:pPr>
        <w:pStyle w:val="NormalStandardPrint"/>
        <w:spacing w:before="0" w:after="0"/>
      </w:pPr>
      <w:r>
        <w:t xml:space="preserve">Responsibility for review: </w:t>
      </w:r>
      <w:r w:rsidR="007650CE">
        <w:t>CEO</w:t>
      </w:r>
    </w:p>
    <w:sdt>
      <w:sdtPr>
        <w:rPr>
          <w:rFonts w:asciiTheme="minorHAnsi" w:eastAsiaTheme="minorHAnsi" w:hAnsiTheme="minorHAnsi" w:cstheme="minorBidi"/>
          <w:color w:val="auto"/>
          <w:sz w:val="22"/>
          <w:szCs w:val="22"/>
          <w:lang w:val="en-AU"/>
        </w:rPr>
        <w:id w:val="2018584637"/>
        <w:docPartObj>
          <w:docPartGallery w:val="Table of Contents"/>
          <w:docPartUnique/>
        </w:docPartObj>
      </w:sdtPr>
      <w:sdtEndPr>
        <w:rPr>
          <w:rFonts w:ascii="Arial" w:eastAsia="Calibri" w:hAnsi="Arial" w:cs="Times New Roman"/>
          <w:noProof/>
          <w:sz w:val="24"/>
          <w:lang w:val="en-US"/>
        </w:rPr>
      </w:sdtEndPr>
      <w:sdtContent>
        <w:p w14:paraId="2DF2000F" w14:textId="77777777" w:rsidR="00087EC6" w:rsidRDefault="005E4657" w:rsidP="00D5582F">
          <w:pPr>
            <w:pStyle w:val="TOCHeading"/>
            <w:rPr>
              <w:noProof/>
            </w:rPr>
          </w:pPr>
          <w:r w:rsidRPr="002B4AB0">
            <w:t>Contents</w:t>
          </w:r>
          <w:r w:rsidRPr="002B4AB0">
            <w:fldChar w:fldCharType="begin"/>
          </w:r>
          <w:r w:rsidRPr="002B4AB0">
            <w:instrText xml:space="preserve"> TOC \o "1-3" \h \z \u </w:instrText>
          </w:r>
          <w:r w:rsidRPr="002B4AB0">
            <w:fldChar w:fldCharType="separate"/>
          </w:r>
        </w:p>
        <w:p w14:paraId="66DC6520" w14:textId="1F5B3902" w:rsidR="00087EC6" w:rsidRDefault="0074009C">
          <w:pPr>
            <w:pStyle w:val="TOC2"/>
            <w:tabs>
              <w:tab w:val="right" w:leader="dot" w:pos="9016"/>
            </w:tabs>
            <w:rPr>
              <w:rFonts w:asciiTheme="minorHAnsi" w:eastAsiaTheme="minorEastAsia" w:hAnsiTheme="minorHAnsi" w:cstheme="minorBidi"/>
              <w:noProof/>
              <w:sz w:val="22"/>
              <w:lang w:val="en-AU" w:eastAsia="en-AU"/>
            </w:rPr>
          </w:pPr>
          <w:hyperlink w:anchor="_Toc34997107" w:history="1">
            <w:r w:rsidR="00087EC6" w:rsidRPr="00986975">
              <w:rPr>
                <w:rStyle w:val="Hyperlink"/>
                <w:noProof/>
              </w:rPr>
              <w:t>About Blind Citizens Australia</w:t>
            </w:r>
            <w:r w:rsidR="00087EC6">
              <w:rPr>
                <w:noProof/>
                <w:webHidden/>
              </w:rPr>
              <w:tab/>
            </w:r>
            <w:r w:rsidR="00087EC6">
              <w:rPr>
                <w:noProof/>
                <w:webHidden/>
              </w:rPr>
              <w:fldChar w:fldCharType="begin"/>
            </w:r>
            <w:r w:rsidR="00087EC6">
              <w:rPr>
                <w:noProof/>
                <w:webHidden/>
              </w:rPr>
              <w:instrText xml:space="preserve"> PAGEREF _Toc34997107 \h </w:instrText>
            </w:r>
            <w:r w:rsidR="00087EC6">
              <w:rPr>
                <w:noProof/>
                <w:webHidden/>
              </w:rPr>
            </w:r>
            <w:r w:rsidR="00087EC6">
              <w:rPr>
                <w:noProof/>
                <w:webHidden/>
              </w:rPr>
              <w:fldChar w:fldCharType="separate"/>
            </w:r>
            <w:r w:rsidR="00087EC6">
              <w:rPr>
                <w:noProof/>
                <w:webHidden/>
              </w:rPr>
              <w:t>2</w:t>
            </w:r>
            <w:r w:rsidR="00087EC6">
              <w:rPr>
                <w:noProof/>
                <w:webHidden/>
              </w:rPr>
              <w:fldChar w:fldCharType="end"/>
            </w:r>
          </w:hyperlink>
        </w:p>
        <w:p w14:paraId="3020776F" w14:textId="5FE64AFF" w:rsidR="00087EC6" w:rsidRDefault="0074009C">
          <w:pPr>
            <w:pStyle w:val="TOC2"/>
            <w:tabs>
              <w:tab w:val="right" w:leader="dot" w:pos="9016"/>
            </w:tabs>
            <w:rPr>
              <w:rFonts w:asciiTheme="minorHAnsi" w:eastAsiaTheme="minorEastAsia" w:hAnsiTheme="minorHAnsi" w:cstheme="minorBidi"/>
              <w:noProof/>
              <w:sz w:val="22"/>
              <w:lang w:val="en-AU" w:eastAsia="en-AU"/>
            </w:rPr>
          </w:pPr>
          <w:hyperlink w:anchor="_Toc34997108" w:history="1">
            <w:r w:rsidR="00087EC6" w:rsidRPr="00986975">
              <w:rPr>
                <w:rStyle w:val="Hyperlink"/>
                <w:noProof/>
              </w:rPr>
              <w:t>About Australians who are blind or vision impaired</w:t>
            </w:r>
            <w:r w:rsidR="00087EC6">
              <w:rPr>
                <w:noProof/>
                <w:webHidden/>
              </w:rPr>
              <w:tab/>
            </w:r>
            <w:r w:rsidR="00087EC6">
              <w:rPr>
                <w:noProof/>
                <w:webHidden/>
              </w:rPr>
              <w:fldChar w:fldCharType="begin"/>
            </w:r>
            <w:r w:rsidR="00087EC6">
              <w:rPr>
                <w:noProof/>
                <w:webHidden/>
              </w:rPr>
              <w:instrText xml:space="preserve"> PAGEREF _Toc34997108 \h </w:instrText>
            </w:r>
            <w:r w:rsidR="00087EC6">
              <w:rPr>
                <w:noProof/>
                <w:webHidden/>
              </w:rPr>
            </w:r>
            <w:r w:rsidR="00087EC6">
              <w:rPr>
                <w:noProof/>
                <w:webHidden/>
              </w:rPr>
              <w:fldChar w:fldCharType="separate"/>
            </w:r>
            <w:r w:rsidR="00087EC6">
              <w:rPr>
                <w:noProof/>
                <w:webHidden/>
              </w:rPr>
              <w:t>2</w:t>
            </w:r>
            <w:r w:rsidR="00087EC6">
              <w:rPr>
                <w:noProof/>
                <w:webHidden/>
              </w:rPr>
              <w:fldChar w:fldCharType="end"/>
            </w:r>
          </w:hyperlink>
        </w:p>
        <w:p w14:paraId="6892ABFF" w14:textId="1769E4E6" w:rsidR="00087EC6" w:rsidRDefault="0074009C">
          <w:pPr>
            <w:pStyle w:val="TOC2"/>
            <w:tabs>
              <w:tab w:val="right" w:leader="dot" w:pos="9016"/>
            </w:tabs>
            <w:rPr>
              <w:rFonts w:asciiTheme="minorHAnsi" w:eastAsiaTheme="minorEastAsia" w:hAnsiTheme="minorHAnsi" w:cstheme="minorBidi"/>
              <w:noProof/>
              <w:sz w:val="22"/>
              <w:lang w:val="en-AU" w:eastAsia="en-AU"/>
            </w:rPr>
          </w:pPr>
          <w:hyperlink w:anchor="_Toc34997109" w:history="1">
            <w:r w:rsidR="00087EC6" w:rsidRPr="00986975">
              <w:rPr>
                <w:rStyle w:val="Hyperlink"/>
                <w:noProof/>
              </w:rPr>
              <w:t>Introduction</w:t>
            </w:r>
            <w:r w:rsidR="00087EC6">
              <w:rPr>
                <w:noProof/>
                <w:webHidden/>
              </w:rPr>
              <w:tab/>
            </w:r>
            <w:r w:rsidR="00087EC6">
              <w:rPr>
                <w:noProof/>
                <w:webHidden/>
              </w:rPr>
              <w:fldChar w:fldCharType="begin"/>
            </w:r>
            <w:r w:rsidR="00087EC6">
              <w:rPr>
                <w:noProof/>
                <w:webHidden/>
              </w:rPr>
              <w:instrText xml:space="preserve"> PAGEREF _Toc34997109 \h </w:instrText>
            </w:r>
            <w:r w:rsidR="00087EC6">
              <w:rPr>
                <w:noProof/>
                <w:webHidden/>
              </w:rPr>
            </w:r>
            <w:r w:rsidR="00087EC6">
              <w:rPr>
                <w:noProof/>
                <w:webHidden/>
              </w:rPr>
              <w:fldChar w:fldCharType="separate"/>
            </w:r>
            <w:r w:rsidR="00087EC6">
              <w:rPr>
                <w:noProof/>
                <w:webHidden/>
              </w:rPr>
              <w:t>2</w:t>
            </w:r>
            <w:r w:rsidR="00087EC6">
              <w:rPr>
                <w:noProof/>
                <w:webHidden/>
              </w:rPr>
              <w:fldChar w:fldCharType="end"/>
            </w:r>
          </w:hyperlink>
        </w:p>
        <w:p w14:paraId="5DDD4B33" w14:textId="2B4C1691" w:rsidR="00087EC6" w:rsidRDefault="0074009C">
          <w:pPr>
            <w:pStyle w:val="TOC2"/>
            <w:tabs>
              <w:tab w:val="right" w:leader="dot" w:pos="9016"/>
            </w:tabs>
            <w:rPr>
              <w:rFonts w:asciiTheme="minorHAnsi" w:eastAsiaTheme="minorEastAsia" w:hAnsiTheme="minorHAnsi" w:cstheme="minorBidi"/>
              <w:noProof/>
              <w:sz w:val="22"/>
              <w:lang w:val="en-AU" w:eastAsia="en-AU"/>
            </w:rPr>
          </w:pPr>
          <w:hyperlink w:anchor="_Toc34997110" w:history="1">
            <w:r w:rsidR="00087EC6" w:rsidRPr="00986975">
              <w:rPr>
                <w:rStyle w:val="Hyperlink"/>
                <w:noProof/>
              </w:rPr>
              <w:t>Scope</w:t>
            </w:r>
            <w:r w:rsidR="00087EC6">
              <w:rPr>
                <w:noProof/>
                <w:webHidden/>
              </w:rPr>
              <w:tab/>
            </w:r>
            <w:r w:rsidR="00087EC6">
              <w:rPr>
                <w:noProof/>
                <w:webHidden/>
              </w:rPr>
              <w:fldChar w:fldCharType="begin"/>
            </w:r>
            <w:r w:rsidR="00087EC6">
              <w:rPr>
                <w:noProof/>
                <w:webHidden/>
              </w:rPr>
              <w:instrText xml:space="preserve"> PAGEREF _Toc34997110 \h </w:instrText>
            </w:r>
            <w:r w:rsidR="00087EC6">
              <w:rPr>
                <w:noProof/>
                <w:webHidden/>
              </w:rPr>
            </w:r>
            <w:r w:rsidR="00087EC6">
              <w:rPr>
                <w:noProof/>
                <w:webHidden/>
              </w:rPr>
              <w:fldChar w:fldCharType="separate"/>
            </w:r>
            <w:r w:rsidR="00087EC6">
              <w:rPr>
                <w:noProof/>
                <w:webHidden/>
              </w:rPr>
              <w:t>3</w:t>
            </w:r>
            <w:r w:rsidR="00087EC6">
              <w:rPr>
                <w:noProof/>
                <w:webHidden/>
              </w:rPr>
              <w:fldChar w:fldCharType="end"/>
            </w:r>
          </w:hyperlink>
        </w:p>
        <w:p w14:paraId="0D9ABD25" w14:textId="2979339B" w:rsidR="00087EC6" w:rsidRDefault="0074009C">
          <w:pPr>
            <w:pStyle w:val="TOC2"/>
            <w:tabs>
              <w:tab w:val="left" w:pos="660"/>
              <w:tab w:val="right" w:leader="dot" w:pos="9016"/>
            </w:tabs>
            <w:rPr>
              <w:rFonts w:asciiTheme="minorHAnsi" w:eastAsiaTheme="minorEastAsia" w:hAnsiTheme="minorHAnsi" w:cstheme="minorBidi"/>
              <w:noProof/>
              <w:sz w:val="22"/>
              <w:lang w:val="en-AU" w:eastAsia="en-AU"/>
            </w:rPr>
          </w:pPr>
          <w:hyperlink w:anchor="_Toc34997111" w:history="1">
            <w:r w:rsidR="00087EC6" w:rsidRPr="00986975">
              <w:rPr>
                <w:rStyle w:val="Hyperlink"/>
                <w:noProof/>
              </w:rPr>
              <w:t>1.</w:t>
            </w:r>
            <w:r w:rsidR="00087EC6">
              <w:rPr>
                <w:rFonts w:asciiTheme="minorHAnsi" w:eastAsiaTheme="minorEastAsia" w:hAnsiTheme="minorHAnsi" w:cstheme="minorBidi"/>
                <w:noProof/>
                <w:sz w:val="22"/>
                <w:lang w:val="en-AU" w:eastAsia="en-AU"/>
              </w:rPr>
              <w:tab/>
            </w:r>
            <w:r w:rsidR="00087EC6" w:rsidRPr="00986975">
              <w:rPr>
                <w:rStyle w:val="Hyperlink"/>
                <w:noProof/>
              </w:rPr>
              <w:t>Purpose of this policy</w:t>
            </w:r>
            <w:r w:rsidR="00087EC6">
              <w:rPr>
                <w:noProof/>
                <w:webHidden/>
              </w:rPr>
              <w:tab/>
            </w:r>
            <w:r w:rsidR="00087EC6">
              <w:rPr>
                <w:noProof/>
                <w:webHidden/>
              </w:rPr>
              <w:fldChar w:fldCharType="begin"/>
            </w:r>
            <w:r w:rsidR="00087EC6">
              <w:rPr>
                <w:noProof/>
                <w:webHidden/>
              </w:rPr>
              <w:instrText xml:space="preserve"> PAGEREF _Toc34997111 \h </w:instrText>
            </w:r>
            <w:r w:rsidR="00087EC6">
              <w:rPr>
                <w:noProof/>
                <w:webHidden/>
              </w:rPr>
            </w:r>
            <w:r w:rsidR="00087EC6">
              <w:rPr>
                <w:noProof/>
                <w:webHidden/>
              </w:rPr>
              <w:fldChar w:fldCharType="separate"/>
            </w:r>
            <w:r w:rsidR="00087EC6">
              <w:rPr>
                <w:noProof/>
                <w:webHidden/>
              </w:rPr>
              <w:t>3</w:t>
            </w:r>
            <w:r w:rsidR="00087EC6">
              <w:rPr>
                <w:noProof/>
                <w:webHidden/>
              </w:rPr>
              <w:fldChar w:fldCharType="end"/>
            </w:r>
          </w:hyperlink>
        </w:p>
        <w:p w14:paraId="0456F136" w14:textId="690CFCF3" w:rsidR="00087EC6" w:rsidRDefault="0074009C">
          <w:pPr>
            <w:pStyle w:val="TOC2"/>
            <w:tabs>
              <w:tab w:val="left" w:pos="660"/>
              <w:tab w:val="right" w:leader="dot" w:pos="9016"/>
            </w:tabs>
            <w:rPr>
              <w:rFonts w:asciiTheme="minorHAnsi" w:eastAsiaTheme="minorEastAsia" w:hAnsiTheme="minorHAnsi" w:cstheme="minorBidi"/>
              <w:noProof/>
              <w:sz w:val="22"/>
              <w:lang w:val="en-AU" w:eastAsia="en-AU"/>
            </w:rPr>
          </w:pPr>
          <w:hyperlink w:anchor="_Toc34997112" w:history="1">
            <w:r w:rsidR="00087EC6" w:rsidRPr="00986975">
              <w:rPr>
                <w:rStyle w:val="Hyperlink"/>
                <w:noProof/>
              </w:rPr>
              <w:t>2.</w:t>
            </w:r>
            <w:r w:rsidR="00087EC6">
              <w:rPr>
                <w:rFonts w:asciiTheme="minorHAnsi" w:eastAsiaTheme="minorEastAsia" w:hAnsiTheme="minorHAnsi" w:cstheme="minorBidi"/>
                <w:noProof/>
                <w:sz w:val="22"/>
                <w:lang w:val="en-AU" w:eastAsia="en-AU"/>
              </w:rPr>
              <w:tab/>
            </w:r>
            <w:r w:rsidR="00087EC6" w:rsidRPr="00986975">
              <w:rPr>
                <w:rStyle w:val="Hyperlink"/>
                <w:noProof/>
              </w:rPr>
              <w:t>Policy context</w:t>
            </w:r>
            <w:r w:rsidR="00087EC6">
              <w:rPr>
                <w:noProof/>
                <w:webHidden/>
              </w:rPr>
              <w:tab/>
            </w:r>
            <w:r w:rsidR="00087EC6">
              <w:rPr>
                <w:noProof/>
                <w:webHidden/>
              </w:rPr>
              <w:fldChar w:fldCharType="begin"/>
            </w:r>
            <w:r w:rsidR="00087EC6">
              <w:rPr>
                <w:noProof/>
                <w:webHidden/>
              </w:rPr>
              <w:instrText xml:space="preserve"> PAGEREF _Toc34997112 \h </w:instrText>
            </w:r>
            <w:r w:rsidR="00087EC6">
              <w:rPr>
                <w:noProof/>
                <w:webHidden/>
              </w:rPr>
            </w:r>
            <w:r w:rsidR="00087EC6">
              <w:rPr>
                <w:noProof/>
                <w:webHidden/>
              </w:rPr>
              <w:fldChar w:fldCharType="separate"/>
            </w:r>
            <w:r w:rsidR="00087EC6">
              <w:rPr>
                <w:noProof/>
                <w:webHidden/>
              </w:rPr>
              <w:t>3</w:t>
            </w:r>
            <w:r w:rsidR="00087EC6">
              <w:rPr>
                <w:noProof/>
                <w:webHidden/>
              </w:rPr>
              <w:fldChar w:fldCharType="end"/>
            </w:r>
          </w:hyperlink>
        </w:p>
        <w:p w14:paraId="70B96DD3" w14:textId="654392EB" w:rsidR="00087EC6" w:rsidRDefault="0074009C">
          <w:pPr>
            <w:pStyle w:val="TOC2"/>
            <w:tabs>
              <w:tab w:val="left" w:pos="660"/>
              <w:tab w:val="right" w:leader="dot" w:pos="9016"/>
            </w:tabs>
            <w:rPr>
              <w:rFonts w:asciiTheme="minorHAnsi" w:eastAsiaTheme="minorEastAsia" w:hAnsiTheme="minorHAnsi" w:cstheme="minorBidi"/>
              <w:noProof/>
              <w:sz w:val="22"/>
              <w:lang w:val="en-AU" w:eastAsia="en-AU"/>
            </w:rPr>
          </w:pPr>
          <w:hyperlink w:anchor="_Toc34997114" w:history="1">
            <w:r w:rsidR="00087EC6" w:rsidRPr="00986975">
              <w:rPr>
                <w:rStyle w:val="Hyperlink"/>
                <w:noProof/>
              </w:rPr>
              <w:t>3.</w:t>
            </w:r>
            <w:r w:rsidR="00087EC6">
              <w:rPr>
                <w:rFonts w:asciiTheme="minorHAnsi" w:eastAsiaTheme="minorEastAsia" w:hAnsiTheme="minorHAnsi" w:cstheme="minorBidi"/>
                <w:noProof/>
                <w:sz w:val="22"/>
                <w:lang w:val="en-AU" w:eastAsia="en-AU"/>
              </w:rPr>
              <w:tab/>
            </w:r>
            <w:r w:rsidR="00087EC6" w:rsidRPr="00986975">
              <w:rPr>
                <w:rStyle w:val="Hyperlink"/>
                <w:noProof/>
              </w:rPr>
              <w:t>Statement of principles</w:t>
            </w:r>
            <w:r w:rsidR="00087EC6">
              <w:rPr>
                <w:noProof/>
                <w:webHidden/>
              </w:rPr>
              <w:tab/>
            </w:r>
            <w:r w:rsidR="00087EC6">
              <w:rPr>
                <w:noProof/>
                <w:webHidden/>
              </w:rPr>
              <w:fldChar w:fldCharType="begin"/>
            </w:r>
            <w:r w:rsidR="00087EC6">
              <w:rPr>
                <w:noProof/>
                <w:webHidden/>
              </w:rPr>
              <w:instrText xml:space="preserve"> PAGEREF _Toc34997114 \h </w:instrText>
            </w:r>
            <w:r w:rsidR="00087EC6">
              <w:rPr>
                <w:noProof/>
                <w:webHidden/>
              </w:rPr>
            </w:r>
            <w:r w:rsidR="00087EC6">
              <w:rPr>
                <w:noProof/>
                <w:webHidden/>
              </w:rPr>
              <w:fldChar w:fldCharType="separate"/>
            </w:r>
            <w:r w:rsidR="00087EC6">
              <w:rPr>
                <w:noProof/>
                <w:webHidden/>
              </w:rPr>
              <w:t>4</w:t>
            </w:r>
            <w:r w:rsidR="00087EC6">
              <w:rPr>
                <w:noProof/>
                <w:webHidden/>
              </w:rPr>
              <w:fldChar w:fldCharType="end"/>
            </w:r>
          </w:hyperlink>
        </w:p>
        <w:p w14:paraId="535F844F" w14:textId="714D53C3" w:rsidR="00087EC6" w:rsidRDefault="0074009C">
          <w:pPr>
            <w:pStyle w:val="TOC2"/>
            <w:tabs>
              <w:tab w:val="left" w:pos="660"/>
              <w:tab w:val="right" w:leader="dot" w:pos="9016"/>
            </w:tabs>
            <w:rPr>
              <w:rFonts w:asciiTheme="minorHAnsi" w:eastAsiaTheme="minorEastAsia" w:hAnsiTheme="minorHAnsi" w:cstheme="minorBidi"/>
              <w:noProof/>
              <w:sz w:val="22"/>
              <w:lang w:val="en-AU" w:eastAsia="en-AU"/>
            </w:rPr>
          </w:pPr>
          <w:hyperlink w:anchor="_Toc34997116" w:history="1">
            <w:r w:rsidR="00087EC6" w:rsidRPr="00986975">
              <w:rPr>
                <w:rStyle w:val="Hyperlink"/>
                <w:noProof/>
              </w:rPr>
              <w:t>4.</w:t>
            </w:r>
            <w:r w:rsidR="00087EC6">
              <w:rPr>
                <w:rFonts w:asciiTheme="minorHAnsi" w:eastAsiaTheme="minorEastAsia" w:hAnsiTheme="minorHAnsi" w:cstheme="minorBidi"/>
                <w:noProof/>
                <w:sz w:val="22"/>
                <w:lang w:val="en-AU" w:eastAsia="en-AU"/>
              </w:rPr>
              <w:tab/>
            </w:r>
            <w:r w:rsidR="00087EC6" w:rsidRPr="00986975">
              <w:rPr>
                <w:rStyle w:val="Hyperlink"/>
                <w:noProof/>
              </w:rPr>
              <w:t>Other relevant policies</w:t>
            </w:r>
            <w:r w:rsidR="00087EC6">
              <w:rPr>
                <w:noProof/>
                <w:webHidden/>
              </w:rPr>
              <w:tab/>
            </w:r>
            <w:r w:rsidR="00087EC6">
              <w:rPr>
                <w:noProof/>
                <w:webHidden/>
              </w:rPr>
              <w:fldChar w:fldCharType="begin"/>
            </w:r>
            <w:r w:rsidR="00087EC6">
              <w:rPr>
                <w:noProof/>
                <w:webHidden/>
              </w:rPr>
              <w:instrText xml:space="preserve"> PAGEREF _Toc34997116 \h </w:instrText>
            </w:r>
            <w:r w:rsidR="00087EC6">
              <w:rPr>
                <w:noProof/>
                <w:webHidden/>
              </w:rPr>
            </w:r>
            <w:r w:rsidR="00087EC6">
              <w:rPr>
                <w:noProof/>
                <w:webHidden/>
              </w:rPr>
              <w:fldChar w:fldCharType="separate"/>
            </w:r>
            <w:r w:rsidR="00087EC6">
              <w:rPr>
                <w:noProof/>
                <w:webHidden/>
              </w:rPr>
              <w:t>5</w:t>
            </w:r>
            <w:r w:rsidR="00087EC6">
              <w:rPr>
                <w:noProof/>
                <w:webHidden/>
              </w:rPr>
              <w:fldChar w:fldCharType="end"/>
            </w:r>
          </w:hyperlink>
        </w:p>
        <w:p w14:paraId="1263A5F7" w14:textId="326BCAB3" w:rsidR="00087EC6" w:rsidRDefault="0074009C">
          <w:pPr>
            <w:pStyle w:val="TOC2"/>
            <w:tabs>
              <w:tab w:val="left" w:pos="660"/>
              <w:tab w:val="right" w:leader="dot" w:pos="9016"/>
            </w:tabs>
            <w:rPr>
              <w:rFonts w:asciiTheme="minorHAnsi" w:eastAsiaTheme="minorEastAsia" w:hAnsiTheme="minorHAnsi" w:cstheme="minorBidi"/>
              <w:noProof/>
              <w:sz w:val="22"/>
              <w:lang w:val="en-AU" w:eastAsia="en-AU"/>
            </w:rPr>
          </w:pPr>
          <w:hyperlink w:anchor="_Toc34997117" w:history="1">
            <w:r w:rsidR="00087EC6" w:rsidRPr="00986975">
              <w:rPr>
                <w:rStyle w:val="Hyperlink"/>
                <w:noProof/>
              </w:rPr>
              <w:t>5.</w:t>
            </w:r>
            <w:r w:rsidR="00087EC6">
              <w:rPr>
                <w:rFonts w:asciiTheme="minorHAnsi" w:eastAsiaTheme="minorEastAsia" w:hAnsiTheme="minorHAnsi" w:cstheme="minorBidi"/>
                <w:noProof/>
                <w:sz w:val="22"/>
                <w:lang w:val="en-AU" w:eastAsia="en-AU"/>
              </w:rPr>
              <w:tab/>
            </w:r>
            <w:r w:rsidR="00087EC6" w:rsidRPr="00986975">
              <w:rPr>
                <w:rStyle w:val="Hyperlink"/>
                <w:noProof/>
              </w:rPr>
              <w:t>Glossary of key terms</w:t>
            </w:r>
            <w:r w:rsidR="00087EC6">
              <w:rPr>
                <w:noProof/>
                <w:webHidden/>
              </w:rPr>
              <w:tab/>
            </w:r>
            <w:r w:rsidR="00087EC6">
              <w:rPr>
                <w:noProof/>
                <w:webHidden/>
              </w:rPr>
              <w:fldChar w:fldCharType="begin"/>
            </w:r>
            <w:r w:rsidR="00087EC6">
              <w:rPr>
                <w:noProof/>
                <w:webHidden/>
              </w:rPr>
              <w:instrText xml:space="preserve"> PAGEREF _Toc34997117 \h </w:instrText>
            </w:r>
            <w:r w:rsidR="00087EC6">
              <w:rPr>
                <w:noProof/>
                <w:webHidden/>
              </w:rPr>
            </w:r>
            <w:r w:rsidR="00087EC6">
              <w:rPr>
                <w:noProof/>
                <w:webHidden/>
              </w:rPr>
              <w:fldChar w:fldCharType="separate"/>
            </w:r>
            <w:r w:rsidR="00087EC6">
              <w:rPr>
                <w:noProof/>
                <w:webHidden/>
              </w:rPr>
              <w:t>5</w:t>
            </w:r>
            <w:r w:rsidR="00087EC6">
              <w:rPr>
                <w:noProof/>
                <w:webHidden/>
              </w:rPr>
              <w:fldChar w:fldCharType="end"/>
            </w:r>
          </w:hyperlink>
        </w:p>
        <w:p w14:paraId="6106394C" w14:textId="40CDC538" w:rsidR="00927292" w:rsidRPr="005E4657" w:rsidRDefault="005E4657" w:rsidP="00D5582F">
          <w:r w:rsidRPr="002B4AB0">
            <w:rPr>
              <w:noProof/>
            </w:rPr>
            <w:fldChar w:fldCharType="end"/>
          </w:r>
        </w:p>
      </w:sdtContent>
    </w:sdt>
    <w:p w14:paraId="6E5B7366" w14:textId="77777777" w:rsidR="007650CE" w:rsidRDefault="007650CE" w:rsidP="00D5582F">
      <w:pPr>
        <w:rPr>
          <w:rFonts w:asciiTheme="majorHAnsi" w:hAnsiTheme="majorHAnsi" w:cstheme="majorBidi"/>
          <w:color w:val="2F5496" w:themeColor="accent1" w:themeShade="BF"/>
          <w:sz w:val="26"/>
          <w:szCs w:val="26"/>
        </w:rPr>
      </w:pPr>
      <w:r>
        <w:br w:type="page"/>
      </w:r>
    </w:p>
    <w:p w14:paraId="46D0F213" w14:textId="056427E7" w:rsidR="00927292" w:rsidRPr="00D5582F" w:rsidRDefault="00927292" w:rsidP="00D5582F">
      <w:pPr>
        <w:pStyle w:val="Heading2"/>
      </w:pPr>
      <w:bookmarkStart w:id="2" w:name="_Toc34997107"/>
      <w:r w:rsidRPr="00D5582F">
        <w:lastRenderedPageBreak/>
        <w:t>About Blind Citizens Australia</w:t>
      </w:r>
      <w:bookmarkEnd w:id="2"/>
    </w:p>
    <w:p w14:paraId="2E4EBEB7" w14:textId="77777777" w:rsidR="00927292" w:rsidRPr="00D5582F" w:rsidRDefault="00927292" w:rsidP="00D5582F">
      <w:r w:rsidRPr="00D5582F">
        <w:t xml:space="preserve">Blind Citizens Australia is the peak national representative organisation of and for Australians who are blind or vision impaired. Our mission is to achieve equity and equality by our empowerment, by promoting positive community attitudes and by striving for high quality and accessible services which meet our needs. </w:t>
      </w:r>
    </w:p>
    <w:p w14:paraId="31324EBE" w14:textId="77777777" w:rsidR="00927292" w:rsidRPr="00D5582F" w:rsidRDefault="00927292" w:rsidP="00D5582F">
      <w:r w:rsidRPr="00D5582F">
        <w:t xml:space="preserve">We provide peer support and individual advocacy to people who are blind or vision impaired across Australia. Through our campaign work, we address systemic barriers limiting the full and equal participation of people who are blind or vision impaired. Through our policy work, we provide advice to community and government on issues of importance to people who are blind or vision impaired. </w:t>
      </w:r>
    </w:p>
    <w:p w14:paraId="0D8F64B5" w14:textId="1186E161" w:rsidR="00927292" w:rsidRPr="00D5582F" w:rsidRDefault="00927292" w:rsidP="00D5582F">
      <w:r w:rsidRPr="00D5582F">
        <w:t xml:space="preserve">As </w:t>
      </w:r>
      <w:r w:rsidR="00EB1A6D" w:rsidRPr="00D5582F">
        <w:t>a consumer-based organisation, o</w:t>
      </w:r>
      <w:r w:rsidRPr="00D5582F">
        <w:t>ur work is directly informed by lived experience of blindness and vision impairment. Our members, our Directors and the majority of our staff are blind or vision impaired.</w:t>
      </w:r>
    </w:p>
    <w:p w14:paraId="1F1CCE28" w14:textId="77777777" w:rsidR="00FC5DAF" w:rsidRPr="007650CE" w:rsidRDefault="00FC5DAF" w:rsidP="00D5582F">
      <w:pPr>
        <w:pStyle w:val="Heading2"/>
      </w:pPr>
      <w:bookmarkStart w:id="3" w:name="_Toc34997108"/>
      <w:r w:rsidRPr="007650CE">
        <w:t>About Australians who are blind or vision impaired</w:t>
      </w:r>
      <w:bookmarkEnd w:id="3"/>
    </w:p>
    <w:p w14:paraId="72FA9F6A" w14:textId="50AAFFFE" w:rsidR="00927292" w:rsidRDefault="00927292" w:rsidP="00D5582F">
      <w:r w:rsidRPr="002B4AB0">
        <w:t>Th</w:t>
      </w:r>
      <w:r w:rsidR="006C7E4C">
        <w:t>ere are currently more than 4</w:t>
      </w:r>
      <w:r w:rsidR="00EB1A6D">
        <w:t>50,</w:t>
      </w:r>
      <w:r w:rsidRPr="002B4AB0">
        <w:t>000 people who are blind or vision impaired in Australia. According to Vision 2020 Australia, around 80% of vision loss in Australia is caused by conditions that become more common as people age.  This raises a number of implications for Australia’s aging population, with one in every four Australians projected to be 65 years of age or older by the year 2056.</w:t>
      </w:r>
    </w:p>
    <w:p w14:paraId="262925A1" w14:textId="675CD398" w:rsidR="00CA3A1A" w:rsidRPr="002B4AB0" w:rsidRDefault="00CA3A1A" w:rsidP="00D5582F">
      <w:r>
        <w:t>Eye conditions that cause vision impairment for Australians include: age-related macular degeneration, cataract, diabetic retinopathy, glaucoma and uncorrected refractive error.</w:t>
      </w:r>
    </w:p>
    <w:p w14:paraId="261D65FB" w14:textId="7C891D8E" w:rsidR="00927292" w:rsidRDefault="00927292" w:rsidP="00D5582F">
      <w:r w:rsidRPr="002B4AB0">
        <w:t xml:space="preserve">Australians who </w:t>
      </w:r>
      <w:r w:rsidRPr="007650CE">
        <w:t>are</w:t>
      </w:r>
      <w:r w:rsidRPr="002B4AB0">
        <w:t xml:space="preserve"> blind or vision impaired can live rich and active lives and make meaningful con</w:t>
      </w:r>
      <w:r w:rsidR="005914D5">
        <w:t>tributions to their communities:</w:t>
      </w:r>
      <w:r w:rsidRPr="002B4AB0">
        <w:t xml:space="preserve"> working, volunteering, raising families and engaging in sports and other recreational activities. The extent to which people are able to actively and independently participate in community life does, however, rely on facilities, services and systems that are available to the public being designed in a way that makes them inclusive to the needs of all citizens – including those who are blind or vision impaired.</w:t>
      </w:r>
    </w:p>
    <w:p w14:paraId="165BCF8D" w14:textId="4312F30A" w:rsidR="007650CE" w:rsidRDefault="007650CE" w:rsidP="00D5582F">
      <w:pPr>
        <w:pStyle w:val="Heading2"/>
      </w:pPr>
      <w:bookmarkStart w:id="4" w:name="_Toc34997109"/>
      <w:r>
        <w:t>Introduction</w:t>
      </w:r>
      <w:bookmarkEnd w:id="4"/>
    </w:p>
    <w:p w14:paraId="0B36CD6D" w14:textId="1D236359" w:rsidR="007650CE" w:rsidRDefault="007650CE" w:rsidP="00DF2668">
      <w:pPr>
        <w:spacing w:after="0"/>
      </w:pPr>
      <w:r w:rsidRPr="006F24C8">
        <w:t xml:space="preserve">From time to time infectious diseases develop into epidemics or pandemics and create increased risks for the community. These occasions require specific policies targeted at the particular disease in question and general efforts at preparedness. </w:t>
      </w:r>
    </w:p>
    <w:p w14:paraId="50738FC9" w14:textId="77777777" w:rsidR="007650CE" w:rsidRPr="00D5582F" w:rsidRDefault="007650CE" w:rsidP="00DF2668">
      <w:pPr>
        <w:pStyle w:val="Bullet1"/>
        <w:spacing w:before="0" w:after="0"/>
      </w:pPr>
      <w:r w:rsidRPr="00D5582F">
        <w:t>Blind Citizens Australia wishes as far as possible to protect its members, its staff, its volunteers, and the general public from infection or contagion by epidemics and/or pandemics.</w:t>
      </w:r>
    </w:p>
    <w:p w14:paraId="7C5FECE7" w14:textId="77777777" w:rsidR="007650CE" w:rsidRPr="006F24C8" w:rsidRDefault="007650CE" w:rsidP="00DF2668">
      <w:pPr>
        <w:pStyle w:val="Bullet1"/>
        <w:spacing w:before="0" w:after="0"/>
      </w:pPr>
      <w:r w:rsidRPr="006F24C8">
        <w:t>Blind Citizens Australia will facilitate, through its policies and procedures, strategies designed to reduce risks to its members, its staff, its volunteers, and the general public.</w:t>
      </w:r>
    </w:p>
    <w:p w14:paraId="071066C9" w14:textId="5570114C" w:rsidR="007650CE" w:rsidRDefault="007650CE" w:rsidP="00D5582F">
      <w:pPr>
        <w:pStyle w:val="Bullet1"/>
      </w:pPr>
      <w:r w:rsidRPr="006F24C8">
        <w:lastRenderedPageBreak/>
        <w:t xml:space="preserve">Blind Citizens Australia will comply with all directions from </w:t>
      </w:r>
      <w:proofErr w:type="spellStart"/>
      <w:r w:rsidRPr="006F24C8">
        <w:t>authorised</w:t>
      </w:r>
      <w:proofErr w:type="spellEnd"/>
      <w:r w:rsidRPr="006F24C8">
        <w:t xml:space="preserve"> public health officers and recognised medical authorities in relation to the epidemic or pandemic. </w:t>
      </w:r>
    </w:p>
    <w:p w14:paraId="526AB20D" w14:textId="77777777" w:rsidR="006677CB" w:rsidRPr="006F24C8" w:rsidRDefault="006677CB" w:rsidP="006677CB">
      <w:pPr>
        <w:pStyle w:val="Heading2"/>
      </w:pPr>
      <w:bookmarkStart w:id="5" w:name="_Hlk34890238"/>
      <w:bookmarkStart w:id="6" w:name="_Toc34997110"/>
      <w:r w:rsidRPr="006F24C8">
        <w:t>Scope</w:t>
      </w:r>
      <w:bookmarkEnd w:id="5"/>
      <w:bookmarkEnd w:id="6"/>
    </w:p>
    <w:p w14:paraId="623D78E2" w14:textId="77777777" w:rsidR="006677CB" w:rsidRPr="006F24C8" w:rsidRDefault="006677CB" w:rsidP="00DF2668">
      <w:pPr>
        <w:spacing w:after="0"/>
      </w:pPr>
      <w:r w:rsidRPr="006F24C8">
        <w:t>This policy applies to:</w:t>
      </w:r>
    </w:p>
    <w:p w14:paraId="6B535FF9" w14:textId="77777777" w:rsidR="006677CB" w:rsidRPr="006F24C8" w:rsidRDefault="006677CB" w:rsidP="00DF2668">
      <w:pPr>
        <w:pStyle w:val="ListBullet"/>
        <w:spacing w:before="0" w:after="0"/>
        <w:ind w:left="357" w:hanging="357"/>
      </w:pPr>
      <w:r w:rsidRPr="006F24C8">
        <w:t>Members</w:t>
      </w:r>
    </w:p>
    <w:p w14:paraId="7895C68B" w14:textId="77777777" w:rsidR="006677CB" w:rsidRPr="006F24C8" w:rsidRDefault="006677CB" w:rsidP="006677CB">
      <w:pPr>
        <w:pStyle w:val="ListBullet"/>
      </w:pPr>
      <w:r w:rsidRPr="006F24C8">
        <w:t>Branches</w:t>
      </w:r>
    </w:p>
    <w:p w14:paraId="24EEC2B3" w14:textId="77777777" w:rsidR="006677CB" w:rsidRPr="006F24C8" w:rsidRDefault="006677CB" w:rsidP="006677CB">
      <w:pPr>
        <w:pStyle w:val="ListBullet"/>
      </w:pPr>
      <w:r w:rsidRPr="006F24C8">
        <w:t>Staff</w:t>
      </w:r>
    </w:p>
    <w:p w14:paraId="76B01EC5" w14:textId="77777777" w:rsidR="006677CB" w:rsidRPr="006F24C8" w:rsidRDefault="006677CB" w:rsidP="006677CB">
      <w:pPr>
        <w:pStyle w:val="ListBullet"/>
      </w:pPr>
      <w:r w:rsidRPr="006F24C8">
        <w:t>Volunteers</w:t>
      </w:r>
    </w:p>
    <w:p w14:paraId="5D997249" w14:textId="77777777" w:rsidR="006677CB" w:rsidRPr="006F24C8" w:rsidRDefault="006677CB" w:rsidP="006677CB">
      <w:pPr>
        <w:pStyle w:val="ListBullet"/>
      </w:pPr>
      <w:r w:rsidRPr="006F24C8">
        <w:t>Contractors / Consultants</w:t>
      </w:r>
    </w:p>
    <w:p w14:paraId="62C24B23" w14:textId="77777777" w:rsidR="006677CB" w:rsidRPr="006677CB" w:rsidRDefault="006677CB" w:rsidP="006677CB">
      <w:pPr>
        <w:pStyle w:val="ListBullet"/>
      </w:pPr>
      <w:r w:rsidRPr="006F24C8">
        <w:t>Suppliers</w:t>
      </w:r>
    </w:p>
    <w:p w14:paraId="50DE0734" w14:textId="77777777" w:rsidR="00927292" w:rsidRPr="002B4AB0" w:rsidRDefault="00927292" w:rsidP="00D5582F">
      <w:pPr>
        <w:pStyle w:val="Heading2"/>
        <w:rPr>
          <w:sz w:val="24"/>
        </w:rPr>
      </w:pPr>
      <w:bookmarkStart w:id="7" w:name="_Toc34997111"/>
      <w:r w:rsidRPr="002B4AB0">
        <w:t>1.</w:t>
      </w:r>
      <w:r w:rsidRPr="002B4AB0">
        <w:tab/>
        <w:t>Purpose of this policy</w:t>
      </w:r>
      <w:bookmarkEnd w:id="7"/>
    </w:p>
    <w:p w14:paraId="1DD92673" w14:textId="77777777" w:rsidR="007650CE" w:rsidRPr="006F24C8" w:rsidRDefault="007650CE" w:rsidP="00D5582F">
      <w:r w:rsidRPr="006F24C8">
        <w:t xml:space="preserve">The purpose of this policy is to </w:t>
      </w:r>
      <w:r w:rsidRPr="006F24C8">
        <w:rPr>
          <w:lang w:val="en"/>
        </w:rPr>
        <w:t xml:space="preserve">outline the strategies and actions that </w:t>
      </w:r>
      <w:r w:rsidRPr="006F24C8">
        <w:t xml:space="preserve">Blind Citizens Australia and its branches intend to </w:t>
      </w:r>
      <w:r w:rsidRPr="006F24C8">
        <w:rPr>
          <w:lang w:val="en"/>
        </w:rPr>
        <w:t xml:space="preserve">take in the preparation and execution of face to face events to prevent the transmission of infectious diseases that are epidemics or pandemics, and control the transmission of infectious diseases when a case/s is identified. </w:t>
      </w:r>
    </w:p>
    <w:p w14:paraId="42613BB7" w14:textId="36298B8C" w:rsidR="007650CE" w:rsidRDefault="007650CE" w:rsidP="00D5582F">
      <w:pPr>
        <w:rPr>
          <w:lang w:val="en"/>
        </w:rPr>
      </w:pPr>
      <w:r w:rsidRPr="007650CE">
        <w:rPr>
          <w:rFonts w:cs="Segoe UI"/>
          <w:lang w:val="en"/>
        </w:rPr>
        <w:t xml:space="preserve">For the purpose of this policy, infectious diseases </w:t>
      </w:r>
      <w:r w:rsidRPr="007650CE">
        <w:rPr>
          <w:lang w:val="en"/>
        </w:rPr>
        <w:t xml:space="preserve">mean diseases caused by pathogenic microorganisms, such as bacteria, viruses, parasites or fungi; the diseases can be spread, directly or indirectly, from one person to another. This policy is focused on infectious diseases that are declared to be an epidemic or pandemic. </w:t>
      </w:r>
    </w:p>
    <w:p w14:paraId="72DB5293" w14:textId="6AED0A3F" w:rsidR="000B7704" w:rsidRDefault="000B7704" w:rsidP="00D5582F">
      <w:pPr>
        <w:rPr>
          <w:lang w:val="en"/>
        </w:rPr>
      </w:pPr>
      <w:r w:rsidRPr="00EF31D1">
        <w:rPr>
          <w:lang w:val="en"/>
        </w:rPr>
        <w:t>It is recognized that where infection can spread through surface contact people who are blind or vision impaired are at a higher risk of contagion due to their use of touch for information gathering.</w:t>
      </w:r>
      <w:r>
        <w:rPr>
          <w:lang w:val="en"/>
        </w:rPr>
        <w:t xml:space="preserve">    </w:t>
      </w:r>
    </w:p>
    <w:p w14:paraId="46225788" w14:textId="2BB11E01" w:rsidR="00927292" w:rsidRPr="002B4AB0" w:rsidRDefault="00927292" w:rsidP="00D5582F">
      <w:pPr>
        <w:pStyle w:val="Heading2"/>
        <w:rPr>
          <w:sz w:val="24"/>
        </w:rPr>
      </w:pPr>
      <w:bookmarkStart w:id="8" w:name="_Toc34997112"/>
      <w:r w:rsidRPr="002B4AB0">
        <w:t>2.</w:t>
      </w:r>
      <w:r w:rsidRPr="002B4AB0">
        <w:tab/>
        <w:t>Policy context</w:t>
      </w:r>
      <w:bookmarkEnd w:id="8"/>
    </w:p>
    <w:p w14:paraId="62AC0D05" w14:textId="12ADE5A6" w:rsidR="007650CE" w:rsidRDefault="007650CE" w:rsidP="000B7704">
      <w:pPr>
        <w:spacing w:after="0"/>
      </w:pPr>
      <w:r w:rsidRPr="006F24C8">
        <w:t xml:space="preserve">This policy &amp; procedure is not intended to override any industrial instrument, contract, award or legislation. </w:t>
      </w:r>
    </w:p>
    <w:p w14:paraId="7D7C733F" w14:textId="77777777" w:rsidR="007650CE" w:rsidRPr="006F24C8" w:rsidRDefault="007650CE" w:rsidP="000B7704">
      <w:pPr>
        <w:pStyle w:val="ListBullet"/>
        <w:spacing w:before="0"/>
        <w:ind w:left="357" w:hanging="357"/>
      </w:pPr>
      <w:r w:rsidRPr="006F24C8">
        <w:t>Biosecurity Act 2015 (Commonwealth)</w:t>
      </w:r>
    </w:p>
    <w:p w14:paraId="2A5E3073" w14:textId="77777777" w:rsidR="007650CE" w:rsidRPr="006F24C8" w:rsidRDefault="007650CE" w:rsidP="00D5582F">
      <w:pPr>
        <w:pStyle w:val="ListBullet"/>
      </w:pPr>
      <w:r w:rsidRPr="006F24C8">
        <w:t>Fair Work Act 2009 (Commonwealth)</w:t>
      </w:r>
    </w:p>
    <w:p w14:paraId="7A75694A" w14:textId="71AA906E" w:rsidR="007650CE" w:rsidRDefault="007650CE" w:rsidP="00D5582F">
      <w:pPr>
        <w:pStyle w:val="ListBullet"/>
      </w:pPr>
      <w:r w:rsidRPr="006F24C8">
        <w:t>Fair Work Regulations 2009 (Commonwealth)</w:t>
      </w:r>
    </w:p>
    <w:p w14:paraId="7E167093" w14:textId="38A97736" w:rsidR="007650CE" w:rsidRDefault="007650CE" w:rsidP="00D5582F">
      <w:r w:rsidRPr="00EF31D1">
        <w:t xml:space="preserve">In carrying out the procedures listed, Blind Citizens Australia will be guided by the information and directions provided by </w:t>
      </w:r>
      <w:r w:rsidR="00802654" w:rsidRPr="00EF31D1">
        <w:t>Australian</w:t>
      </w:r>
      <w:r w:rsidRPr="00EF31D1">
        <w:t xml:space="preserve"> health authorities</w:t>
      </w:r>
      <w:r w:rsidR="00802654" w:rsidRPr="00EF31D1">
        <w:t>,</w:t>
      </w:r>
      <w:r w:rsidRPr="00EF31D1">
        <w:t xml:space="preserve"> the World Health Organisation, and its occupational health and safety obligations.</w:t>
      </w:r>
    </w:p>
    <w:p w14:paraId="3DE9A76C" w14:textId="21318B7E" w:rsidR="007650CE" w:rsidRPr="00D5582F" w:rsidRDefault="007650CE" w:rsidP="00D5582F">
      <w:pPr>
        <w:pStyle w:val="Heading3"/>
        <w:spacing w:before="240"/>
      </w:pPr>
      <w:bookmarkStart w:id="9" w:name="_Toc34997113"/>
      <w:r w:rsidRPr="00D5582F">
        <w:t>Related Documents</w:t>
      </w:r>
      <w:bookmarkEnd w:id="9"/>
    </w:p>
    <w:p w14:paraId="47C8A2FD" w14:textId="77777777" w:rsidR="007650CE" w:rsidRPr="007650CE" w:rsidRDefault="007650CE" w:rsidP="00D5582F">
      <w:r w:rsidRPr="007650CE">
        <w:t>Australian Health Management Plan for Pandemic Influenza (</w:t>
      </w:r>
      <w:hyperlink r:id="rId13" w:history="1">
        <w:r w:rsidRPr="007650CE">
          <w:rPr>
            <w:color w:val="0563C1"/>
            <w:u w:val="single"/>
          </w:rPr>
          <w:t>AHMPPI</w:t>
        </w:r>
      </w:hyperlink>
      <w:r w:rsidRPr="007650CE">
        <w:t>)</w:t>
      </w:r>
    </w:p>
    <w:p w14:paraId="7721AC0F" w14:textId="77777777" w:rsidR="007650CE" w:rsidRPr="007650CE" w:rsidRDefault="0074009C" w:rsidP="006677CB">
      <w:pPr>
        <w:spacing w:before="0" w:after="0" w:line="276" w:lineRule="auto"/>
        <w:rPr>
          <w:rFonts w:ascii="Tahoma" w:hAnsi="Tahoma" w:cs="Tahoma"/>
          <w:color w:val="222222"/>
        </w:rPr>
      </w:pPr>
      <w:hyperlink r:id="rId14" w:tooltip="External website link: ACT - Australian Capital Territory" w:history="1">
        <w:r w:rsidR="007650CE" w:rsidRPr="007650CE">
          <w:rPr>
            <w:rFonts w:ascii="Tahoma" w:hAnsi="Tahoma" w:cs="Tahoma"/>
            <w:color w:val="1157AD"/>
            <w:u w:val="single"/>
          </w:rPr>
          <w:t>ACT - Australian Capital Territory</w:t>
        </w:r>
      </w:hyperlink>
    </w:p>
    <w:p w14:paraId="61D2A7B8" w14:textId="77777777" w:rsidR="007650CE" w:rsidRPr="007650CE" w:rsidRDefault="0074009C" w:rsidP="006677CB">
      <w:pPr>
        <w:spacing w:before="0" w:after="0" w:line="276" w:lineRule="auto"/>
        <w:rPr>
          <w:rFonts w:ascii="Tahoma" w:hAnsi="Tahoma" w:cs="Tahoma"/>
          <w:color w:val="222222"/>
        </w:rPr>
      </w:pPr>
      <w:hyperlink r:id="rId15" w:tooltip="External website link: NSW - New South Wales" w:history="1">
        <w:r w:rsidR="007650CE" w:rsidRPr="007650CE">
          <w:rPr>
            <w:rFonts w:ascii="Tahoma" w:hAnsi="Tahoma" w:cs="Tahoma"/>
            <w:color w:val="1157AD"/>
            <w:u w:val="single"/>
          </w:rPr>
          <w:t>NSW - New South Wales</w:t>
        </w:r>
      </w:hyperlink>
    </w:p>
    <w:p w14:paraId="697929D0" w14:textId="77777777" w:rsidR="007650CE" w:rsidRPr="007650CE" w:rsidRDefault="0074009C" w:rsidP="006677CB">
      <w:pPr>
        <w:spacing w:before="0" w:after="0" w:line="276" w:lineRule="auto"/>
        <w:rPr>
          <w:rFonts w:ascii="Tahoma" w:hAnsi="Tahoma" w:cs="Tahoma"/>
          <w:color w:val="222222"/>
        </w:rPr>
      </w:pPr>
      <w:hyperlink r:id="rId16" w:tooltip="External website link: NT - Northern Territory" w:history="1">
        <w:r w:rsidR="007650CE" w:rsidRPr="007650CE">
          <w:rPr>
            <w:rFonts w:ascii="Tahoma" w:hAnsi="Tahoma" w:cs="Tahoma"/>
            <w:color w:val="1157AD"/>
            <w:u w:val="single"/>
          </w:rPr>
          <w:t>NT - Northern Territory</w:t>
        </w:r>
      </w:hyperlink>
    </w:p>
    <w:p w14:paraId="684606F2" w14:textId="77777777" w:rsidR="007650CE" w:rsidRPr="007650CE" w:rsidRDefault="0074009C" w:rsidP="006677CB">
      <w:pPr>
        <w:spacing w:before="0" w:after="0" w:line="276" w:lineRule="auto"/>
        <w:rPr>
          <w:rFonts w:ascii="Tahoma" w:hAnsi="Tahoma" w:cs="Tahoma"/>
          <w:color w:val="222222"/>
        </w:rPr>
      </w:pPr>
      <w:hyperlink r:id="rId17" w:history="1">
        <w:r w:rsidR="007650CE" w:rsidRPr="007650CE">
          <w:rPr>
            <w:rFonts w:ascii="Tahoma" w:hAnsi="Tahoma" w:cs="Tahoma"/>
            <w:color w:val="1157AD"/>
            <w:u w:val="single"/>
          </w:rPr>
          <w:t>Qld - Queensland</w:t>
        </w:r>
      </w:hyperlink>
    </w:p>
    <w:p w14:paraId="618571D1" w14:textId="77777777" w:rsidR="007650CE" w:rsidRPr="007650CE" w:rsidRDefault="0074009C" w:rsidP="006677CB">
      <w:pPr>
        <w:spacing w:before="0" w:after="0" w:line="276" w:lineRule="auto"/>
        <w:rPr>
          <w:rFonts w:ascii="Tahoma" w:hAnsi="Tahoma"/>
          <w:color w:val="1157AD"/>
          <w:u w:val="single"/>
        </w:rPr>
      </w:pPr>
      <w:hyperlink r:id="rId18" w:tooltip="External website link: SA - South Australia" w:history="1">
        <w:r w:rsidR="007650CE" w:rsidRPr="007650CE">
          <w:rPr>
            <w:rFonts w:ascii="Tahoma" w:hAnsi="Tahoma" w:cs="Tahoma"/>
            <w:color w:val="1157AD"/>
            <w:u w:val="single"/>
          </w:rPr>
          <w:t>SA - South Australia</w:t>
        </w:r>
      </w:hyperlink>
    </w:p>
    <w:p w14:paraId="576C3B16" w14:textId="77777777" w:rsidR="007650CE" w:rsidRPr="007650CE" w:rsidRDefault="0074009C" w:rsidP="006677CB">
      <w:pPr>
        <w:spacing w:before="0" w:after="0" w:line="276" w:lineRule="auto"/>
        <w:rPr>
          <w:rFonts w:ascii="Tahoma" w:hAnsi="Tahoma" w:cs="Tahoma"/>
          <w:color w:val="1157AD"/>
          <w:u w:val="single"/>
        </w:rPr>
      </w:pPr>
      <w:hyperlink r:id="rId19" w:tooltip="External website link: Tas - Tasmania" w:history="1">
        <w:r w:rsidR="007650CE" w:rsidRPr="007650CE">
          <w:rPr>
            <w:rFonts w:ascii="Tahoma" w:hAnsi="Tahoma" w:cs="Tahoma"/>
            <w:color w:val="1157AD"/>
            <w:u w:val="single"/>
          </w:rPr>
          <w:t>Tas - Tasmania</w:t>
        </w:r>
      </w:hyperlink>
    </w:p>
    <w:p w14:paraId="6E23A4DD" w14:textId="77777777" w:rsidR="007650CE" w:rsidRPr="007650CE" w:rsidRDefault="0074009C" w:rsidP="006677CB">
      <w:pPr>
        <w:spacing w:before="0" w:after="0" w:line="276" w:lineRule="auto"/>
        <w:rPr>
          <w:rFonts w:ascii="Tahoma" w:hAnsi="Tahoma" w:cs="Tahoma"/>
          <w:color w:val="1157AD"/>
          <w:u w:val="single"/>
        </w:rPr>
      </w:pPr>
      <w:hyperlink r:id="rId20" w:tooltip="External website link: Vic - Victoria" w:history="1">
        <w:r w:rsidR="007650CE" w:rsidRPr="007650CE">
          <w:rPr>
            <w:rFonts w:ascii="Tahoma" w:hAnsi="Tahoma" w:cs="Tahoma"/>
            <w:color w:val="1157AD"/>
            <w:u w:val="single"/>
          </w:rPr>
          <w:t>Vic - Victoria</w:t>
        </w:r>
      </w:hyperlink>
    </w:p>
    <w:p w14:paraId="6878A55F" w14:textId="77777777" w:rsidR="007650CE" w:rsidRPr="007650CE" w:rsidRDefault="0074009C" w:rsidP="006677CB">
      <w:pPr>
        <w:spacing w:before="0" w:after="0" w:line="276" w:lineRule="auto"/>
        <w:rPr>
          <w:rFonts w:ascii="Tahoma" w:hAnsi="Tahoma" w:cs="Tahoma"/>
          <w:color w:val="222222"/>
          <w:u w:val="single"/>
        </w:rPr>
      </w:pPr>
      <w:hyperlink r:id="rId21" w:tooltip="External website link: WA - Western Australia" w:history="1">
        <w:r w:rsidR="007650CE" w:rsidRPr="007650CE">
          <w:rPr>
            <w:rFonts w:ascii="Tahoma" w:hAnsi="Tahoma" w:cs="Tahoma"/>
            <w:color w:val="1157AD"/>
            <w:u w:val="single"/>
          </w:rPr>
          <w:t>WA - Western Australia</w:t>
        </w:r>
      </w:hyperlink>
    </w:p>
    <w:p w14:paraId="327F9727" w14:textId="77777777" w:rsidR="007650CE" w:rsidRPr="007650CE" w:rsidRDefault="007650CE" w:rsidP="00D5582F">
      <w:r w:rsidRPr="00D5582F">
        <w:t>Trusted Information Sharing Network (TISN) for Critical Infrastructure Resilience:</w:t>
      </w:r>
      <w:r w:rsidRPr="007650CE">
        <w:t xml:space="preserve"> </w:t>
      </w:r>
      <w:hyperlink r:id="rId22" w:history="1">
        <w:r w:rsidRPr="007650CE">
          <w:rPr>
            <w:rFonts w:cs="Tahoma"/>
            <w:color w:val="0563C1"/>
            <w:u w:val="single"/>
          </w:rPr>
          <w:t>Template Pandemic Emergency Management Plan</w:t>
        </w:r>
      </w:hyperlink>
    </w:p>
    <w:p w14:paraId="5DBD129F" w14:textId="77777777" w:rsidR="00927292" w:rsidRPr="002B4AB0" w:rsidRDefault="00927292" w:rsidP="00D5582F">
      <w:pPr>
        <w:pStyle w:val="Heading2"/>
        <w:rPr>
          <w:sz w:val="24"/>
        </w:rPr>
      </w:pPr>
      <w:bookmarkStart w:id="10" w:name="_Toc34997114"/>
      <w:r w:rsidRPr="002B4AB0">
        <w:t>3.</w:t>
      </w:r>
      <w:r w:rsidRPr="002B4AB0">
        <w:tab/>
        <w:t>Statement of principles</w:t>
      </w:r>
      <w:bookmarkEnd w:id="10"/>
    </w:p>
    <w:p w14:paraId="05723147" w14:textId="15E15D91" w:rsidR="006677CB" w:rsidRDefault="006677CB" w:rsidP="00802654">
      <w:pPr>
        <w:spacing w:after="0"/>
        <w:rPr>
          <w:rFonts w:ascii="Calibri" w:eastAsiaTheme="minorHAnsi" w:hAnsi="Calibri"/>
          <w:sz w:val="22"/>
          <w:lang w:val="en-AU"/>
        </w:rPr>
      </w:pPr>
      <w:r>
        <w:t xml:space="preserve">Blind Citizens Australia will plan for and make advance preparations for the possibility that its operations will be affected by an epidemic or pandemic.  In this event, </w:t>
      </w:r>
      <w:r w:rsidR="006D244D">
        <w:t xml:space="preserve">it </w:t>
      </w:r>
      <w:r>
        <w:t>will, as far as possible:</w:t>
      </w:r>
    </w:p>
    <w:p w14:paraId="3ABFA0C1" w14:textId="77777777" w:rsidR="007650CE" w:rsidRPr="007650CE" w:rsidRDefault="007650CE" w:rsidP="00802654">
      <w:pPr>
        <w:pStyle w:val="Bullet1"/>
        <w:spacing w:before="0" w:after="0"/>
      </w:pPr>
      <w:r w:rsidRPr="007650CE">
        <w:t>Assist its members, staff, volunteers and others, as relevant, to minimise their exposure to the illness concerned.</w:t>
      </w:r>
    </w:p>
    <w:p w14:paraId="6486E979" w14:textId="77777777" w:rsidR="007650CE" w:rsidRPr="007650CE" w:rsidRDefault="007650CE" w:rsidP="00802654">
      <w:pPr>
        <w:pStyle w:val="Bullet1"/>
        <w:spacing w:before="0" w:after="0"/>
      </w:pPr>
      <w:r w:rsidRPr="007650CE">
        <w:t xml:space="preserve">Support employees, volunteers, contractors and members to take reasonable precautions to prevent infection or contagion. </w:t>
      </w:r>
    </w:p>
    <w:p w14:paraId="26B7AD3C" w14:textId="46898D8A" w:rsidR="007650CE" w:rsidRPr="007650CE" w:rsidRDefault="006D244D" w:rsidP="00802654">
      <w:pPr>
        <w:pStyle w:val="Bullet1"/>
        <w:spacing w:before="0" w:after="0"/>
      </w:pPr>
      <w:bookmarkStart w:id="11" w:name="_Hlk34903207"/>
      <w:r>
        <w:t>P</w:t>
      </w:r>
      <w:r w:rsidR="007650CE" w:rsidRPr="007650CE">
        <w:t xml:space="preserve">rovide reimbursement for the cost of any personal protective equipment (PPE) that </w:t>
      </w:r>
      <w:r w:rsidR="007650CE" w:rsidRPr="00EF31D1">
        <w:t xml:space="preserve">is required </w:t>
      </w:r>
      <w:r w:rsidR="00802654" w:rsidRPr="00EF31D1">
        <w:t xml:space="preserve">in </w:t>
      </w:r>
      <w:r w:rsidR="00EF31D1" w:rsidRPr="00EF31D1">
        <w:t xml:space="preserve">order to carry out </w:t>
      </w:r>
      <w:r w:rsidR="00802654" w:rsidRPr="00EF31D1">
        <w:t xml:space="preserve">BCA activities, </w:t>
      </w:r>
      <w:r w:rsidR="007650CE" w:rsidRPr="00EF31D1">
        <w:t>during an epidemic</w:t>
      </w:r>
      <w:r w:rsidR="007650CE" w:rsidRPr="007650CE">
        <w:t>/pandemic. This may include hand sanitiser, gloves and face masks. Contact must be made with BCA prior to purchase to arrange this.</w:t>
      </w:r>
    </w:p>
    <w:p w14:paraId="6F7DAE50" w14:textId="77777777" w:rsidR="007650CE" w:rsidRPr="007650CE" w:rsidRDefault="007650CE" w:rsidP="00802654">
      <w:pPr>
        <w:pStyle w:val="Bullet1"/>
        <w:spacing w:before="0" w:after="0"/>
      </w:pPr>
      <w:r w:rsidRPr="007650CE">
        <w:t>Maintain its services and operations throughout the period of concern.</w:t>
      </w:r>
    </w:p>
    <w:p w14:paraId="439512E5" w14:textId="77777777" w:rsidR="007650CE" w:rsidRPr="00372AFF" w:rsidRDefault="007650CE" w:rsidP="00802654">
      <w:pPr>
        <w:spacing w:after="0"/>
      </w:pPr>
      <w:r w:rsidRPr="00372AFF">
        <w:t>In the event of an infectious disease being declared an epidemic or pandemic, Blind Citizens Australia requires people covered by this Policy to take the following precautions:</w:t>
      </w:r>
    </w:p>
    <w:p w14:paraId="4902C152" w14:textId="77777777" w:rsidR="007650CE" w:rsidRPr="007650CE" w:rsidRDefault="007650CE" w:rsidP="00802654">
      <w:pPr>
        <w:pStyle w:val="Bullet1"/>
        <w:spacing w:before="0" w:after="0"/>
      </w:pPr>
      <w:r w:rsidRPr="007650CE">
        <w:t>Regularly and thoroughly clean your hands with an alcohol-based hand rub or wash them with soap and water.</w:t>
      </w:r>
    </w:p>
    <w:p w14:paraId="09BF305F" w14:textId="36FB7921" w:rsidR="007650CE" w:rsidRPr="007650CE" w:rsidRDefault="007650CE" w:rsidP="00802654">
      <w:pPr>
        <w:pStyle w:val="Bullet1"/>
        <w:spacing w:before="0" w:after="0"/>
      </w:pPr>
      <w:r w:rsidRPr="007650CE">
        <w:t>Maintain at least 1 metre (3 feet) distance between yourself and anyone who is coughing or sneezing. If you are asked to act as a sighted guide, consider your own health a</w:t>
      </w:r>
      <w:r w:rsidR="007936FD">
        <w:tab/>
      </w:r>
      <w:proofErr w:type="spellStart"/>
      <w:r w:rsidRPr="007650CE">
        <w:t>nd</w:t>
      </w:r>
      <w:proofErr w:type="spellEnd"/>
      <w:r w:rsidRPr="007650CE">
        <w:t xml:space="preserve"> the health of the person you will be guiding. You can choose not to act as a sighted guide if you or the person you will be guiding appear to be unwell.</w:t>
      </w:r>
    </w:p>
    <w:bookmarkEnd w:id="11"/>
    <w:p w14:paraId="06AF6E3A" w14:textId="77777777" w:rsidR="007650CE" w:rsidRPr="007650CE" w:rsidRDefault="007650CE" w:rsidP="00802654">
      <w:pPr>
        <w:pStyle w:val="Bullet1"/>
        <w:spacing w:before="0" w:after="0"/>
      </w:pPr>
      <w:r w:rsidRPr="007650CE">
        <w:t>Avoid touching your eyes, nose and mouth, or shaking hands with others.</w:t>
      </w:r>
    </w:p>
    <w:p w14:paraId="13246603" w14:textId="296D0F0E" w:rsidR="007650CE" w:rsidRPr="007650CE" w:rsidRDefault="007650CE" w:rsidP="00802654">
      <w:pPr>
        <w:pStyle w:val="Bullet1"/>
        <w:spacing w:before="0" w:after="0"/>
      </w:pPr>
      <w:r w:rsidRPr="007650CE">
        <w:t>Make sure you follow good hygiene and encourage others to do the same. This means covering your mouth and nose with your bent elbow or tissue when you cough or sneeze</w:t>
      </w:r>
      <w:r w:rsidR="006677CB">
        <w:t xml:space="preserve"> </w:t>
      </w:r>
      <w:r w:rsidRPr="007650CE">
        <w:t>and disposing of used tissues immediately.</w:t>
      </w:r>
    </w:p>
    <w:p w14:paraId="766A4ABE" w14:textId="77777777" w:rsidR="007650CE" w:rsidRPr="007650CE" w:rsidRDefault="007650CE" w:rsidP="00802654">
      <w:pPr>
        <w:pStyle w:val="Bullet1"/>
        <w:spacing w:before="0" w:after="0"/>
      </w:pPr>
      <w:r w:rsidRPr="007650CE">
        <w:t xml:space="preserve">Stay home if you feel unwell. </w:t>
      </w:r>
    </w:p>
    <w:p w14:paraId="66C24A11" w14:textId="77777777" w:rsidR="007650CE" w:rsidRPr="007650CE" w:rsidRDefault="007650CE" w:rsidP="00802654">
      <w:pPr>
        <w:pStyle w:val="Bullet1"/>
        <w:spacing w:before="0" w:after="0"/>
      </w:pPr>
      <w:r w:rsidRPr="007650CE">
        <w:t xml:space="preserve">Keep up to date on the latest hotspots (cities or local areas where the pandemic or epidemic is spreading widely). If possible, avoid traveling to places - especially if you are more at risk. </w:t>
      </w:r>
    </w:p>
    <w:p w14:paraId="46A04F82" w14:textId="77777777" w:rsidR="007650CE" w:rsidRPr="007650CE" w:rsidRDefault="007650CE" w:rsidP="00802654">
      <w:pPr>
        <w:pStyle w:val="Bullet1"/>
        <w:spacing w:before="0" w:after="0"/>
      </w:pPr>
      <w:r w:rsidRPr="007650CE">
        <w:t>If you are, or are likely to be, contagious, notify an appropriate person as soon as possible. It may be possible or necessary for you to self-isolate by staying at home until you recover.</w:t>
      </w:r>
    </w:p>
    <w:p w14:paraId="0F170632" w14:textId="730F2F0D" w:rsidR="007650CE" w:rsidRPr="00EF31D1" w:rsidRDefault="007650CE" w:rsidP="00802654">
      <w:pPr>
        <w:pStyle w:val="Bullet1"/>
        <w:spacing w:before="0" w:after="0"/>
      </w:pPr>
      <w:r w:rsidRPr="00EF31D1">
        <w:t>Seek medical advice promptly and follow the directions of health authorit</w:t>
      </w:r>
      <w:r w:rsidR="00802654" w:rsidRPr="00EF31D1">
        <w:t>ies in your area.</w:t>
      </w:r>
      <w:r w:rsidRPr="00EF31D1">
        <w:t xml:space="preserve"> </w:t>
      </w:r>
    </w:p>
    <w:p w14:paraId="523F7768" w14:textId="1B523777" w:rsidR="007650CE" w:rsidRDefault="007650CE" w:rsidP="00D5582F">
      <w:pPr>
        <w:pStyle w:val="Heading3"/>
      </w:pPr>
      <w:bookmarkStart w:id="12" w:name="_Toc34997115"/>
      <w:r w:rsidRPr="00372AFF">
        <w:lastRenderedPageBreak/>
        <w:t>Cancelling and Postponing Face to Face Event</w:t>
      </w:r>
      <w:bookmarkEnd w:id="12"/>
      <w:r w:rsidR="006D244D">
        <w:t>s</w:t>
      </w:r>
    </w:p>
    <w:p w14:paraId="67D4A12D" w14:textId="08C30484" w:rsidR="007650CE" w:rsidRPr="00372AFF" w:rsidRDefault="007650CE" w:rsidP="00AB3465">
      <w:r w:rsidRPr="00372AFF">
        <w:t xml:space="preserve">Blind Citizens Australia reserves the right to cancel or postpone any or all face to face events and meetings, including meetings of local branches. </w:t>
      </w:r>
      <w:r w:rsidR="00EF31D1">
        <w:t xml:space="preserve"> Where, based on public health advice B</w:t>
      </w:r>
      <w:r w:rsidR="004420CE">
        <w:t xml:space="preserve">lind </w:t>
      </w:r>
      <w:r w:rsidR="00EF31D1">
        <w:t>C</w:t>
      </w:r>
      <w:r w:rsidR="004420CE">
        <w:t xml:space="preserve">itizens </w:t>
      </w:r>
      <w:r w:rsidR="00EF31D1">
        <w:t>A</w:t>
      </w:r>
      <w:r w:rsidR="004420CE">
        <w:t>ustralia</w:t>
      </w:r>
      <w:r w:rsidR="00EF31D1">
        <w:t xml:space="preserve"> determines it necessary to cancel a </w:t>
      </w:r>
      <w:r w:rsidR="004420CE">
        <w:t>b</w:t>
      </w:r>
      <w:r w:rsidR="00EF31D1">
        <w:t xml:space="preserve">ranch or </w:t>
      </w:r>
      <w:r w:rsidR="004420CE">
        <w:t>s</w:t>
      </w:r>
      <w:r w:rsidR="00EF31D1">
        <w:t xml:space="preserve">tate </w:t>
      </w:r>
      <w:r w:rsidR="004420CE">
        <w:t>d</w:t>
      </w:r>
      <w:r w:rsidR="00EF31D1">
        <w:t xml:space="preserve">ivision activity </w:t>
      </w:r>
      <w:r w:rsidR="004029E2">
        <w:t xml:space="preserve">BCA will work with the activity organizers to address issues of cost.   </w:t>
      </w:r>
      <w:r w:rsidR="00EF31D1">
        <w:t xml:space="preserve">  </w:t>
      </w:r>
      <w:r w:rsidR="004029E2">
        <w:t xml:space="preserve"> </w:t>
      </w:r>
    </w:p>
    <w:p w14:paraId="633837BA" w14:textId="77777777" w:rsidR="007650CE" w:rsidRPr="00372AFF" w:rsidRDefault="007650CE" w:rsidP="00D5582F">
      <w:r w:rsidRPr="00372AFF">
        <w:t xml:space="preserve">If an event or meeting is cancelled, Blind Citizens Australia will make every effort to support the event organiser to contact attendees and advise them of the change. </w:t>
      </w:r>
    </w:p>
    <w:p w14:paraId="7EBEC87D" w14:textId="60045CBF" w:rsidR="007650CE" w:rsidRPr="00372AFF" w:rsidRDefault="007650CE" w:rsidP="00D5582F">
      <w:r w:rsidRPr="00372AFF">
        <w:t xml:space="preserve">Where practical, Blind Citizens Australia will endeavour to offer an alternative event online and via teleconference. Blind Citizens Australia members should make every effort to ensure they provide up-to-date contact information, (including a mobile </w:t>
      </w:r>
      <w:r w:rsidR="006D244D">
        <w:t xml:space="preserve">phone </w:t>
      </w:r>
      <w:r w:rsidRPr="00372AFF">
        <w:t xml:space="preserve">number and E-mail </w:t>
      </w:r>
      <w:r w:rsidR="006D244D">
        <w:t xml:space="preserve">address </w:t>
      </w:r>
      <w:r w:rsidRPr="00372AFF">
        <w:t xml:space="preserve">where possible) to facilitate communication regarding event cancelations. </w:t>
      </w:r>
    </w:p>
    <w:p w14:paraId="4254E858" w14:textId="2B06D09B" w:rsidR="00927292" w:rsidRPr="002B4AB0" w:rsidRDefault="000B0B73" w:rsidP="00D5582F">
      <w:pPr>
        <w:pStyle w:val="Heading2"/>
      </w:pPr>
      <w:bookmarkStart w:id="13" w:name="_Toc34997116"/>
      <w:r w:rsidRPr="002B4AB0">
        <w:t>4.</w:t>
      </w:r>
      <w:r w:rsidR="00AE7796">
        <w:tab/>
      </w:r>
      <w:r w:rsidR="00927292" w:rsidRPr="002B4AB0">
        <w:t>Other relevant policies</w:t>
      </w:r>
      <w:bookmarkEnd w:id="13"/>
      <w:r w:rsidR="00927292" w:rsidRPr="002B4AB0">
        <w:t xml:space="preserve"> </w:t>
      </w:r>
    </w:p>
    <w:p w14:paraId="4E6258B3" w14:textId="458182D5" w:rsidR="00927292" w:rsidRPr="002B4AB0" w:rsidRDefault="00D5582F" w:rsidP="00D5582F">
      <w:r>
        <w:t>None</w:t>
      </w:r>
      <w:r w:rsidR="00AB3465">
        <w:t xml:space="preserve">  </w:t>
      </w:r>
    </w:p>
    <w:p w14:paraId="41609549" w14:textId="41D4A7D6" w:rsidR="00927292" w:rsidRPr="002B4AB0" w:rsidRDefault="00087EC6" w:rsidP="00D5582F">
      <w:pPr>
        <w:pStyle w:val="Heading2"/>
      </w:pPr>
      <w:bookmarkStart w:id="14" w:name="_Toc34997117"/>
      <w:r>
        <w:t>5</w:t>
      </w:r>
      <w:r w:rsidR="00927292" w:rsidRPr="002B4AB0">
        <w:t>.</w:t>
      </w:r>
      <w:r w:rsidR="00927292" w:rsidRPr="002B4AB0">
        <w:tab/>
        <w:t>Glossary of key terms</w:t>
      </w:r>
      <w:bookmarkEnd w:id="14"/>
    </w:p>
    <w:p w14:paraId="62AF9741" w14:textId="054A7933" w:rsidR="00D5582F" w:rsidRDefault="00D5582F" w:rsidP="00D5582F">
      <w:pPr>
        <w:rPr>
          <w:rFonts w:cs="Arial"/>
          <w:color w:val="222222"/>
          <w:shd w:val="clear" w:color="auto" w:fill="FFFFFF"/>
        </w:rPr>
      </w:pPr>
      <w:r>
        <w:rPr>
          <w:rFonts w:cs="Segoe UI"/>
          <w:lang w:val="en"/>
        </w:rPr>
        <w:t xml:space="preserve">Epidemic means </w:t>
      </w:r>
      <w:r>
        <w:rPr>
          <w:rFonts w:cs="Arial"/>
          <w:color w:val="222222"/>
          <w:shd w:val="clear" w:color="auto" w:fill="FFFFFF"/>
        </w:rPr>
        <w:t>a widespread occurrence of an infectious disease in a community at a particular time.</w:t>
      </w:r>
    </w:p>
    <w:p w14:paraId="1518522D" w14:textId="43DEF53A" w:rsidR="00D5582F" w:rsidRDefault="00D5582F" w:rsidP="00D5582F">
      <w:pPr>
        <w:rPr>
          <w:rFonts w:cs="Arial"/>
          <w:color w:val="222222"/>
          <w:shd w:val="clear" w:color="auto" w:fill="FFFFFF"/>
        </w:rPr>
      </w:pPr>
      <w:r>
        <w:rPr>
          <w:rFonts w:cs="Arial"/>
          <w:color w:val="222222"/>
          <w:shd w:val="clear" w:color="auto" w:fill="FFFFFF"/>
        </w:rPr>
        <w:t>Pandemic (of a disease) means prevalent over a whole country or the world.</w:t>
      </w:r>
    </w:p>
    <w:p w14:paraId="6016FC13" w14:textId="3A081237" w:rsidR="00927292" w:rsidRPr="002B4AB0" w:rsidRDefault="00D5582F" w:rsidP="00D5582F">
      <w:r>
        <w:rPr>
          <w:rFonts w:cs="Segoe UI"/>
          <w:lang w:val="en"/>
        </w:rPr>
        <w:t>I</w:t>
      </w:r>
      <w:r w:rsidRPr="007650CE">
        <w:rPr>
          <w:rFonts w:cs="Segoe UI"/>
          <w:lang w:val="en"/>
        </w:rPr>
        <w:t>nfectious diseases</w:t>
      </w:r>
      <w:r>
        <w:rPr>
          <w:rFonts w:cs="Segoe UI"/>
          <w:lang w:val="en"/>
        </w:rPr>
        <w:t xml:space="preserve"> </w:t>
      </w:r>
      <w:proofErr w:type="gramStart"/>
      <w:r w:rsidRPr="007650CE">
        <w:rPr>
          <w:lang w:val="en"/>
        </w:rPr>
        <w:t>mean</w:t>
      </w:r>
      <w:r>
        <w:rPr>
          <w:lang w:val="en"/>
        </w:rPr>
        <w:t>s</w:t>
      </w:r>
      <w:proofErr w:type="gramEnd"/>
      <w:r w:rsidRPr="007650CE">
        <w:rPr>
          <w:lang w:val="en"/>
        </w:rPr>
        <w:t xml:space="preserve"> diseases caused by pathogenic microorganisms, such as bacteria, viruses, parasites or fungi; the diseases can be spread, directly or indirectly, from one person to another.</w:t>
      </w:r>
    </w:p>
    <w:sectPr w:rsidR="00927292" w:rsidRPr="002B4AB0">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513F9" w14:textId="77777777" w:rsidR="0074009C" w:rsidRDefault="0074009C" w:rsidP="00D5582F">
      <w:r>
        <w:separator/>
      </w:r>
    </w:p>
  </w:endnote>
  <w:endnote w:type="continuationSeparator" w:id="0">
    <w:p w14:paraId="2F006CAF" w14:textId="77777777" w:rsidR="0074009C" w:rsidRDefault="0074009C" w:rsidP="00D5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A6AB" w14:textId="1B287AAF" w:rsidR="006677CB" w:rsidRPr="006677CB" w:rsidRDefault="006677CB" w:rsidP="006677CB">
    <w:pPr>
      <w:tabs>
        <w:tab w:val="right" w:pos="9026"/>
      </w:tabs>
      <w:rPr>
        <w:sz w:val="20"/>
        <w:szCs w:val="20"/>
      </w:rPr>
    </w:pPr>
    <w:r w:rsidRPr="006677CB">
      <w:rPr>
        <w:sz w:val="20"/>
        <w:szCs w:val="20"/>
      </w:rPr>
      <w:t>Blind Citizens Australia ABN 90 006 985 226.  Gifts are Tax Deductible</w:t>
    </w:r>
    <w:r w:rsidRPr="006677CB">
      <w:rPr>
        <w:sz w:val="20"/>
        <w:szCs w:val="20"/>
      </w:rPr>
      <w:tab/>
      <w:t xml:space="preserve">Page </w:t>
    </w:r>
    <w:r w:rsidRPr="006677CB">
      <w:rPr>
        <w:sz w:val="20"/>
        <w:szCs w:val="20"/>
      </w:rPr>
      <w:fldChar w:fldCharType="begin"/>
    </w:r>
    <w:r w:rsidRPr="006677CB">
      <w:rPr>
        <w:sz w:val="20"/>
        <w:szCs w:val="20"/>
      </w:rPr>
      <w:instrText xml:space="preserve"> PAGE   \* MERGEFORMAT </w:instrText>
    </w:r>
    <w:r w:rsidRPr="006677CB">
      <w:rPr>
        <w:sz w:val="20"/>
        <w:szCs w:val="20"/>
      </w:rPr>
      <w:fldChar w:fldCharType="separate"/>
    </w:r>
    <w:r w:rsidRPr="006677CB">
      <w:rPr>
        <w:noProof/>
        <w:sz w:val="20"/>
        <w:szCs w:val="20"/>
      </w:rPr>
      <w:t>1</w:t>
    </w:r>
    <w:r w:rsidRPr="006677C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0FFA8" w14:textId="77777777" w:rsidR="0074009C" w:rsidRDefault="0074009C" w:rsidP="00D5582F">
      <w:r>
        <w:separator/>
      </w:r>
    </w:p>
  </w:footnote>
  <w:footnote w:type="continuationSeparator" w:id="0">
    <w:p w14:paraId="1BCCD58A" w14:textId="77777777" w:rsidR="0074009C" w:rsidRDefault="0074009C" w:rsidP="00D55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1086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A7551"/>
    <w:multiLevelType w:val="hybridMultilevel"/>
    <w:tmpl w:val="EE20F3BE"/>
    <w:lvl w:ilvl="0" w:tplc="3806B32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F0F84"/>
    <w:multiLevelType w:val="hybridMultilevel"/>
    <w:tmpl w:val="CAE40FC8"/>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547856"/>
    <w:multiLevelType w:val="hybridMultilevel"/>
    <w:tmpl w:val="A918B272"/>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7B320CA"/>
    <w:multiLevelType w:val="hybridMultilevel"/>
    <w:tmpl w:val="44341004"/>
    <w:lvl w:ilvl="0" w:tplc="3806B320">
      <w:numFmt w:val="bullet"/>
      <w:lvlText w:val="•"/>
      <w:lvlJc w:val="left"/>
      <w:pPr>
        <w:ind w:left="1440" w:hanging="72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F89238D"/>
    <w:multiLevelType w:val="hybridMultilevel"/>
    <w:tmpl w:val="02388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3E6BD4"/>
    <w:multiLevelType w:val="hybridMultilevel"/>
    <w:tmpl w:val="E6E0ADD8"/>
    <w:lvl w:ilvl="0" w:tplc="3806B32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A44C25"/>
    <w:multiLevelType w:val="hybridMultilevel"/>
    <w:tmpl w:val="BC3CDC58"/>
    <w:lvl w:ilvl="0" w:tplc="3806B32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572CF"/>
    <w:multiLevelType w:val="hybridMultilevel"/>
    <w:tmpl w:val="5CCC7E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F323040"/>
    <w:multiLevelType w:val="hybridMultilevel"/>
    <w:tmpl w:val="ABF8F666"/>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9DD612F"/>
    <w:multiLevelType w:val="hybridMultilevel"/>
    <w:tmpl w:val="41B41370"/>
    <w:lvl w:ilvl="0" w:tplc="3806B32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4C4732"/>
    <w:multiLevelType w:val="hybridMultilevel"/>
    <w:tmpl w:val="DD521D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232FF5"/>
    <w:multiLevelType w:val="hybridMultilevel"/>
    <w:tmpl w:val="FA38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D92131"/>
    <w:multiLevelType w:val="hybridMultilevel"/>
    <w:tmpl w:val="FDD0B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4E7DC1"/>
    <w:multiLevelType w:val="hybridMultilevel"/>
    <w:tmpl w:val="3BCC4CC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ED04FC"/>
    <w:multiLevelType w:val="hybridMultilevel"/>
    <w:tmpl w:val="B4407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1"/>
  </w:num>
  <w:num w:numId="4">
    <w:abstractNumId w:val="5"/>
  </w:num>
  <w:num w:numId="5">
    <w:abstractNumId w:val="10"/>
  </w:num>
  <w:num w:numId="6">
    <w:abstractNumId w:val="1"/>
  </w:num>
  <w:num w:numId="7">
    <w:abstractNumId w:val="6"/>
  </w:num>
  <w:num w:numId="8">
    <w:abstractNumId w:val="9"/>
  </w:num>
  <w:num w:numId="9">
    <w:abstractNumId w:val="8"/>
  </w:num>
  <w:num w:numId="10">
    <w:abstractNumId w:val="13"/>
  </w:num>
  <w:num w:numId="11">
    <w:abstractNumId w:val="15"/>
  </w:num>
  <w:num w:numId="12">
    <w:abstractNumId w:val="4"/>
  </w:num>
  <w:num w:numId="13">
    <w:abstractNumId w:val="7"/>
  </w:num>
  <w:num w:numId="14">
    <w:abstractNumId w:val="14"/>
  </w:num>
  <w:num w:numId="15">
    <w:abstractNumId w:val="2"/>
  </w:num>
  <w:num w:numId="16">
    <w:abstractNumId w:val="3"/>
  </w:num>
  <w:num w:numId="17">
    <w:abstractNumId w:val="12"/>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1C"/>
    <w:rsid w:val="000029F4"/>
    <w:rsid w:val="00034F60"/>
    <w:rsid w:val="00087EC6"/>
    <w:rsid w:val="000B0B73"/>
    <w:rsid w:val="000B7704"/>
    <w:rsid w:val="000D1693"/>
    <w:rsid w:val="001025F3"/>
    <w:rsid w:val="001549B0"/>
    <w:rsid w:val="00181E76"/>
    <w:rsid w:val="001F52C3"/>
    <w:rsid w:val="001F54E9"/>
    <w:rsid w:val="0027712B"/>
    <w:rsid w:val="002805F0"/>
    <w:rsid w:val="002B4AB0"/>
    <w:rsid w:val="002C4578"/>
    <w:rsid w:val="002E52C1"/>
    <w:rsid w:val="002E6545"/>
    <w:rsid w:val="003341E3"/>
    <w:rsid w:val="00353D02"/>
    <w:rsid w:val="003542AB"/>
    <w:rsid w:val="00361072"/>
    <w:rsid w:val="00363285"/>
    <w:rsid w:val="00372FD9"/>
    <w:rsid w:val="003A48D1"/>
    <w:rsid w:val="003E2177"/>
    <w:rsid w:val="003E3DFA"/>
    <w:rsid w:val="004029E2"/>
    <w:rsid w:val="00426B6E"/>
    <w:rsid w:val="004420CE"/>
    <w:rsid w:val="0045015D"/>
    <w:rsid w:val="004D1F68"/>
    <w:rsid w:val="00523952"/>
    <w:rsid w:val="005914D5"/>
    <w:rsid w:val="005A054B"/>
    <w:rsid w:val="005D25F9"/>
    <w:rsid w:val="005D4FF2"/>
    <w:rsid w:val="005E4657"/>
    <w:rsid w:val="005F2F4D"/>
    <w:rsid w:val="0064063E"/>
    <w:rsid w:val="006677CB"/>
    <w:rsid w:val="00670662"/>
    <w:rsid w:val="006C7E4C"/>
    <w:rsid w:val="006D244D"/>
    <w:rsid w:val="00720B3B"/>
    <w:rsid w:val="00734486"/>
    <w:rsid w:val="0074009C"/>
    <w:rsid w:val="00750B6A"/>
    <w:rsid w:val="0075616B"/>
    <w:rsid w:val="007650CE"/>
    <w:rsid w:val="00783CD1"/>
    <w:rsid w:val="007876C6"/>
    <w:rsid w:val="007936FD"/>
    <w:rsid w:val="007944DA"/>
    <w:rsid w:val="007952C9"/>
    <w:rsid w:val="00802654"/>
    <w:rsid w:val="008141A8"/>
    <w:rsid w:val="00816C7E"/>
    <w:rsid w:val="00824F38"/>
    <w:rsid w:val="00882F83"/>
    <w:rsid w:val="008B5444"/>
    <w:rsid w:val="008F6BD0"/>
    <w:rsid w:val="009103FB"/>
    <w:rsid w:val="00927292"/>
    <w:rsid w:val="00930A18"/>
    <w:rsid w:val="0093264E"/>
    <w:rsid w:val="00947C00"/>
    <w:rsid w:val="009920DB"/>
    <w:rsid w:val="00995A68"/>
    <w:rsid w:val="009B5628"/>
    <w:rsid w:val="009D13D5"/>
    <w:rsid w:val="009F0BBB"/>
    <w:rsid w:val="009F2511"/>
    <w:rsid w:val="00A07B2B"/>
    <w:rsid w:val="00A439CE"/>
    <w:rsid w:val="00AB3465"/>
    <w:rsid w:val="00AE081D"/>
    <w:rsid w:val="00AE291C"/>
    <w:rsid w:val="00AE7796"/>
    <w:rsid w:val="00AF0095"/>
    <w:rsid w:val="00B15FCA"/>
    <w:rsid w:val="00B3376A"/>
    <w:rsid w:val="00BA741C"/>
    <w:rsid w:val="00BB4F0F"/>
    <w:rsid w:val="00BC4D8A"/>
    <w:rsid w:val="00BD4866"/>
    <w:rsid w:val="00BF788E"/>
    <w:rsid w:val="00C4281F"/>
    <w:rsid w:val="00C43FAD"/>
    <w:rsid w:val="00CA3A1A"/>
    <w:rsid w:val="00CC557A"/>
    <w:rsid w:val="00D25294"/>
    <w:rsid w:val="00D35558"/>
    <w:rsid w:val="00D430F6"/>
    <w:rsid w:val="00D55060"/>
    <w:rsid w:val="00D5582F"/>
    <w:rsid w:val="00D95F9A"/>
    <w:rsid w:val="00DB5263"/>
    <w:rsid w:val="00DE5E68"/>
    <w:rsid w:val="00DF2668"/>
    <w:rsid w:val="00DF6153"/>
    <w:rsid w:val="00E64A07"/>
    <w:rsid w:val="00EB1A6D"/>
    <w:rsid w:val="00EC15BE"/>
    <w:rsid w:val="00EC700E"/>
    <w:rsid w:val="00ED5C7A"/>
    <w:rsid w:val="00EF31D1"/>
    <w:rsid w:val="00F11871"/>
    <w:rsid w:val="00F407FC"/>
    <w:rsid w:val="00F540BE"/>
    <w:rsid w:val="00F64C11"/>
    <w:rsid w:val="00FC5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BC94"/>
  <w15:chartTrackingRefBased/>
  <w15:docId w15:val="{7802269F-9303-4FDB-9C19-33125019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2F"/>
    <w:pPr>
      <w:spacing w:before="240" w:after="240" w:line="240" w:lineRule="auto"/>
    </w:pPr>
    <w:rPr>
      <w:rFonts w:ascii="Arial" w:eastAsia="Calibri" w:hAnsi="Arial" w:cs="Times New Roman"/>
      <w:sz w:val="24"/>
      <w:lang w:val="en-US"/>
    </w:rPr>
  </w:style>
  <w:style w:type="paragraph" w:styleId="Heading1">
    <w:name w:val="heading 1"/>
    <w:basedOn w:val="Normal"/>
    <w:link w:val="Heading1Char"/>
    <w:qFormat/>
    <w:rsid w:val="00CC557A"/>
    <w:pPr>
      <w:spacing w:after="0"/>
      <w:jc w:val="center"/>
      <w:outlineLvl w:val="0"/>
    </w:pPr>
    <w:rPr>
      <w:rFonts w:eastAsia="Times New Roman"/>
      <w:b/>
      <w:bCs/>
      <w:kern w:val="36"/>
      <w:sz w:val="40"/>
      <w:szCs w:val="48"/>
      <w:lang w:eastAsia="en-AU"/>
    </w:rPr>
  </w:style>
  <w:style w:type="paragraph" w:styleId="Heading2">
    <w:name w:val="heading 2"/>
    <w:basedOn w:val="Normal"/>
    <w:next w:val="Normal"/>
    <w:link w:val="Heading2Char"/>
    <w:uiPriority w:val="9"/>
    <w:unhideWhenUsed/>
    <w:qFormat/>
    <w:rsid w:val="00D5582F"/>
    <w:pPr>
      <w:keepNext/>
      <w:keepLines/>
      <w:outlineLvl w:val="1"/>
    </w:pPr>
    <w:rPr>
      <w:rFonts w:cs="Arial"/>
      <w:b/>
      <w:bCs/>
      <w:color w:val="2F5496" w:themeColor="accent1" w:themeShade="BF"/>
      <w:sz w:val="28"/>
      <w:szCs w:val="28"/>
    </w:rPr>
  </w:style>
  <w:style w:type="paragraph" w:styleId="Heading3">
    <w:name w:val="heading 3"/>
    <w:basedOn w:val="Normal"/>
    <w:next w:val="Normal"/>
    <w:link w:val="Heading3Char"/>
    <w:uiPriority w:val="9"/>
    <w:unhideWhenUsed/>
    <w:qFormat/>
    <w:rsid w:val="00D5582F"/>
    <w:pPr>
      <w:keepNext/>
      <w:keepLines/>
      <w:spacing w:before="40"/>
      <w:outlineLvl w:val="2"/>
    </w:pPr>
    <w:rPr>
      <w:rFonts w:eastAsiaTheme="majorEastAsia" w:cs="Arial"/>
      <w:b/>
      <w:bCs/>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57A"/>
    <w:rPr>
      <w:rFonts w:ascii="Arial" w:eastAsia="Times New Roman" w:hAnsi="Arial" w:cs="Times New Roman"/>
      <w:b/>
      <w:bCs/>
      <w:kern w:val="36"/>
      <w:sz w:val="40"/>
      <w:szCs w:val="48"/>
      <w:lang w:eastAsia="en-AU"/>
    </w:rPr>
  </w:style>
  <w:style w:type="paragraph" w:styleId="ListBullet">
    <w:name w:val="List Bullet"/>
    <w:basedOn w:val="Normal"/>
    <w:link w:val="ListBulletChar"/>
    <w:uiPriority w:val="99"/>
    <w:unhideWhenUsed/>
    <w:rsid w:val="00ED5C7A"/>
    <w:pPr>
      <w:numPr>
        <w:numId w:val="1"/>
      </w:numPr>
      <w:contextualSpacing/>
    </w:pPr>
  </w:style>
  <w:style w:type="character" w:customStyle="1" w:styleId="NoSpacingChar">
    <w:name w:val="No Spacing Char"/>
    <w:link w:val="NoSpacing"/>
    <w:uiPriority w:val="1"/>
    <w:locked/>
    <w:rsid w:val="005A054B"/>
    <w:rPr>
      <w:rFonts w:ascii="Arial" w:eastAsia="SimSun" w:hAnsi="Arial" w:cs="Mangal"/>
      <w:sz w:val="32"/>
      <w:lang w:val="en-US"/>
    </w:rPr>
  </w:style>
  <w:style w:type="paragraph" w:styleId="NoSpacing">
    <w:name w:val="No Spacing"/>
    <w:link w:val="NoSpacingChar"/>
    <w:uiPriority w:val="1"/>
    <w:qFormat/>
    <w:rsid w:val="005A054B"/>
    <w:pPr>
      <w:spacing w:after="0" w:line="240" w:lineRule="auto"/>
    </w:pPr>
    <w:rPr>
      <w:rFonts w:ascii="Arial" w:eastAsia="SimSun" w:hAnsi="Arial" w:cs="Mangal"/>
      <w:sz w:val="32"/>
      <w:lang w:val="en-US"/>
    </w:rPr>
  </w:style>
  <w:style w:type="paragraph" w:styleId="TOCHeading">
    <w:name w:val="TOC Heading"/>
    <w:basedOn w:val="Heading1"/>
    <w:next w:val="Normal"/>
    <w:uiPriority w:val="39"/>
    <w:unhideWhenUsed/>
    <w:qFormat/>
    <w:rsid w:val="009B5628"/>
    <w:pPr>
      <w:keepNext/>
      <w:keepLines/>
      <w:spacing w:line="259" w:lineRule="auto"/>
      <w:jc w:val="left"/>
      <w:outlineLvl w:val="9"/>
    </w:pPr>
    <w:rPr>
      <w:rFonts w:asciiTheme="majorHAnsi" w:eastAsiaTheme="majorEastAsia" w:hAnsiTheme="majorHAnsi" w:cstheme="majorBidi"/>
      <w:b w:val="0"/>
      <w:bCs w:val="0"/>
      <w:color w:val="2F5496" w:themeColor="accent1" w:themeShade="BF"/>
      <w:kern w:val="0"/>
      <w:sz w:val="32"/>
      <w:szCs w:val="32"/>
      <w:lang w:eastAsia="en-US"/>
    </w:rPr>
  </w:style>
  <w:style w:type="paragraph" w:styleId="TOC1">
    <w:name w:val="toc 1"/>
    <w:basedOn w:val="Normal"/>
    <w:next w:val="Normal"/>
    <w:autoRedefine/>
    <w:uiPriority w:val="39"/>
    <w:unhideWhenUsed/>
    <w:rsid w:val="009B5628"/>
    <w:pPr>
      <w:spacing w:after="100"/>
    </w:pPr>
  </w:style>
  <w:style w:type="character" w:styleId="Hyperlink">
    <w:name w:val="Hyperlink"/>
    <w:basedOn w:val="DefaultParagraphFont"/>
    <w:uiPriority w:val="99"/>
    <w:unhideWhenUsed/>
    <w:rsid w:val="009B5628"/>
    <w:rPr>
      <w:color w:val="0563C1" w:themeColor="hyperlink"/>
      <w:u w:val="single"/>
    </w:rPr>
  </w:style>
  <w:style w:type="paragraph" w:styleId="Header">
    <w:name w:val="header"/>
    <w:basedOn w:val="Normal"/>
    <w:link w:val="HeaderChar"/>
    <w:uiPriority w:val="99"/>
    <w:unhideWhenUsed/>
    <w:rsid w:val="002B4AB0"/>
    <w:pPr>
      <w:tabs>
        <w:tab w:val="center" w:pos="4513"/>
        <w:tab w:val="right" w:pos="9026"/>
      </w:tabs>
      <w:spacing w:after="0"/>
    </w:pPr>
  </w:style>
  <w:style w:type="character" w:customStyle="1" w:styleId="HeaderChar">
    <w:name w:val="Header Char"/>
    <w:basedOn w:val="DefaultParagraphFont"/>
    <w:link w:val="Header"/>
    <w:uiPriority w:val="99"/>
    <w:rsid w:val="002B4AB0"/>
  </w:style>
  <w:style w:type="paragraph" w:styleId="Footer">
    <w:name w:val="footer"/>
    <w:basedOn w:val="Normal"/>
    <w:link w:val="FooterChar"/>
    <w:uiPriority w:val="99"/>
    <w:unhideWhenUsed/>
    <w:rsid w:val="002B4AB0"/>
    <w:pPr>
      <w:tabs>
        <w:tab w:val="center" w:pos="4513"/>
        <w:tab w:val="right" w:pos="9026"/>
      </w:tabs>
      <w:spacing w:after="0"/>
    </w:pPr>
  </w:style>
  <w:style w:type="character" w:customStyle="1" w:styleId="FooterChar">
    <w:name w:val="Footer Char"/>
    <w:basedOn w:val="DefaultParagraphFont"/>
    <w:link w:val="Footer"/>
    <w:uiPriority w:val="99"/>
    <w:rsid w:val="002B4AB0"/>
  </w:style>
  <w:style w:type="paragraph" w:styleId="ListParagraph">
    <w:name w:val="List Paragraph"/>
    <w:basedOn w:val="Normal"/>
    <w:uiPriority w:val="34"/>
    <w:qFormat/>
    <w:rsid w:val="005914D5"/>
    <w:pPr>
      <w:ind w:left="720"/>
      <w:contextualSpacing/>
    </w:pPr>
  </w:style>
  <w:style w:type="character" w:customStyle="1" w:styleId="Heading2Char">
    <w:name w:val="Heading 2 Char"/>
    <w:basedOn w:val="DefaultParagraphFont"/>
    <w:link w:val="Heading2"/>
    <w:uiPriority w:val="9"/>
    <w:rsid w:val="00D5582F"/>
    <w:rPr>
      <w:rFonts w:ascii="Arial" w:eastAsia="Calibri" w:hAnsi="Arial" w:cs="Arial"/>
      <w:b/>
      <w:bCs/>
      <w:color w:val="2F5496" w:themeColor="accent1" w:themeShade="BF"/>
      <w:sz w:val="28"/>
      <w:szCs w:val="28"/>
      <w:lang w:val="en-US"/>
    </w:rPr>
  </w:style>
  <w:style w:type="paragraph" w:styleId="TOC2">
    <w:name w:val="toc 2"/>
    <w:basedOn w:val="Normal"/>
    <w:next w:val="Normal"/>
    <w:autoRedefine/>
    <w:uiPriority w:val="39"/>
    <w:unhideWhenUsed/>
    <w:rsid w:val="005E4657"/>
    <w:pPr>
      <w:spacing w:after="100"/>
      <w:ind w:left="220"/>
    </w:pPr>
  </w:style>
  <w:style w:type="paragraph" w:customStyle="1" w:styleId="NormalStandardPrint">
    <w:name w:val="Normal Standard Print"/>
    <w:basedOn w:val="Normal"/>
    <w:qFormat/>
    <w:rsid w:val="00D5582F"/>
  </w:style>
  <w:style w:type="character" w:customStyle="1" w:styleId="Heading3Char">
    <w:name w:val="Heading 3 Char"/>
    <w:basedOn w:val="DefaultParagraphFont"/>
    <w:link w:val="Heading3"/>
    <w:uiPriority w:val="9"/>
    <w:rsid w:val="00D5582F"/>
    <w:rPr>
      <w:rFonts w:ascii="Arial" w:eastAsiaTheme="majorEastAsia" w:hAnsi="Arial" w:cs="Arial"/>
      <w:b/>
      <w:bCs/>
      <w:color w:val="1F3763" w:themeColor="accent1" w:themeShade="7F"/>
      <w:sz w:val="24"/>
      <w:szCs w:val="24"/>
      <w:lang w:val="en-US"/>
    </w:rPr>
  </w:style>
  <w:style w:type="paragraph" w:customStyle="1" w:styleId="Bullet1">
    <w:name w:val="Bullet 1"/>
    <w:basedOn w:val="ListBullet"/>
    <w:link w:val="Bullet1Char"/>
    <w:qFormat/>
    <w:rsid w:val="00D5582F"/>
    <w:pPr>
      <w:spacing w:before="120" w:after="120"/>
      <w:ind w:left="357" w:hanging="357"/>
      <w:contextualSpacing w:val="0"/>
    </w:pPr>
  </w:style>
  <w:style w:type="paragraph" w:styleId="TOC3">
    <w:name w:val="toc 3"/>
    <w:basedOn w:val="Normal"/>
    <w:next w:val="Normal"/>
    <w:autoRedefine/>
    <w:uiPriority w:val="39"/>
    <w:unhideWhenUsed/>
    <w:rsid w:val="00087EC6"/>
    <w:pPr>
      <w:spacing w:after="100"/>
      <w:ind w:left="480"/>
    </w:pPr>
  </w:style>
  <w:style w:type="character" w:customStyle="1" w:styleId="ListBulletChar">
    <w:name w:val="List Bullet Char"/>
    <w:basedOn w:val="DefaultParagraphFont"/>
    <w:link w:val="ListBullet"/>
    <w:uiPriority w:val="99"/>
    <w:rsid w:val="00D5582F"/>
    <w:rPr>
      <w:rFonts w:ascii="Arial" w:eastAsia="Calibri" w:hAnsi="Arial" w:cs="Times New Roman"/>
      <w:sz w:val="24"/>
      <w:lang w:val="en-US"/>
    </w:rPr>
  </w:style>
  <w:style w:type="character" w:customStyle="1" w:styleId="Bullet1Char">
    <w:name w:val="Bullet 1 Char"/>
    <w:basedOn w:val="ListBulletChar"/>
    <w:link w:val="Bullet1"/>
    <w:rsid w:val="00D5582F"/>
    <w:rPr>
      <w:rFonts w:ascii="Arial" w:eastAsia="Calibri" w:hAnsi="Arial"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2333">
      <w:bodyDiv w:val="1"/>
      <w:marLeft w:val="0"/>
      <w:marRight w:val="0"/>
      <w:marTop w:val="0"/>
      <w:marBottom w:val="0"/>
      <w:divBdr>
        <w:top w:val="none" w:sz="0" w:space="0" w:color="auto"/>
        <w:left w:val="none" w:sz="0" w:space="0" w:color="auto"/>
        <w:bottom w:val="none" w:sz="0" w:space="0" w:color="auto"/>
        <w:right w:val="none" w:sz="0" w:space="0" w:color="auto"/>
      </w:divBdr>
    </w:div>
    <w:div w:id="503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internet/main/publishing.nsf/Content/ohp-ahmppi.htm" TargetMode="External"/><Relationship Id="rId18" Type="http://schemas.openxmlformats.org/officeDocument/2006/relationships/hyperlink" Target="https://www.sahealth.sa.gov.au/wps/wcm/connect/public%20content/sa%20health%20internet/protecting%20public%20health/emergency%20management/pandemic%20influenza%20arrangement" TargetMode="External"/><Relationship Id="rId3" Type="http://schemas.openxmlformats.org/officeDocument/2006/relationships/customXml" Target="../customXml/item3.xml"/><Relationship Id="rId21" Type="http://schemas.openxmlformats.org/officeDocument/2006/relationships/hyperlink" Target="https://ww2.health.wa.gov.au/Articles/A_E/Emergency-management-in-WA" TargetMode="External"/><Relationship Id="rId7" Type="http://schemas.openxmlformats.org/officeDocument/2006/relationships/settings" Target="settings.xml"/><Relationship Id="rId12" Type="http://schemas.openxmlformats.org/officeDocument/2006/relationships/hyperlink" Target="http://www.bca.org.au" TargetMode="External"/><Relationship Id="rId17" Type="http://schemas.openxmlformats.org/officeDocument/2006/relationships/hyperlink" Target="https://www.health.qld.gov.au/clinical-practice/guidelines-procedures/diseases-infection/diseases/influenza/pandemi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alth.nt.gov.au/health-governance/department-of-health/health-disaster-management/pandemics" TargetMode="External"/><Relationship Id="rId20" Type="http://schemas.openxmlformats.org/officeDocument/2006/relationships/hyperlink" Target="https://www2.health.vic.gov.au/emergencies/emergency-type/infectious-diseases/pandemic-influen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ealth.nsw.gov.au/pandemic/Pages/default.asp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lu.tas.gov.au/about_influenza/tasmanian_health_action_plan_for_pandemic_influen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act.gov.au/about-our-health-system/population-health/winter-wellbeing-and-flu" TargetMode="External"/><Relationship Id="rId22" Type="http://schemas.openxmlformats.org/officeDocument/2006/relationships/hyperlink" Target="https://www.tisn.gov.au/documents/template+for+pandemic+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680A-C8B6-466E-80DA-5CF4DA660E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8750A7-AF1E-4B3B-8325-6EFC3D7D3CBA}">
  <ds:schemaRefs>
    <ds:schemaRef ds:uri="http://schemas.microsoft.com/sharepoint/v3/contenttype/forms"/>
  </ds:schemaRefs>
</ds:datastoreItem>
</file>

<file path=customXml/itemProps3.xml><?xml version="1.0" encoding="utf-8"?>
<ds:datastoreItem xmlns:ds="http://schemas.openxmlformats.org/officeDocument/2006/customXml" ds:itemID="{78199A04-D8A2-4500-9C7C-C456327BE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96F6B-368A-42FC-AD92-E468251C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Taylor</dc:creator>
  <cp:keywords/>
  <dc:description/>
  <cp:lastModifiedBy>Anna Briggs</cp:lastModifiedBy>
  <cp:revision>3</cp:revision>
  <dcterms:created xsi:type="dcterms:W3CDTF">2020-03-18T02:57:00Z</dcterms:created>
  <dcterms:modified xsi:type="dcterms:W3CDTF">2020-03-18T02:57:00Z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