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7A279" w14:textId="77777777" w:rsidR="000B6BC6" w:rsidRDefault="00A92C4D">
      <w:pPr>
        <w:tabs>
          <w:tab w:val="left" w:pos="7513"/>
        </w:tabs>
        <w:spacing w:line="276" w:lineRule="auto"/>
        <w:jc w:val="right"/>
        <w:rPr>
          <w:rFonts w:hAnsi="Times New Roman"/>
          <w:sz w:val="24"/>
          <w:szCs w:val="24"/>
        </w:rPr>
      </w:pPr>
      <w:r>
        <w:rPr>
          <w:noProof/>
          <w:sz w:val="20"/>
        </w:rPr>
        <w:drawing>
          <wp:anchor distT="0" distB="0" distL="114300" distR="114300" simplePos="0" relativeHeight="251624959" behindDoc="1" locked="0" layoutInCell="1" allowOverlap="1" wp14:anchorId="39DC0DAD" wp14:editId="4A057A24">
            <wp:simplePos x="0" y="0"/>
            <wp:positionH relativeFrom="margin">
              <wp:posOffset>108589</wp:posOffset>
            </wp:positionH>
            <wp:positionV relativeFrom="paragraph">
              <wp:posOffset>-5</wp:posOffset>
            </wp:positionV>
            <wp:extent cx="1258570" cy="1042670"/>
            <wp:effectExtent l="0" t="0" r="0" b="6350"/>
            <wp:wrapTight wrapText="bothSides">
              <wp:wrapPolygon edited="0">
                <wp:start x="0" y="0"/>
                <wp:lineTo x="0" y="21337"/>
                <wp:lineTo x="21273" y="21337"/>
                <wp:lineTo x="21273" y="0"/>
                <wp:lineTo x="0" y="0"/>
              </wp:wrapPolygon>
            </wp:wrapTight>
            <wp:docPr id="9"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polarisTemp/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59205" cy="1043305"/>
                    </a:xfrm>
                    <a:prstGeom prst="rect">
                      <a:avLst/>
                    </a:prstGeom>
                    <a:noFill/>
                    <a:ln cap="flat">
                      <a:noFill/>
                    </a:ln>
                  </pic:spPr>
                </pic:pic>
              </a:graphicData>
            </a:graphic>
          </wp:anchor>
        </w:drawing>
      </w:r>
      <w:r>
        <w:rPr>
          <w:rFonts w:hAnsi="Times New Roman"/>
          <w:sz w:val="24"/>
          <w:szCs w:val="24"/>
        </w:rPr>
        <w:t>Level 3 Ross House</w:t>
      </w:r>
    </w:p>
    <w:p w14:paraId="0130CDDC" w14:textId="77777777" w:rsidR="000B6BC6" w:rsidRDefault="00A92C4D">
      <w:pPr>
        <w:tabs>
          <w:tab w:val="left" w:pos="7513"/>
        </w:tabs>
        <w:spacing w:line="276" w:lineRule="auto"/>
        <w:jc w:val="right"/>
        <w:rPr>
          <w:rFonts w:hAnsi="Times New Roman"/>
          <w:sz w:val="24"/>
          <w:szCs w:val="24"/>
        </w:rPr>
      </w:pPr>
      <w:r>
        <w:rPr>
          <w:rFonts w:hAnsi="Times New Roman"/>
          <w:sz w:val="24"/>
          <w:szCs w:val="24"/>
        </w:rPr>
        <w:t>247-251 Flinders Lane</w:t>
      </w:r>
    </w:p>
    <w:p w14:paraId="4856127D" w14:textId="77777777" w:rsidR="000B6BC6" w:rsidRDefault="00A92C4D">
      <w:pPr>
        <w:tabs>
          <w:tab w:val="left" w:pos="7513"/>
        </w:tabs>
        <w:spacing w:line="276" w:lineRule="auto"/>
        <w:jc w:val="right"/>
        <w:rPr>
          <w:rFonts w:hAnsi="Times New Roman"/>
          <w:sz w:val="24"/>
          <w:szCs w:val="24"/>
        </w:rPr>
      </w:pPr>
      <w:r>
        <w:rPr>
          <w:rFonts w:hAnsi="Times New Roman"/>
          <w:sz w:val="24"/>
          <w:szCs w:val="24"/>
        </w:rPr>
        <w:t>Melbourne Victoria 3000</w:t>
      </w:r>
    </w:p>
    <w:p w14:paraId="29102DA3" w14:textId="77777777" w:rsidR="000B6BC6" w:rsidRDefault="00A92C4D">
      <w:pPr>
        <w:tabs>
          <w:tab w:val="left" w:pos="7513"/>
        </w:tabs>
        <w:spacing w:line="276" w:lineRule="auto"/>
        <w:jc w:val="right"/>
        <w:rPr>
          <w:rFonts w:hAnsi="Times New Roman"/>
          <w:sz w:val="24"/>
          <w:szCs w:val="24"/>
        </w:rPr>
      </w:pPr>
      <w:r>
        <w:rPr>
          <w:rFonts w:hAnsi="Times New Roman"/>
          <w:sz w:val="24"/>
          <w:szCs w:val="24"/>
        </w:rPr>
        <w:t>Telephone: 03 9654 1400</w:t>
      </w:r>
    </w:p>
    <w:p w14:paraId="6CB39E8E" w14:textId="77777777" w:rsidR="000B6BC6" w:rsidRDefault="00A92C4D">
      <w:pPr>
        <w:tabs>
          <w:tab w:val="left" w:pos="7513"/>
        </w:tabs>
        <w:spacing w:line="276" w:lineRule="auto"/>
        <w:jc w:val="right"/>
        <w:rPr>
          <w:rFonts w:hAnsi="Times New Roman"/>
          <w:sz w:val="24"/>
          <w:szCs w:val="24"/>
        </w:rPr>
      </w:pPr>
      <w:r>
        <w:rPr>
          <w:rFonts w:hAnsi="Times New Roman"/>
          <w:sz w:val="24"/>
          <w:szCs w:val="24"/>
        </w:rPr>
        <w:t>Toll Free: 1800 033 660</w:t>
      </w:r>
    </w:p>
    <w:p w14:paraId="41D68D58" w14:textId="77777777" w:rsidR="000B6BC6" w:rsidRDefault="00A92C4D">
      <w:pPr>
        <w:tabs>
          <w:tab w:val="left" w:pos="7513"/>
        </w:tabs>
        <w:spacing w:line="276" w:lineRule="auto"/>
        <w:jc w:val="right"/>
        <w:rPr>
          <w:rFonts w:hAnsi="Times New Roman"/>
          <w:sz w:val="24"/>
          <w:szCs w:val="24"/>
        </w:rPr>
      </w:pPr>
      <w:r>
        <w:rPr>
          <w:rFonts w:hAnsi="Times New Roman"/>
          <w:sz w:val="24"/>
          <w:szCs w:val="24"/>
        </w:rPr>
        <w:t>Fax: 03 9650 3200</w:t>
      </w:r>
    </w:p>
    <w:p w14:paraId="5EF94833" w14:textId="77777777" w:rsidR="000B6BC6" w:rsidRDefault="00A92C4D">
      <w:pPr>
        <w:spacing w:line="276" w:lineRule="auto"/>
        <w:jc w:val="right"/>
        <w:rPr>
          <w:rFonts w:hAnsi="Times New Roman"/>
          <w:sz w:val="24"/>
          <w:szCs w:val="24"/>
        </w:rPr>
      </w:pPr>
      <w:r>
        <w:rPr>
          <w:rFonts w:hAnsi="Times New Roman"/>
          <w:sz w:val="24"/>
          <w:szCs w:val="24"/>
        </w:rPr>
        <w:t>Email: bca@bca.org.au</w:t>
      </w:r>
    </w:p>
    <w:p w14:paraId="1C53C790" w14:textId="77777777" w:rsidR="000B6BC6" w:rsidRDefault="00A92C4D">
      <w:pPr>
        <w:spacing w:line="276" w:lineRule="auto"/>
        <w:jc w:val="right"/>
        <w:rPr>
          <w:rFonts w:hAnsi="Times New Roman"/>
          <w:sz w:val="24"/>
          <w:szCs w:val="24"/>
        </w:rPr>
      </w:pPr>
      <w:r>
        <w:rPr>
          <w:rFonts w:hAnsi="Times New Roman"/>
          <w:sz w:val="24"/>
          <w:szCs w:val="24"/>
        </w:rPr>
        <w:t xml:space="preserve">Website: </w:t>
      </w:r>
      <w:hyperlink r:id="rId9">
        <w:r>
          <w:rPr>
            <w:rStyle w:val="Hyperlink"/>
            <w:rFonts w:hAnsi="Times New Roman"/>
            <w:sz w:val="24"/>
            <w:szCs w:val="24"/>
          </w:rPr>
          <w:t>www.bca.org.au</w:t>
        </w:r>
      </w:hyperlink>
    </w:p>
    <w:p w14:paraId="551B9C87" w14:textId="77777777" w:rsidR="000B6BC6" w:rsidRDefault="00A92C4D">
      <w:pPr>
        <w:spacing w:line="276" w:lineRule="auto"/>
        <w:jc w:val="right"/>
        <w:rPr>
          <w:rFonts w:hAnsi="Times New Roman"/>
          <w:sz w:val="24"/>
          <w:szCs w:val="24"/>
        </w:rPr>
      </w:pPr>
      <w:r>
        <w:rPr>
          <w:rFonts w:hAnsi="Times New Roman"/>
          <w:sz w:val="24"/>
          <w:szCs w:val="24"/>
        </w:rPr>
        <w:t>Facebook: /BlindCitizensAustralia</w:t>
      </w:r>
    </w:p>
    <w:p w14:paraId="1F50D03F" w14:textId="77777777" w:rsidR="000B6BC6" w:rsidRDefault="00A92C4D">
      <w:pPr>
        <w:spacing w:line="276" w:lineRule="auto"/>
        <w:jc w:val="right"/>
        <w:rPr>
          <w:rFonts w:hAnsi="Times New Roman"/>
          <w:sz w:val="24"/>
          <w:szCs w:val="24"/>
        </w:rPr>
      </w:pPr>
      <w:r>
        <w:rPr>
          <w:rFonts w:hAnsi="Times New Roman"/>
          <w:sz w:val="24"/>
          <w:szCs w:val="24"/>
        </w:rPr>
        <w:t>Twitter:  @au_BCA</w:t>
      </w:r>
    </w:p>
    <w:p w14:paraId="3FD3C9BB" w14:textId="08C034B0" w:rsidR="000B6BC6" w:rsidRDefault="00A92C4D" w:rsidP="001C236D">
      <w:pPr>
        <w:spacing w:line="276" w:lineRule="auto"/>
        <w:rPr>
          <w:rFonts w:hAnsi="Times New Roman"/>
          <w:sz w:val="24"/>
          <w:szCs w:val="24"/>
        </w:rPr>
      </w:pPr>
      <w:r>
        <w:rPr>
          <w:noProof/>
          <w:sz w:val="20"/>
        </w:rPr>
        <mc:AlternateContent>
          <mc:Choice Requires="wps">
            <w:drawing>
              <wp:anchor distT="0" distB="0" distL="114300" distR="114300" simplePos="0" relativeHeight="251624960" behindDoc="0" locked="1" layoutInCell="1" allowOverlap="1" wp14:anchorId="4F2B9E2E" wp14:editId="57602227">
                <wp:simplePos x="0" y="0"/>
                <wp:positionH relativeFrom="page">
                  <wp:posOffset>1080139</wp:posOffset>
                </wp:positionH>
                <wp:positionV relativeFrom="page">
                  <wp:posOffset>10175245</wp:posOffset>
                </wp:positionV>
                <wp:extent cx="5579110" cy="280035"/>
                <wp:effectExtent l="0" t="0" r="0" b="698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745" cy="280670"/>
                        </a:xfrm>
                        <a:prstGeom prst="rect">
                          <a:avLst/>
                        </a:prstGeom>
                        <a:noFill/>
                        <a:ln cap="flat">
                          <a:noFill/>
                        </a:ln>
                      </wps:spPr>
                      <wps:txbx>
                        <w:txbxContent>
                          <w:p w14:paraId="7FE340E5" w14:textId="77777777" w:rsidR="000B6BC6" w:rsidRDefault="00A92C4D">
                            <w:pPr>
                              <w:spacing w:after="160" w:line="259" w:lineRule="auto"/>
                              <w:jc w:val="center"/>
                              <w:rPr>
                                <w:rFonts w:hAnsi="Times New Roman"/>
                                <w:sz w:val="20"/>
                                <w:szCs w:val="20"/>
                              </w:rPr>
                            </w:pPr>
                            <w:r>
                              <w:rPr>
                                <w:rFonts w:hAnsi="Times New Roman"/>
                                <w:sz w:val="20"/>
                                <w:szCs w:val="20"/>
                              </w:rPr>
                              <w:t>Blind Citizens Australia ABN 90 006 985 226.  Gifts are Tax Deductible.</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shapetype w14:anchorId="4F2B9E2E" id="_x0000_t202" coordsize="21600,21600" o:spt="202" path="m,l,21600r21600,l21600,xe">
                <v:stroke joinstyle="miter"/>
                <v:path gradientshapeok="t" o:connecttype="rect"/>
              </v:shapetype>
              <v:shape id="Text Box 1" o:spid="_x0000_s1026" type="#_x0000_t202" style="position:absolute;margin-left:85.05pt;margin-top:801.2pt;width:439.3pt;height:22.05pt;z-index:251624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" filled="f" stroked="f">
                <v:textbox>
                  <w:txbxContent>
                    <w:p w14:paraId="7FE340E5" w14:textId="77777777" w:rsidR="000B6BC6" w:rsidRDefault="00A92C4D">
                      <w:pPr>
                        <w:spacing w:after="160" w:line="259" w:lineRule="auto"/>
                        <w:jc w:val="center"/>
                        <w:rPr>
                          <w:rFonts w:hAnsi="Times New Roman"/>
                          <w:sz w:val="20"/>
                          <w:szCs w:val="20"/>
                        </w:rPr>
                      </w:pPr>
                      <w:r>
                        <w:rPr>
                          <w:rFonts w:hAnsi="Times New Roman"/>
                          <w:sz w:val="20"/>
                          <w:szCs w:val="20"/>
                        </w:rPr>
                        <w:t>Blind Citizens Australia ABN 90 006 985 226.  Gifts are Tax Deductible.</w:t>
                      </w:r>
                    </w:p>
                  </w:txbxContent>
                </v:textbox>
                <w10:wrap anchorx="page" anchory="page"/>
                <w10:anchorlock/>
              </v:shape>
            </w:pict>
          </mc:Fallback>
        </mc:AlternateContent>
      </w:r>
      <w:r w:rsidR="001C236D">
        <w:rPr>
          <w:rFonts w:cstheme="minorHAnsi"/>
          <w:color w:val="008000"/>
          <w:sz w:val="44"/>
        </w:rPr>
        <w:t>Blind Citizens Australia</w:t>
      </w:r>
    </w:p>
    <w:p w14:paraId="3AEEEB97" w14:textId="77777777" w:rsidR="000B6BC6" w:rsidRDefault="00A92C4D" w:rsidP="009C3919">
      <w:pPr>
        <w:pStyle w:val="Title"/>
      </w:pPr>
      <w:r>
        <w:t>Healthcare Policy</w:t>
      </w:r>
    </w:p>
    <w:p w14:paraId="7AD0E5D4" w14:textId="77777777" w:rsidR="000B6BC6" w:rsidRDefault="000B6BC6">
      <w:pPr>
        <w:rPr>
          <w:rFonts w:hAnsi="Times New Roman"/>
          <w:sz w:val="24"/>
          <w:szCs w:val="24"/>
        </w:rPr>
      </w:pPr>
    </w:p>
    <w:p w14:paraId="3B0DFE63" w14:textId="77777777" w:rsidR="000B6BC6" w:rsidRDefault="00A92C4D">
      <w:pPr>
        <w:rPr>
          <w:rFonts w:hAnsi="Times New Roman"/>
        </w:rPr>
      </w:pPr>
      <w:r>
        <w:rPr>
          <w:rFonts w:hAnsi="Times New Roman"/>
        </w:rPr>
        <w:t>Developed in consultation with Blind Citizens Australia</w:t>
      </w:r>
      <w:r>
        <w:rPr>
          <w:rFonts w:hAnsi="Times New Roman"/>
        </w:rPr>
        <w:t>’</w:t>
      </w:r>
      <w:r>
        <w:rPr>
          <w:rFonts w:hAnsi="Times New Roman"/>
        </w:rPr>
        <w:t xml:space="preserve">s National Policy Council. </w:t>
      </w:r>
    </w:p>
    <w:p w14:paraId="22E4E5EC" w14:textId="77777777" w:rsidR="000B6BC6" w:rsidRDefault="000B6BC6">
      <w:pPr>
        <w:rPr>
          <w:rFonts w:hAnsi="Times New Roman"/>
        </w:rPr>
      </w:pPr>
    </w:p>
    <w:p w14:paraId="42554CED" w14:textId="77777777" w:rsidR="000B6BC6" w:rsidRDefault="00A92C4D">
      <w:pPr>
        <w:rPr>
          <w:rFonts w:hAnsi="Times New Roman"/>
        </w:rPr>
      </w:pPr>
      <w:r>
        <w:rPr>
          <w:rFonts w:hAnsi="Times New Roman"/>
        </w:rPr>
        <w:t xml:space="preserve">Date adopted: </w:t>
      </w:r>
    </w:p>
    <w:p w14:paraId="5D74F0CB" w14:textId="711D591F" w:rsidR="000B6BC6" w:rsidRDefault="00A92C4D">
      <w:pPr>
        <w:rPr>
          <w:rFonts w:hAnsi="Times New Roman"/>
        </w:rPr>
      </w:pPr>
      <w:r>
        <w:rPr>
          <w:rFonts w:hAnsi="Times New Roman"/>
        </w:rPr>
        <w:t xml:space="preserve">Date last amended: </w:t>
      </w:r>
      <w:r w:rsidR="00EF144A">
        <w:rPr>
          <w:rFonts w:hAnsi="Times New Roman"/>
        </w:rPr>
        <w:t>31</w:t>
      </w:r>
      <w:r w:rsidR="00EF144A" w:rsidRPr="00EF144A">
        <w:rPr>
          <w:rFonts w:hAnsi="Times New Roman"/>
          <w:vertAlign w:val="superscript"/>
        </w:rPr>
        <w:t>st</w:t>
      </w:r>
      <w:r w:rsidR="00EF144A">
        <w:rPr>
          <w:rFonts w:hAnsi="Times New Roman"/>
        </w:rPr>
        <w:t xml:space="preserve"> August</w:t>
      </w:r>
      <w:r w:rsidR="007D0519">
        <w:rPr>
          <w:rFonts w:hAnsi="Times New Roman"/>
        </w:rPr>
        <w:t xml:space="preserve"> 2020</w:t>
      </w:r>
    </w:p>
    <w:p w14:paraId="6A468DA3" w14:textId="30659200" w:rsidR="000B6BC6" w:rsidRDefault="00A92C4D">
      <w:pPr>
        <w:rPr>
          <w:rFonts w:hAnsi="Times New Roman"/>
        </w:rPr>
      </w:pPr>
      <w:r>
        <w:rPr>
          <w:rFonts w:hAnsi="Times New Roman"/>
        </w:rPr>
        <w:t>Review date</w:t>
      </w:r>
      <w:r w:rsidR="00784C0A">
        <w:rPr>
          <w:rFonts w:hAnsi="Times New Roman"/>
        </w:rPr>
        <w:t xml:space="preserve">: </w:t>
      </w:r>
    </w:p>
    <w:p w14:paraId="2FB483A7" w14:textId="77777777" w:rsidR="000B6BC6" w:rsidRDefault="00A92C4D">
      <w:pPr>
        <w:rPr>
          <w:rFonts w:hAnsi="Times New Roman"/>
        </w:rPr>
      </w:pPr>
      <w:r>
        <w:rPr>
          <w:rFonts w:hAnsi="Times New Roman"/>
        </w:rPr>
        <w:t>Responsibility for review: Policy Officer in conjunction with National Policy Council</w:t>
      </w:r>
    </w:p>
    <w:p w14:paraId="3B2B648D" w14:textId="77777777" w:rsidR="000B6BC6" w:rsidRDefault="000B6BC6">
      <w:pPr>
        <w:rPr>
          <w:rFonts w:hAnsi="Times New Roman"/>
          <w:sz w:val="24"/>
          <w:szCs w:val="24"/>
        </w:rPr>
      </w:pPr>
    </w:p>
    <w:bookmarkStart w:id="0" w:name="_Toc45546601" w:displacedByCustomXml="next"/>
    <w:sdt>
      <w:sdtPr>
        <w:rPr>
          <w:rFonts w:ascii="Calibri" w:eastAsia="Times New Roman" w:hAnsi="Calibri" w:cs="Times New Roman"/>
          <w:bCs w:val="0"/>
          <w:color w:val="auto"/>
        </w:rPr>
        <w:id w:val="146944993"/>
        <w:docPartObj>
          <w:docPartGallery w:val="Table of Contents"/>
          <w:docPartUnique/>
        </w:docPartObj>
      </w:sdtPr>
      <w:sdtEndPr>
        <w:rPr>
          <w:b/>
          <w:noProof/>
        </w:rPr>
      </w:sdtEndPr>
      <w:sdtContent>
        <w:p w14:paraId="18A92897" w14:textId="4B78EEAD" w:rsidR="00FC37AB" w:rsidRPr="009C3919" w:rsidRDefault="00FC37AB" w:rsidP="009C3919">
          <w:pPr>
            <w:pStyle w:val="TOCHeading"/>
            <w:rPr>
              <w:rStyle w:val="Heading1Char"/>
            </w:rPr>
          </w:pPr>
          <w:r w:rsidRPr="009C3919">
            <w:rPr>
              <w:rStyle w:val="Heading1Char"/>
            </w:rPr>
            <w:t>Contents</w:t>
          </w:r>
          <w:bookmarkEnd w:id="0"/>
        </w:p>
        <w:p w14:paraId="3789630E" w14:textId="5D0EAE16" w:rsidR="0062144F" w:rsidRDefault="00FC37AB" w:rsidP="0062144F">
          <w:pPr>
            <w:pStyle w:val="TOC1"/>
            <w:tabs>
              <w:tab w:val="right" w:leader="dot" w:pos="9016"/>
            </w:tabs>
            <w:spacing w:line="276" w:lineRule="auto"/>
            <w:rPr>
              <w:rFonts w:asciiTheme="minorHAnsi" w:eastAsiaTheme="minorEastAsia" w:hAnsiTheme="minorHAnsi" w:cstheme="minorBidi"/>
              <w:noProof/>
              <w:sz w:val="22"/>
              <w:szCs w:val="22"/>
            </w:rPr>
          </w:pPr>
          <w:r w:rsidRPr="00FC37AB">
            <w:rPr>
              <w:rFonts w:asciiTheme="minorHAnsi" w:hAnsiTheme="minorHAnsi" w:cstheme="minorHAnsi"/>
            </w:rPr>
            <w:fldChar w:fldCharType="begin"/>
          </w:r>
          <w:r w:rsidRPr="00FC37AB">
            <w:rPr>
              <w:rFonts w:asciiTheme="minorHAnsi" w:hAnsiTheme="minorHAnsi" w:cstheme="minorHAnsi"/>
            </w:rPr>
            <w:instrText xml:space="preserve"> TOC \o "1-3" \h \z \u </w:instrText>
          </w:r>
          <w:r w:rsidRPr="00FC37AB">
            <w:rPr>
              <w:rFonts w:asciiTheme="minorHAnsi" w:hAnsiTheme="minorHAnsi" w:cstheme="minorHAnsi"/>
            </w:rPr>
            <w:fldChar w:fldCharType="separate"/>
          </w:r>
          <w:hyperlink w:anchor="_Toc45546601" w:history="1">
            <w:r w:rsidR="0062144F" w:rsidRPr="0008430E">
              <w:rPr>
                <w:rStyle w:val="Hyperlink"/>
                <w:b/>
                <w:noProof/>
              </w:rPr>
              <w:t>Contents</w:t>
            </w:r>
            <w:r w:rsidR="0062144F">
              <w:rPr>
                <w:noProof/>
                <w:webHidden/>
              </w:rPr>
              <w:tab/>
            </w:r>
            <w:r w:rsidR="0062144F">
              <w:rPr>
                <w:noProof/>
                <w:webHidden/>
              </w:rPr>
              <w:fldChar w:fldCharType="begin"/>
            </w:r>
            <w:r w:rsidR="0062144F">
              <w:rPr>
                <w:noProof/>
                <w:webHidden/>
              </w:rPr>
              <w:instrText xml:space="preserve"> PAGEREF _Toc45546601 \h </w:instrText>
            </w:r>
            <w:r w:rsidR="0062144F">
              <w:rPr>
                <w:noProof/>
                <w:webHidden/>
              </w:rPr>
            </w:r>
            <w:r w:rsidR="0062144F">
              <w:rPr>
                <w:noProof/>
                <w:webHidden/>
              </w:rPr>
              <w:fldChar w:fldCharType="separate"/>
            </w:r>
            <w:r w:rsidR="00084F54">
              <w:rPr>
                <w:noProof/>
                <w:webHidden/>
              </w:rPr>
              <w:t>1</w:t>
            </w:r>
            <w:r w:rsidR="0062144F">
              <w:rPr>
                <w:noProof/>
                <w:webHidden/>
              </w:rPr>
              <w:fldChar w:fldCharType="end"/>
            </w:r>
          </w:hyperlink>
        </w:p>
        <w:p w14:paraId="2CA9D6E5" w14:textId="70E7AD19" w:rsidR="0062144F" w:rsidRDefault="00A96663" w:rsidP="0062144F">
          <w:pPr>
            <w:pStyle w:val="TOC1"/>
            <w:tabs>
              <w:tab w:val="right" w:leader="dot" w:pos="9016"/>
            </w:tabs>
            <w:spacing w:line="276" w:lineRule="auto"/>
            <w:rPr>
              <w:rFonts w:asciiTheme="minorHAnsi" w:eastAsiaTheme="minorEastAsia" w:hAnsiTheme="minorHAnsi" w:cstheme="minorBidi"/>
              <w:noProof/>
              <w:sz w:val="22"/>
              <w:szCs w:val="22"/>
            </w:rPr>
          </w:pPr>
          <w:hyperlink w:anchor="_Toc45546602" w:history="1">
            <w:r w:rsidR="0062144F" w:rsidRPr="0008430E">
              <w:rPr>
                <w:rStyle w:val="Hyperlink"/>
                <w:noProof/>
              </w:rPr>
              <w:t>Executive summary</w:t>
            </w:r>
            <w:r w:rsidR="0062144F">
              <w:rPr>
                <w:noProof/>
                <w:webHidden/>
              </w:rPr>
              <w:tab/>
            </w:r>
            <w:r w:rsidR="0062144F">
              <w:rPr>
                <w:noProof/>
                <w:webHidden/>
              </w:rPr>
              <w:fldChar w:fldCharType="begin"/>
            </w:r>
            <w:r w:rsidR="0062144F">
              <w:rPr>
                <w:noProof/>
                <w:webHidden/>
              </w:rPr>
              <w:instrText xml:space="preserve"> PAGEREF _Toc45546602 \h </w:instrText>
            </w:r>
            <w:r w:rsidR="0062144F">
              <w:rPr>
                <w:noProof/>
                <w:webHidden/>
              </w:rPr>
            </w:r>
            <w:r w:rsidR="0062144F">
              <w:rPr>
                <w:noProof/>
                <w:webHidden/>
              </w:rPr>
              <w:fldChar w:fldCharType="separate"/>
            </w:r>
            <w:r w:rsidR="00084F54">
              <w:rPr>
                <w:noProof/>
                <w:webHidden/>
              </w:rPr>
              <w:t>3</w:t>
            </w:r>
            <w:r w:rsidR="0062144F">
              <w:rPr>
                <w:noProof/>
                <w:webHidden/>
              </w:rPr>
              <w:fldChar w:fldCharType="end"/>
            </w:r>
          </w:hyperlink>
        </w:p>
        <w:p w14:paraId="0AA5DB9F" w14:textId="2C8683F7"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03" w:history="1">
            <w:r w:rsidR="0062144F" w:rsidRPr="0008430E">
              <w:rPr>
                <w:rStyle w:val="Hyperlink"/>
                <w:noProof/>
              </w:rPr>
              <w:t>About Blind Citizens Australia</w:t>
            </w:r>
            <w:r w:rsidR="0062144F">
              <w:rPr>
                <w:noProof/>
                <w:webHidden/>
              </w:rPr>
              <w:tab/>
            </w:r>
            <w:r w:rsidR="0062144F">
              <w:rPr>
                <w:noProof/>
                <w:webHidden/>
              </w:rPr>
              <w:fldChar w:fldCharType="begin"/>
            </w:r>
            <w:r w:rsidR="0062144F">
              <w:rPr>
                <w:noProof/>
                <w:webHidden/>
              </w:rPr>
              <w:instrText xml:space="preserve"> PAGEREF _Toc45546603 \h </w:instrText>
            </w:r>
            <w:r w:rsidR="0062144F">
              <w:rPr>
                <w:noProof/>
                <w:webHidden/>
              </w:rPr>
            </w:r>
            <w:r w:rsidR="0062144F">
              <w:rPr>
                <w:noProof/>
                <w:webHidden/>
              </w:rPr>
              <w:fldChar w:fldCharType="separate"/>
            </w:r>
            <w:r w:rsidR="00084F54">
              <w:rPr>
                <w:noProof/>
                <w:webHidden/>
              </w:rPr>
              <w:t>4</w:t>
            </w:r>
            <w:r w:rsidR="0062144F">
              <w:rPr>
                <w:noProof/>
                <w:webHidden/>
              </w:rPr>
              <w:fldChar w:fldCharType="end"/>
            </w:r>
          </w:hyperlink>
        </w:p>
        <w:p w14:paraId="17E720BB" w14:textId="62932289"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04" w:history="1">
            <w:r w:rsidR="0062144F" w:rsidRPr="0008430E">
              <w:rPr>
                <w:rStyle w:val="Hyperlink"/>
                <w:noProof/>
              </w:rPr>
              <w:t>About Australians who are blind or vision impaired</w:t>
            </w:r>
            <w:r w:rsidR="0062144F">
              <w:rPr>
                <w:noProof/>
                <w:webHidden/>
              </w:rPr>
              <w:tab/>
            </w:r>
            <w:r w:rsidR="0062144F">
              <w:rPr>
                <w:noProof/>
                <w:webHidden/>
              </w:rPr>
              <w:fldChar w:fldCharType="begin"/>
            </w:r>
            <w:r w:rsidR="0062144F">
              <w:rPr>
                <w:noProof/>
                <w:webHidden/>
              </w:rPr>
              <w:instrText xml:space="preserve"> PAGEREF _Toc45546604 \h </w:instrText>
            </w:r>
            <w:r w:rsidR="0062144F">
              <w:rPr>
                <w:noProof/>
                <w:webHidden/>
              </w:rPr>
            </w:r>
            <w:r w:rsidR="0062144F">
              <w:rPr>
                <w:noProof/>
                <w:webHidden/>
              </w:rPr>
              <w:fldChar w:fldCharType="separate"/>
            </w:r>
            <w:r w:rsidR="00084F54">
              <w:rPr>
                <w:noProof/>
                <w:webHidden/>
              </w:rPr>
              <w:t>4</w:t>
            </w:r>
            <w:r w:rsidR="0062144F">
              <w:rPr>
                <w:noProof/>
                <w:webHidden/>
              </w:rPr>
              <w:fldChar w:fldCharType="end"/>
            </w:r>
          </w:hyperlink>
        </w:p>
        <w:p w14:paraId="18DF61BB" w14:textId="4E8F1E3D" w:rsidR="0062144F" w:rsidRDefault="00A96663" w:rsidP="0062144F">
          <w:pPr>
            <w:pStyle w:val="TOC1"/>
            <w:tabs>
              <w:tab w:val="right" w:leader="dot" w:pos="9016"/>
            </w:tabs>
            <w:spacing w:line="276" w:lineRule="auto"/>
            <w:rPr>
              <w:rFonts w:asciiTheme="minorHAnsi" w:eastAsiaTheme="minorEastAsia" w:hAnsiTheme="minorHAnsi" w:cstheme="minorBidi"/>
              <w:noProof/>
              <w:sz w:val="22"/>
              <w:szCs w:val="22"/>
            </w:rPr>
          </w:pPr>
          <w:hyperlink w:anchor="_Toc45546605" w:history="1">
            <w:r w:rsidR="0062144F" w:rsidRPr="0008430E">
              <w:rPr>
                <w:rStyle w:val="Hyperlink"/>
                <w:noProof/>
              </w:rPr>
              <w:t>1. Purpose of this policy</w:t>
            </w:r>
            <w:r w:rsidR="0062144F">
              <w:rPr>
                <w:noProof/>
                <w:webHidden/>
              </w:rPr>
              <w:tab/>
            </w:r>
            <w:r w:rsidR="0062144F">
              <w:rPr>
                <w:noProof/>
                <w:webHidden/>
              </w:rPr>
              <w:fldChar w:fldCharType="begin"/>
            </w:r>
            <w:r w:rsidR="0062144F">
              <w:rPr>
                <w:noProof/>
                <w:webHidden/>
              </w:rPr>
              <w:instrText xml:space="preserve"> PAGEREF _Toc45546605 \h </w:instrText>
            </w:r>
            <w:r w:rsidR="0062144F">
              <w:rPr>
                <w:noProof/>
                <w:webHidden/>
              </w:rPr>
            </w:r>
            <w:r w:rsidR="0062144F">
              <w:rPr>
                <w:noProof/>
                <w:webHidden/>
              </w:rPr>
              <w:fldChar w:fldCharType="separate"/>
            </w:r>
            <w:r w:rsidR="00084F54">
              <w:rPr>
                <w:noProof/>
                <w:webHidden/>
              </w:rPr>
              <w:t>5</w:t>
            </w:r>
            <w:r w:rsidR="0062144F">
              <w:rPr>
                <w:noProof/>
                <w:webHidden/>
              </w:rPr>
              <w:fldChar w:fldCharType="end"/>
            </w:r>
          </w:hyperlink>
        </w:p>
        <w:p w14:paraId="4CB4F476" w14:textId="719E4A83" w:rsidR="0062144F" w:rsidRDefault="00A96663" w:rsidP="0062144F">
          <w:pPr>
            <w:pStyle w:val="TOC1"/>
            <w:tabs>
              <w:tab w:val="right" w:leader="dot" w:pos="9016"/>
            </w:tabs>
            <w:spacing w:line="276" w:lineRule="auto"/>
            <w:rPr>
              <w:rFonts w:asciiTheme="minorHAnsi" w:eastAsiaTheme="minorEastAsia" w:hAnsiTheme="minorHAnsi" w:cstheme="minorBidi"/>
              <w:noProof/>
              <w:sz w:val="22"/>
              <w:szCs w:val="22"/>
            </w:rPr>
          </w:pPr>
          <w:hyperlink w:anchor="_Toc45546606" w:history="1">
            <w:r w:rsidR="0062144F" w:rsidRPr="0008430E">
              <w:rPr>
                <w:rStyle w:val="Hyperlink"/>
                <w:noProof/>
              </w:rPr>
              <w:t>2. How this policy should be used</w:t>
            </w:r>
            <w:r w:rsidR="0062144F">
              <w:rPr>
                <w:noProof/>
                <w:webHidden/>
              </w:rPr>
              <w:tab/>
            </w:r>
            <w:r w:rsidR="0062144F">
              <w:rPr>
                <w:noProof/>
                <w:webHidden/>
              </w:rPr>
              <w:fldChar w:fldCharType="begin"/>
            </w:r>
            <w:r w:rsidR="0062144F">
              <w:rPr>
                <w:noProof/>
                <w:webHidden/>
              </w:rPr>
              <w:instrText xml:space="preserve"> PAGEREF _Toc45546606 \h </w:instrText>
            </w:r>
            <w:r w:rsidR="0062144F">
              <w:rPr>
                <w:noProof/>
                <w:webHidden/>
              </w:rPr>
            </w:r>
            <w:r w:rsidR="0062144F">
              <w:rPr>
                <w:noProof/>
                <w:webHidden/>
              </w:rPr>
              <w:fldChar w:fldCharType="separate"/>
            </w:r>
            <w:r w:rsidR="00084F54">
              <w:rPr>
                <w:noProof/>
                <w:webHidden/>
              </w:rPr>
              <w:t>6</w:t>
            </w:r>
            <w:r w:rsidR="0062144F">
              <w:rPr>
                <w:noProof/>
                <w:webHidden/>
              </w:rPr>
              <w:fldChar w:fldCharType="end"/>
            </w:r>
          </w:hyperlink>
        </w:p>
        <w:p w14:paraId="55132F2E" w14:textId="128E7A42" w:rsidR="0062144F" w:rsidRDefault="00A96663" w:rsidP="0062144F">
          <w:pPr>
            <w:pStyle w:val="TOC1"/>
            <w:tabs>
              <w:tab w:val="right" w:leader="dot" w:pos="9016"/>
            </w:tabs>
            <w:spacing w:line="276" w:lineRule="auto"/>
            <w:rPr>
              <w:rFonts w:asciiTheme="minorHAnsi" w:eastAsiaTheme="minorEastAsia" w:hAnsiTheme="minorHAnsi" w:cstheme="minorBidi"/>
              <w:noProof/>
              <w:sz w:val="22"/>
              <w:szCs w:val="22"/>
            </w:rPr>
          </w:pPr>
          <w:hyperlink w:anchor="_Toc45546607" w:history="1">
            <w:r w:rsidR="0062144F" w:rsidRPr="0008430E">
              <w:rPr>
                <w:rStyle w:val="Hyperlink"/>
                <w:noProof/>
              </w:rPr>
              <w:t>3. Policy Context</w:t>
            </w:r>
            <w:r w:rsidR="0062144F">
              <w:rPr>
                <w:noProof/>
                <w:webHidden/>
              </w:rPr>
              <w:tab/>
            </w:r>
            <w:r w:rsidR="0062144F">
              <w:rPr>
                <w:noProof/>
                <w:webHidden/>
              </w:rPr>
              <w:fldChar w:fldCharType="begin"/>
            </w:r>
            <w:r w:rsidR="0062144F">
              <w:rPr>
                <w:noProof/>
                <w:webHidden/>
              </w:rPr>
              <w:instrText xml:space="preserve"> PAGEREF _Toc45546607 \h </w:instrText>
            </w:r>
            <w:r w:rsidR="0062144F">
              <w:rPr>
                <w:noProof/>
                <w:webHidden/>
              </w:rPr>
            </w:r>
            <w:r w:rsidR="0062144F">
              <w:rPr>
                <w:noProof/>
                <w:webHidden/>
              </w:rPr>
              <w:fldChar w:fldCharType="separate"/>
            </w:r>
            <w:r w:rsidR="00084F54">
              <w:rPr>
                <w:noProof/>
                <w:webHidden/>
              </w:rPr>
              <w:t>6</w:t>
            </w:r>
            <w:r w:rsidR="0062144F">
              <w:rPr>
                <w:noProof/>
                <w:webHidden/>
              </w:rPr>
              <w:fldChar w:fldCharType="end"/>
            </w:r>
          </w:hyperlink>
        </w:p>
        <w:p w14:paraId="5C05C928" w14:textId="17C35540" w:rsidR="0062144F" w:rsidRDefault="00A96663" w:rsidP="0062144F">
          <w:pPr>
            <w:pStyle w:val="TOC1"/>
            <w:tabs>
              <w:tab w:val="right" w:leader="dot" w:pos="9016"/>
            </w:tabs>
            <w:spacing w:line="276" w:lineRule="auto"/>
            <w:rPr>
              <w:rFonts w:asciiTheme="minorHAnsi" w:eastAsiaTheme="minorEastAsia" w:hAnsiTheme="minorHAnsi" w:cstheme="minorBidi"/>
              <w:noProof/>
              <w:sz w:val="22"/>
              <w:szCs w:val="22"/>
            </w:rPr>
          </w:pPr>
          <w:hyperlink w:anchor="_Toc45546608" w:history="1">
            <w:r w:rsidR="0062144F" w:rsidRPr="0008430E">
              <w:rPr>
                <w:rStyle w:val="Hyperlink"/>
                <w:noProof/>
              </w:rPr>
              <w:t>4. Policy Statement</w:t>
            </w:r>
            <w:r w:rsidR="0062144F">
              <w:rPr>
                <w:noProof/>
                <w:webHidden/>
              </w:rPr>
              <w:tab/>
            </w:r>
            <w:r w:rsidR="0062144F">
              <w:rPr>
                <w:noProof/>
                <w:webHidden/>
              </w:rPr>
              <w:fldChar w:fldCharType="begin"/>
            </w:r>
            <w:r w:rsidR="0062144F">
              <w:rPr>
                <w:noProof/>
                <w:webHidden/>
              </w:rPr>
              <w:instrText xml:space="preserve"> PAGEREF _Toc45546608 \h </w:instrText>
            </w:r>
            <w:r w:rsidR="0062144F">
              <w:rPr>
                <w:noProof/>
                <w:webHidden/>
              </w:rPr>
            </w:r>
            <w:r w:rsidR="0062144F">
              <w:rPr>
                <w:noProof/>
                <w:webHidden/>
              </w:rPr>
              <w:fldChar w:fldCharType="separate"/>
            </w:r>
            <w:r w:rsidR="00084F54">
              <w:rPr>
                <w:noProof/>
                <w:webHidden/>
              </w:rPr>
              <w:t>7</w:t>
            </w:r>
            <w:r w:rsidR="0062144F">
              <w:rPr>
                <w:noProof/>
                <w:webHidden/>
              </w:rPr>
              <w:fldChar w:fldCharType="end"/>
            </w:r>
          </w:hyperlink>
        </w:p>
        <w:p w14:paraId="6502EE61" w14:textId="0CF17280"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09" w:history="1">
            <w:r w:rsidR="0062144F" w:rsidRPr="0008430E">
              <w:rPr>
                <w:rStyle w:val="Hyperlink"/>
                <w:noProof/>
              </w:rPr>
              <w:t>4.1 Respect</w:t>
            </w:r>
            <w:r w:rsidR="0062144F">
              <w:rPr>
                <w:noProof/>
                <w:webHidden/>
              </w:rPr>
              <w:tab/>
            </w:r>
            <w:r w:rsidR="0062144F">
              <w:rPr>
                <w:noProof/>
                <w:webHidden/>
              </w:rPr>
              <w:fldChar w:fldCharType="begin"/>
            </w:r>
            <w:r w:rsidR="0062144F">
              <w:rPr>
                <w:noProof/>
                <w:webHidden/>
              </w:rPr>
              <w:instrText xml:space="preserve"> PAGEREF _Toc45546609 \h </w:instrText>
            </w:r>
            <w:r w:rsidR="0062144F">
              <w:rPr>
                <w:noProof/>
                <w:webHidden/>
              </w:rPr>
            </w:r>
            <w:r w:rsidR="0062144F">
              <w:rPr>
                <w:noProof/>
                <w:webHidden/>
              </w:rPr>
              <w:fldChar w:fldCharType="separate"/>
            </w:r>
            <w:r w:rsidR="00084F54">
              <w:rPr>
                <w:noProof/>
                <w:webHidden/>
              </w:rPr>
              <w:t>7</w:t>
            </w:r>
            <w:r w:rsidR="0062144F">
              <w:rPr>
                <w:noProof/>
                <w:webHidden/>
              </w:rPr>
              <w:fldChar w:fldCharType="end"/>
            </w:r>
          </w:hyperlink>
        </w:p>
        <w:p w14:paraId="3C7FD9D4" w14:textId="2B8774DF" w:rsidR="0062144F" w:rsidRDefault="00A96663" w:rsidP="0062144F">
          <w:pPr>
            <w:pStyle w:val="TOC3"/>
            <w:tabs>
              <w:tab w:val="right" w:leader="dot" w:pos="9016"/>
            </w:tabs>
            <w:spacing w:after="0" w:line="276" w:lineRule="auto"/>
            <w:rPr>
              <w:rFonts w:asciiTheme="minorHAnsi" w:eastAsiaTheme="minorEastAsia" w:hAnsiTheme="minorHAnsi" w:cstheme="minorBidi"/>
              <w:noProof/>
              <w:sz w:val="22"/>
              <w:szCs w:val="22"/>
            </w:rPr>
          </w:pPr>
          <w:hyperlink w:anchor="_Toc45546610" w:history="1">
            <w:r w:rsidR="0062144F" w:rsidRPr="0008430E">
              <w:rPr>
                <w:rStyle w:val="Hyperlink"/>
                <w:noProof/>
              </w:rPr>
              <w:t>Demonstrating respect</w:t>
            </w:r>
            <w:r w:rsidR="0062144F">
              <w:rPr>
                <w:noProof/>
                <w:webHidden/>
              </w:rPr>
              <w:tab/>
            </w:r>
            <w:r w:rsidR="0062144F">
              <w:rPr>
                <w:noProof/>
                <w:webHidden/>
              </w:rPr>
              <w:fldChar w:fldCharType="begin"/>
            </w:r>
            <w:r w:rsidR="0062144F">
              <w:rPr>
                <w:noProof/>
                <w:webHidden/>
              </w:rPr>
              <w:instrText xml:space="preserve"> PAGEREF _Toc45546610 \h </w:instrText>
            </w:r>
            <w:r w:rsidR="0062144F">
              <w:rPr>
                <w:noProof/>
                <w:webHidden/>
              </w:rPr>
            </w:r>
            <w:r w:rsidR="0062144F">
              <w:rPr>
                <w:noProof/>
                <w:webHidden/>
              </w:rPr>
              <w:fldChar w:fldCharType="separate"/>
            </w:r>
            <w:r w:rsidR="00084F54">
              <w:rPr>
                <w:noProof/>
                <w:webHidden/>
              </w:rPr>
              <w:t>8</w:t>
            </w:r>
            <w:r w:rsidR="0062144F">
              <w:rPr>
                <w:noProof/>
                <w:webHidden/>
              </w:rPr>
              <w:fldChar w:fldCharType="end"/>
            </w:r>
          </w:hyperlink>
        </w:p>
        <w:p w14:paraId="0FD464A6" w14:textId="104F24AF"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11" w:history="1">
            <w:r w:rsidR="0062144F" w:rsidRPr="0008430E">
              <w:rPr>
                <w:rStyle w:val="Hyperlink"/>
                <w:noProof/>
              </w:rPr>
              <w:t>4.2 Access</w:t>
            </w:r>
            <w:r w:rsidR="0062144F">
              <w:rPr>
                <w:noProof/>
                <w:webHidden/>
              </w:rPr>
              <w:tab/>
            </w:r>
            <w:r w:rsidR="0062144F">
              <w:rPr>
                <w:noProof/>
                <w:webHidden/>
              </w:rPr>
              <w:fldChar w:fldCharType="begin"/>
            </w:r>
            <w:r w:rsidR="0062144F">
              <w:rPr>
                <w:noProof/>
                <w:webHidden/>
              </w:rPr>
              <w:instrText xml:space="preserve"> PAGEREF _Toc45546611 \h </w:instrText>
            </w:r>
            <w:r w:rsidR="0062144F">
              <w:rPr>
                <w:noProof/>
                <w:webHidden/>
              </w:rPr>
            </w:r>
            <w:r w:rsidR="0062144F">
              <w:rPr>
                <w:noProof/>
                <w:webHidden/>
              </w:rPr>
              <w:fldChar w:fldCharType="separate"/>
            </w:r>
            <w:r w:rsidR="00084F54">
              <w:rPr>
                <w:noProof/>
                <w:webHidden/>
              </w:rPr>
              <w:t>8</w:t>
            </w:r>
            <w:r w:rsidR="0062144F">
              <w:rPr>
                <w:noProof/>
                <w:webHidden/>
              </w:rPr>
              <w:fldChar w:fldCharType="end"/>
            </w:r>
          </w:hyperlink>
        </w:p>
        <w:p w14:paraId="6225E47B" w14:textId="597985FA" w:rsidR="0062144F" w:rsidRDefault="00A96663" w:rsidP="0062144F">
          <w:pPr>
            <w:pStyle w:val="TOC3"/>
            <w:tabs>
              <w:tab w:val="right" w:leader="dot" w:pos="9016"/>
            </w:tabs>
            <w:spacing w:after="0" w:line="276" w:lineRule="auto"/>
            <w:rPr>
              <w:rFonts w:asciiTheme="minorHAnsi" w:eastAsiaTheme="minorEastAsia" w:hAnsiTheme="minorHAnsi" w:cstheme="minorBidi"/>
              <w:noProof/>
              <w:sz w:val="22"/>
              <w:szCs w:val="22"/>
            </w:rPr>
          </w:pPr>
          <w:hyperlink w:anchor="_Toc45546612" w:history="1">
            <w:r w:rsidR="0062144F" w:rsidRPr="0008430E">
              <w:rPr>
                <w:rStyle w:val="Hyperlink"/>
                <w:noProof/>
              </w:rPr>
              <w:t>Types of accessibility: Documents and physical access</w:t>
            </w:r>
            <w:r w:rsidR="0062144F">
              <w:rPr>
                <w:noProof/>
                <w:webHidden/>
              </w:rPr>
              <w:tab/>
            </w:r>
            <w:r w:rsidR="0062144F">
              <w:rPr>
                <w:noProof/>
                <w:webHidden/>
              </w:rPr>
              <w:fldChar w:fldCharType="begin"/>
            </w:r>
            <w:r w:rsidR="0062144F">
              <w:rPr>
                <w:noProof/>
                <w:webHidden/>
              </w:rPr>
              <w:instrText xml:space="preserve"> PAGEREF _Toc45546612 \h </w:instrText>
            </w:r>
            <w:r w:rsidR="0062144F">
              <w:rPr>
                <w:noProof/>
                <w:webHidden/>
              </w:rPr>
            </w:r>
            <w:r w:rsidR="0062144F">
              <w:rPr>
                <w:noProof/>
                <w:webHidden/>
              </w:rPr>
              <w:fldChar w:fldCharType="separate"/>
            </w:r>
            <w:r w:rsidR="00084F54">
              <w:rPr>
                <w:noProof/>
                <w:webHidden/>
              </w:rPr>
              <w:t>9</w:t>
            </w:r>
            <w:r w:rsidR="0062144F">
              <w:rPr>
                <w:noProof/>
                <w:webHidden/>
              </w:rPr>
              <w:fldChar w:fldCharType="end"/>
            </w:r>
          </w:hyperlink>
        </w:p>
        <w:p w14:paraId="62BB3B04" w14:textId="2823D3D8"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13" w:history="1">
            <w:r w:rsidR="0062144F" w:rsidRPr="0008430E">
              <w:rPr>
                <w:rStyle w:val="Hyperlink"/>
                <w:noProof/>
              </w:rPr>
              <w:t>4.3 Safety</w:t>
            </w:r>
            <w:r w:rsidR="0062144F">
              <w:rPr>
                <w:noProof/>
                <w:webHidden/>
              </w:rPr>
              <w:tab/>
            </w:r>
            <w:r w:rsidR="0062144F">
              <w:rPr>
                <w:noProof/>
                <w:webHidden/>
              </w:rPr>
              <w:fldChar w:fldCharType="begin"/>
            </w:r>
            <w:r w:rsidR="0062144F">
              <w:rPr>
                <w:noProof/>
                <w:webHidden/>
              </w:rPr>
              <w:instrText xml:space="preserve"> PAGEREF _Toc45546613 \h </w:instrText>
            </w:r>
            <w:r w:rsidR="0062144F">
              <w:rPr>
                <w:noProof/>
                <w:webHidden/>
              </w:rPr>
            </w:r>
            <w:r w:rsidR="0062144F">
              <w:rPr>
                <w:noProof/>
                <w:webHidden/>
              </w:rPr>
              <w:fldChar w:fldCharType="separate"/>
            </w:r>
            <w:r w:rsidR="00084F54">
              <w:rPr>
                <w:noProof/>
                <w:webHidden/>
              </w:rPr>
              <w:t>10</w:t>
            </w:r>
            <w:r w:rsidR="0062144F">
              <w:rPr>
                <w:noProof/>
                <w:webHidden/>
              </w:rPr>
              <w:fldChar w:fldCharType="end"/>
            </w:r>
          </w:hyperlink>
        </w:p>
        <w:p w14:paraId="43D3FDB7" w14:textId="0FFAE235"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14" w:history="1">
            <w:r w:rsidR="0062144F" w:rsidRPr="0008430E">
              <w:rPr>
                <w:rStyle w:val="Hyperlink"/>
                <w:noProof/>
              </w:rPr>
              <w:t>4.4. Partnership</w:t>
            </w:r>
            <w:r w:rsidR="0062144F">
              <w:rPr>
                <w:noProof/>
                <w:webHidden/>
              </w:rPr>
              <w:tab/>
            </w:r>
            <w:r w:rsidR="0062144F">
              <w:rPr>
                <w:noProof/>
                <w:webHidden/>
              </w:rPr>
              <w:fldChar w:fldCharType="begin"/>
            </w:r>
            <w:r w:rsidR="0062144F">
              <w:rPr>
                <w:noProof/>
                <w:webHidden/>
              </w:rPr>
              <w:instrText xml:space="preserve"> PAGEREF _Toc45546614 \h </w:instrText>
            </w:r>
            <w:r w:rsidR="0062144F">
              <w:rPr>
                <w:noProof/>
                <w:webHidden/>
              </w:rPr>
            </w:r>
            <w:r w:rsidR="0062144F">
              <w:rPr>
                <w:noProof/>
                <w:webHidden/>
              </w:rPr>
              <w:fldChar w:fldCharType="separate"/>
            </w:r>
            <w:r w:rsidR="00084F54">
              <w:rPr>
                <w:noProof/>
                <w:webHidden/>
              </w:rPr>
              <w:t>11</w:t>
            </w:r>
            <w:r w:rsidR="0062144F">
              <w:rPr>
                <w:noProof/>
                <w:webHidden/>
              </w:rPr>
              <w:fldChar w:fldCharType="end"/>
            </w:r>
          </w:hyperlink>
        </w:p>
        <w:p w14:paraId="36B93996" w14:textId="67E985AB" w:rsidR="0062144F" w:rsidRDefault="00A96663" w:rsidP="0062144F">
          <w:pPr>
            <w:pStyle w:val="TOC3"/>
            <w:tabs>
              <w:tab w:val="right" w:leader="dot" w:pos="9016"/>
            </w:tabs>
            <w:spacing w:after="0" w:line="276" w:lineRule="auto"/>
            <w:rPr>
              <w:rFonts w:asciiTheme="minorHAnsi" w:eastAsiaTheme="minorEastAsia" w:hAnsiTheme="minorHAnsi" w:cstheme="minorBidi"/>
              <w:noProof/>
              <w:sz w:val="22"/>
              <w:szCs w:val="22"/>
            </w:rPr>
          </w:pPr>
          <w:hyperlink w:anchor="_Toc45546615" w:history="1">
            <w:r w:rsidR="0062144F" w:rsidRPr="0008430E">
              <w:rPr>
                <w:rStyle w:val="Hyperlink"/>
                <w:noProof/>
              </w:rPr>
              <w:t>Demonstrating partnership</w:t>
            </w:r>
            <w:r w:rsidR="0062144F">
              <w:rPr>
                <w:noProof/>
                <w:webHidden/>
              </w:rPr>
              <w:tab/>
            </w:r>
            <w:r w:rsidR="0062144F">
              <w:rPr>
                <w:noProof/>
                <w:webHidden/>
              </w:rPr>
              <w:fldChar w:fldCharType="begin"/>
            </w:r>
            <w:r w:rsidR="0062144F">
              <w:rPr>
                <w:noProof/>
                <w:webHidden/>
              </w:rPr>
              <w:instrText xml:space="preserve"> PAGEREF _Toc45546615 \h </w:instrText>
            </w:r>
            <w:r w:rsidR="0062144F">
              <w:rPr>
                <w:noProof/>
                <w:webHidden/>
              </w:rPr>
            </w:r>
            <w:r w:rsidR="0062144F">
              <w:rPr>
                <w:noProof/>
                <w:webHidden/>
              </w:rPr>
              <w:fldChar w:fldCharType="separate"/>
            </w:r>
            <w:r w:rsidR="00084F54">
              <w:rPr>
                <w:noProof/>
                <w:webHidden/>
              </w:rPr>
              <w:t>11</w:t>
            </w:r>
            <w:r w:rsidR="0062144F">
              <w:rPr>
                <w:noProof/>
                <w:webHidden/>
              </w:rPr>
              <w:fldChar w:fldCharType="end"/>
            </w:r>
          </w:hyperlink>
        </w:p>
        <w:p w14:paraId="7AE2FCBD" w14:textId="6C0E6310"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16" w:history="1">
            <w:r w:rsidR="0062144F" w:rsidRPr="0008430E">
              <w:rPr>
                <w:rStyle w:val="Hyperlink"/>
                <w:noProof/>
              </w:rPr>
              <w:t>4.5 Information</w:t>
            </w:r>
            <w:r w:rsidR="0062144F">
              <w:rPr>
                <w:noProof/>
                <w:webHidden/>
              </w:rPr>
              <w:tab/>
            </w:r>
            <w:r w:rsidR="0062144F">
              <w:rPr>
                <w:noProof/>
                <w:webHidden/>
              </w:rPr>
              <w:fldChar w:fldCharType="begin"/>
            </w:r>
            <w:r w:rsidR="0062144F">
              <w:rPr>
                <w:noProof/>
                <w:webHidden/>
              </w:rPr>
              <w:instrText xml:space="preserve"> PAGEREF _Toc45546616 \h </w:instrText>
            </w:r>
            <w:r w:rsidR="0062144F">
              <w:rPr>
                <w:noProof/>
                <w:webHidden/>
              </w:rPr>
            </w:r>
            <w:r w:rsidR="0062144F">
              <w:rPr>
                <w:noProof/>
                <w:webHidden/>
              </w:rPr>
              <w:fldChar w:fldCharType="separate"/>
            </w:r>
            <w:r w:rsidR="00084F54">
              <w:rPr>
                <w:noProof/>
                <w:webHidden/>
              </w:rPr>
              <w:t>11</w:t>
            </w:r>
            <w:r w:rsidR="0062144F">
              <w:rPr>
                <w:noProof/>
                <w:webHidden/>
              </w:rPr>
              <w:fldChar w:fldCharType="end"/>
            </w:r>
          </w:hyperlink>
        </w:p>
        <w:p w14:paraId="7106E946" w14:textId="09B3D0A8" w:rsidR="0062144F" w:rsidRDefault="00A96663" w:rsidP="0062144F">
          <w:pPr>
            <w:pStyle w:val="TOC3"/>
            <w:tabs>
              <w:tab w:val="right" w:leader="dot" w:pos="9016"/>
            </w:tabs>
            <w:spacing w:after="0" w:line="276" w:lineRule="auto"/>
            <w:rPr>
              <w:rFonts w:asciiTheme="minorHAnsi" w:eastAsiaTheme="minorEastAsia" w:hAnsiTheme="minorHAnsi" w:cstheme="minorBidi"/>
              <w:noProof/>
              <w:sz w:val="22"/>
              <w:szCs w:val="22"/>
            </w:rPr>
          </w:pPr>
          <w:hyperlink w:anchor="_Toc45546617" w:history="1">
            <w:r w:rsidR="0062144F" w:rsidRPr="0008430E">
              <w:rPr>
                <w:rStyle w:val="Hyperlink"/>
                <w:noProof/>
              </w:rPr>
              <w:t>Communicating directly</w:t>
            </w:r>
            <w:r w:rsidR="0062144F">
              <w:rPr>
                <w:noProof/>
                <w:webHidden/>
              </w:rPr>
              <w:tab/>
            </w:r>
            <w:r w:rsidR="0062144F">
              <w:rPr>
                <w:noProof/>
                <w:webHidden/>
              </w:rPr>
              <w:fldChar w:fldCharType="begin"/>
            </w:r>
            <w:r w:rsidR="0062144F">
              <w:rPr>
                <w:noProof/>
                <w:webHidden/>
              </w:rPr>
              <w:instrText xml:space="preserve"> PAGEREF _Toc45546617 \h </w:instrText>
            </w:r>
            <w:r w:rsidR="0062144F">
              <w:rPr>
                <w:noProof/>
                <w:webHidden/>
              </w:rPr>
            </w:r>
            <w:r w:rsidR="0062144F">
              <w:rPr>
                <w:noProof/>
                <w:webHidden/>
              </w:rPr>
              <w:fldChar w:fldCharType="separate"/>
            </w:r>
            <w:r w:rsidR="00084F54">
              <w:rPr>
                <w:noProof/>
                <w:webHidden/>
              </w:rPr>
              <w:t>12</w:t>
            </w:r>
            <w:r w:rsidR="0062144F">
              <w:rPr>
                <w:noProof/>
                <w:webHidden/>
              </w:rPr>
              <w:fldChar w:fldCharType="end"/>
            </w:r>
          </w:hyperlink>
        </w:p>
        <w:p w14:paraId="31302422" w14:textId="24C189D5"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18" w:history="1">
            <w:r w:rsidR="0062144F" w:rsidRPr="0008430E">
              <w:rPr>
                <w:rStyle w:val="Hyperlink"/>
                <w:noProof/>
              </w:rPr>
              <w:t>4.6 Giving Feedback</w:t>
            </w:r>
            <w:r w:rsidR="0062144F">
              <w:rPr>
                <w:noProof/>
                <w:webHidden/>
              </w:rPr>
              <w:tab/>
            </w:r>
            <w:r w:rsidR="0062144F">
              <w:rPr>
                <w:noProof/>
                <w:webHidden/>
              </w:rPr>
              <w:fldChar w:fldCharType="begin"/>
            </w:r>
            <w:r w:rsidR="0062144F">
              <w:rPr>
                <w:noProof/>
                <w:webHidden/>
              </w:rPr>
              <w:instrText xml:space="preserve"> PAGEREF _Toc45546618 \h </w:instrText>
            </w:r>
            <w:r w:rsidR="0062144F">
              <w:rPr>
                <w:noProof/>
                <w:webHidden/>
              </w:rPr>
            </w:r>
            <w:r w:rsidR="0062144F">
              <w:rPr>
                <w:noProof/>
                <w:webHidden/>
              </w:rPr>
              <w:fldChar w:fldCharType="separate"/>
            </w:r>
            <w:r w:rsidR="00084F54">
              <w:rPr>
                <w:noProof/>
                <w:webHidden/>
              </w:rPr>
              <w:t>13</w:t>
            </w:r>
            <w:r w:rsidR="0062144F">
              <w:rPr>
                <w:noProof/>
                <w:webHidden/>
              </w:rPr>
              <w:fldChar w:fldCharType="end"/>
            </w:r>
          </w:hyperlink>
        </w:p>
        <w:p w14:paraId="1EE6F004" w14:textId="1323A9DE"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19" w:history="1">
            <w:r w:rsidR="0062144F" w:rsidRPr="0008430E">
              <w:rPr>
                <w:rStyle w:val="Hyperlink"/>
                <w:noProof/>
              </w:rPr>
              <w:t>4.7 Privacy</w:t>
            </w:r>
            <w:r w:rsidR="0062144F">
              <w:rPr>
                <w:noProof/>
                <w:webHidden/>
              </w:rPr>
              <w:tab/>
            </w:r>
            <w:r w:rsidR="0062144F">
              <w:rPr>
                <w:noProof/>
                <w:webHidden/>
              </w:rPr>
              <w:fldChar w:fldCharType="begin"/>
            </w:r>
            <w:r w:rsidR="0062144F">
              <w:rPr>
                <w:noProof/>
                <w:webHidden/>
              </w:rPr>
              <w:instrText xml:space="preserve"> PAGEREF _Toc45546619 \h </w:instrText>
            </w:r>
            <w:r w:rsidR="0062144F">
              <w:rPr>
                <w:noProof/>
                <w:webHidden/>
              </w:rPr>
            </w:r>
            <w:r w:rsidR="0062144F">
              <w:rPr>
                <w:noProof/>
                <w:webHidden/>
              </w:rPr>
              <w:fldChar w:fldCharType="separate"/>
            </w:r>
            <w:r w:rsidR="00084F54">
              <w:rPr>
                <w:noProof/>
                <w:webHidden/>
              </w:rPr>
              <w:t>13</w:t>
            </w:r>
            <w:r w:rsidR="0062144F">
              <w:rPr>
                <w:noProof/>
                <w:webHidden/>
              </w:rPr>
              <w:fldChar w:fldCharType="end"/>
            </w:r>
          </w:hyperlink>
        </w:p>
        <w:p w14:paraId="1C927DC1" w14:textId="3E4572B6" w:rsidR="0062144F" w:rsidRDefault="00A96663" w:rsidP="0062144F">
          <w:pPr>
            <w:pStyle w:val="TOC2"/>
            <w:tabs>
              <w:tab w:val="right" w:leader="dot" w:pos="9016"/>
            </w:tabs>
            <w:spacing w:line="276" w:lineRule="auto"/>
            <w:rPr>
              <w:rFonts w:asciiTheme="minorHAnsi" w:eastAsiaTheme="minorEastAsia" w:hAnsiTheme="minorHAnsi" w:cstheme="minorBidi"/>
              <w:noProof/>
              <w:sz w:val="22"/>
              <w:szCs w:val="22"/>
            </w:rPr>
          </w:pPr>
          <w:hyperlink w:anchor="_Toc45546620" w:history="1">
            <w:r w:rsidR="0062144F" w:rsidRPr="0008430E">
              <w:rPr>
                <w:rStyle w:val="Hyperlink"/>
                <w:noProof/>
              </w:rPr>
              <w:t>4.8 Blindness and vision loss</w:t>
            </w:r>
            <w:r w:rsidR="0062144F">
              <w:rPr>
                <w:noProof/>
                <w:webHidden/>
              </w:rPr>
              <w:tab/>
            </w:r>
            <w:r w:rsidR="0062144F">
              <w:rPr>
                <w:noProof/>
                <w:webHidden/>
              </w:rPr>
              <w:fldChar w:fldCharType="begin"/>
            </w:r>
            <w:r w:rsidR="0062144F">
              <w:rPr>
                <w:noProof/>
                <w:webHidden/>
              </w:rPr>
              <w:instrText xml:space="preserve"> PAGEREF _Toc45546620 \h </w:instrText>
            </w:r>
            <w:r w:rsidR="0062144F">
              <w:rPr>
                <w:noProof/>
                <w:webHidden/>
              </w:rPr>
            </w:r>
            <w:r w:rsidR="0062144F">
              <w:rPr>
                <w:noProof/>
                <w:webHidden/>
              </w:rPr>
              <w:fldChar w:fldCharType="separate"/>
            </w:r>
            <w:r w:rsidR="00084F54">
              <w:rPr>
                <w:noProof/>
                <w:webHidden/>
              </w:rPr>
              <w:t>14</w:t>
            </w:r>
            <w:r w:rsidR="0062144F">
              <w:rPr>
                <w:noProof/>
                <w:webHidden/>
              </w:rPr>
              <w:fldChar w:fldCharType="end"/>
            </w:r>
          </w:hyperlink>
        </w:p>
        <w:p w14:paraId="3AEF26B6" w14:textId="26C9F9C3" w:rsidR="0062144F" w:rsidRDefault="00A96663" w:rsidP="0062144F">
          <w:pPr>
            <w:pStyle w:val="TOC1"/>
            <w:tabs>
              <w:tab w:val="right" w:leader="dot" w:pos="9016"/>
            </w:tabs>
            <w:spacing w:line="276" w:lineRule="auto"/>
            <w:rPr>
              <w:rFonts w:asciiTheme="minorHAnsi" w:eastAsiaTheme="minorEastAsia" w:hAnsiTheme="minorHAnsi" w:cstheme="minorBidi"/>
              <w:noProof/>
              <w:sz w:val="22"/>
              <w:szCs w:val="22"/>
            </w:rPr>
          </w:pPr>
          <w:hyperlink w:anchor="_Toc45546621" w:history="1">
            <w:r w:rsidR="0062144F" w:rsidRPr="0008430E">
              <w:rPr>
                <w:rStyle w:val="Hyperlink"/>
                <w:noProof/>
              </w:rPr>
              <w:t>5. Glossary of key terms</w:t>
            </w:r>
            <w:r w:rsidR="0062144F">
              <w:rPr>
                <w:noProof/>
                <w:webHidden/>
              </w:rPr>
              <w:tab/>
            </w:r>
            <w:r w:rsidR="0062144F">
              <w:rPr>
                <w:noProof/>
                <w:webHidden/>
              </w:rPr>
              <w:fldChar w:fldCharType="begin"/>
            </w:r>
            <w:r w:rsidR="0062144F">
              <w:rPr>
                <w:noProof/>
                <w:webHidden/>
              </w:rPr>
              <w:instrText xml:space="preserve"> PAGEREF _Toc45546621 \h </w:instrText>
            </w:r>
            <w:r w:rsidR="0062144F">
              <w:rPr>
                <w:noProof/>
                <w:webHidden/>
              </w:rPr>
            </w:r>
            <w:r w:rsidR="0062144F">
              <w:rPr>
                <w:noProof/>
                <w:webHidden/>
              </w:rPr>
              <w:fldChar w:fldCharType="separate"/>
            </w:r>
            <w:r w:rsidR="00084F54">
              <w:rPr>
                <w:noProof/>
                <w:webHidden/>
              </w:rPr>
              <w:t>15</w:t>
            </w:r>
            <w:r w:rsidR="0062144F">
              <w:rPr>
                <w:noProof/>
                <w:webHidden/>
              </w:rPr>
              <w:fldChar w:fldCharType="end"/>
            </w:r>
          </w:hyperlink>
        </w:p>
        <w:p w14:paraId="03ACE68B" w14:textId="0D54949D" w:rsidR="0062144F" w:rsidRDefault="00A96663" w:rsidP="0062144F">
          <w:pPr>
            <w:pStyle w:val="TOC1"/>
            <w:tabs>
              <w:tab w:val="right" w:leader="dot" w:pos="9016"/>
            </w:tabs>
            <w:spacing w:line="276" w:lineRule="auto"/>
            <w:rPr>
              <w:rFonts w:asciiTheme="minorHAnsi" w:eastAsiaTheme="minorEastAsia" w:hAnsiTheme="minorHAnsi" w:cstheme="minorBidi"/>
              <w:noProof/>
              <w:sz w:val="22"/>
              <w:szCs w:val="22"/>
            </w:rPr>
          </w:pPr>
          <w:hyperlink w:anchor="_Toc45546622" w:history="1">
            <w:r w:rsidR="0062144F" w:rsidRPr="0008430E">
              <w:rPr>
                <w:rStyle w:val="Hyperlink"/>
                <w:noProof/>
              </w:rPr>
              <w:t>6. Other relevant research</w:t>
            </w:r>
            <w:r w:rsidR="0062144F">
              <w:rPr>
                <w:noProof/>
                <w:webHidden/>
              </w:rPr>
              <w:tab/>
            </w:r>
            <w:r w:rsidR="0062144F">
              <w:rPr>
                <w:noProof/>
                <w:webHidden/>
              </w:rPr>
              <w:fldChar w:fldCharType="begin"/>
            </w:r>
            <w:r w:rsidR="0062144F">
              <w:rPr>
                <w:noProof/>
                <w:webHidden/>
              </w:rPr>
              <w:instrText xml:space="preserve"> PAGEREF _Toc45546622 \h </w:instrText>
            </w:r>
            <w:r w:rsidR="0062144F">
              <w:rPr>
                <w:noProof/>
                <w:webHidden/>
              </w:rPr>
            </w:r>
            <w:r w:rsidR="0062144F">
              <w:rPr>
                <w:noProof/>
                <w:webHidden/>
              </w:rPr>
              <w:fldChar w:fldCharType="separate"/>
            </w:r>
            <w:r w:rsidR="00084F54">
              <w:rPr>
                <w:noProof/>
                <w:webHidden/>
              </w:rPr>
              <w:t>16</w:t>
            </w:r>
            <w:r w:rsidR="0062144F">
              <w:rPr>
                <w:noProof/>
                <w:webHidden/>
              </w:rPr>
              <w:fldChar w:fldCharType="end"/>
            </w:r>
          </w:hyperlink>
        </w:p>
        <w:p w14:paraId="2C86DF41" w14:textId="1B150E7B" w:rsidR="00FC37AB" w:rsidRDefault="00FC37AB">
          <w:r w:rsidRPr="00FC37AB">
            <w:rPr>
              <w:rFonts w:asciiTheme="minorHAnsi" w:hAnsiTheme="minorHAnsi" w:cstheme="minorHAnsi"/>
              <w:b/>
              <w:bCs/>
              <w:noProof/>
            </w:rPr>
            <w:fldChar w:fldCharType="end"/>
          </w:r>
        </w:p>
      </w:sdtContent>
    </w:sdt>
    <w:p w14:paraId="7A7DF628" w14:textId="1DB089F4" w:rsidR="000B6BC6" w:rsidRDefault="000B6BC6">
      <w:pPr>
        <w:spacing w:after="160" w:line="259" w:lineRule="auto"/>
        <w:rPr>
          <w:rFonts w:hAnsi="Times New Roman"/>
        </w:rPr>
      </w:pPr>
    </w:p>
    <w:p w14:paraId="4D595D42" w14:textId="77777777" w:rsidR="000B6BC6" w:rsidRDefault="00A92C4D">
      <w:pPr>
        <w:rPr>
          <w:rFonts w:hAnsi="Times New Roman"/>
        </w:rPr>
      </w:pPr>
      <w:r>
        <w:br w:type="page"/>
      </w:r>
    </w:p>
    <w:p w14:paraId="6611012B" w14:textId="77777777" w:rsidR="009C3919" w:rsidRPr="009C3919" w:rsidRDefault="009C3919" w:rsidP="009C3919">
      <w:pPr>
        <w:pStyle w:val="Heading1"/>
      </w:pPr>
      <w:bookmarkStart w:id="1" w:name="_Toc45546602"/>
      <w:r w:rsidRPr="009C3919">
        <w:lastRenderedPageBreak/>
        <w:t>Executive summary</w:t>
      </w:r>
      <w:bookmarkEnd w:id="1"/>
    </w:p>
    <w:p w14:paraId="060FF8A7" w14:textId="41C4AFF2" w:rsidR="004F3AE3" w:rsidRDefault="009C3919" w:rsidP="004F3AE3">
      <w:r>
        <w:t xml:space="preserve">The Healthcare Policy covers the central tenets of healthcare service provision to people who are blind or vision impaired. It is founded on the </w:t>
      </w:r>
      <w:r w:rsidR="004F3AE3">
        <w:t xml:space="preserve">Australian </w:t>
      </w:r>
      <w:r>
        <w:t xml:space="preserve">Charter of </w:t>
      </w:r>
      <w:r w:rsidR="004F3AE3">
        <w:t xml:space="preserve">Health Care </w:t>
      </w:r>
      <w:r>
        <w:t>Rights (2</w:t>
      </w:r>
      <w:r w:rsidRPr="009C3919">
        <w:rPr>
          <w:vertAlign w:val="superscript"/>
        </w:rPr>
        <w:t>nd</w:t>
      </w:r>
      <w:r>
        <w:t xml:space="preserve"> edition</w:t>
      </w:r>
      <w:r w:rsidR="004F3AE3">
        <w:t xml:space="preserve"> 2019</w:t>
      </w:r>
      <w:r>
        <w:t>)</w:t>
      </w:r>
      <w:r w:rsidR="004F3AE3">
        <w:t>, produced by the Australian commission on Safety and Quality in Health Care.</w:t>
      </w:r>
      <w:r>
        <w:t xml:space="preserve"> </w:t>
      </w:r>
      <w:r w:rsidR="004F3AE3">
        <w:t>The Charter describes the rights that consumers, or someone they care for, can expect when receiving health care.</w:t>
      </w:r>
    </w:p>
    <w:p w14:paraId="4D3D8A6A" w14:textId="159EEDC6" w:rsidR="009C3919" w:rsidRDefault="004F3AE3" w:rsidP="004F3AE3">
      <w:r>
        <w:t>These rights apply to all people in all places where health care is provided in Australia. This includes public and private hospitals, day procedure services,</w:t>
      </w:r>
      <w:r w:rsidR="0068767C">
        <w:t xml:space="preserve"> </w:t>
      </w:r>
      <w:r>
        <w:t>general practice</w:t>
      </w:r>
      <w:r w:rsidR="00EF144A">
        <w:t>,</w:t>
      </w:r>
      <w:r>
        <w:t xml:space="preserve"> and other community health services.</w:t>
      </w:r>
    </w:p>
    <w:p w14:paraId="45353085" w14:textId="77777777" w:rsidR="009C3919" w:rsidRDefault="009C3919" w:rsidP="009C3919"/>
    <w:p w14:paraId="660BC408" w14:textId="08F2B063" w:rsidR="009C3919" w:rsidRDefault="009C3919" w:rsidP="009C3919">
      <w:r>
        <w:t>The major elements of the policy are th</w:t>
      </w:r>
      <w:r w:rsidR="00575964">
        <w:t xml:space="preserve">at the </w:t>
      </w:r>
      <w:r>
        <w:t>following</w:t>
      </w:r>
      <w:r w:rsidR="00575964">
        <w:t xml:space="preserve"> principles are applied for healthcare provision to people who are blind or vision impaired</w:t>
      </w:r>
      <w:r w:rsidR="009E4930">
        <w:t xml:space="preserve"> (referred to below as ‘people’)</w:t>
      </w:r>
      <w:r w:rsidR="00215031">
        <w:t>.</w:t>
      </w:r>
    </w:p>
    <w:p w14:paraId="2BB05628" w14:textId="5AD13633" w:rsidR="009C3919" w:rsidRDefault="009C3919" w:rsidP="00571C60">
      <w:pPr>
        <w:pStyle w:val="ListParagraph"/>
        <w:numPr>
          <w:ilvl w:val="0"/>
          <w:numId w:val="18"/>
        </w:numPr>
      </w:pPr>
      <w:r w:rsidRPr="009C3919">
        <w:rPr>
          <w:b/>
          <w:bCs/>
        </w:rPr>
        <w:t>Respect</w:t>
      </w:r>
      <w:r>
        <w:t xml:space="preserve"> manifests through allowing</w:t>
      </w:r>
      <w:r w:rsidR="00215031">
        <w:t xml:space="preserve"> people to make</w:t>
      </w:r>
      <w:r>
        <w:t xml:space="preserve"> decisions about their </w:t>
      </w:r>
      <w:r w:rsidR="00215031">
        <w:t xml:space="preserve">own </w:t>
      </w:r>
      <w:r>
        <w:t>healthcare, communi</w:t>
      </w:r>
      <w:r w:rsidR="00215031">
        <w:t>cating</w:t>
      </w:r>
      <w:r>
        <w:t xml:space="preserve"> clearly and effectively with respect to their specific needs.</w:t>
      </w:r>
    </w:p>
    <w:p w14:paraId="5042BFC3" w14:textId="3EA9CC05" w:rsidR="009C3919" w:rsidRDefault="009C3919" w:rsidP="00571C60">
      <w:pPr>
        <w:pStyle w:val="ListParagraph"/>
        <w:numPr>
          <w:ilvl w:val="0"/>
          <w:numId w:val="18"/>
        </w:numPr>
      </w:pPr>
      <w:r w:rsidRPr="009C3919">
        <w:rPr>
          <w:b/>
          <w:bCs/>
        </w:rPr>
        <w:t>Access</w:t>
      </w:r>
      <w:r>
        <w:t xml:space="preserve"> particularly pertains to physical access and</w:t>
      </w:r>
      <w:r w:rsidR="00551B03">
        <w:t xml:space="preserve"> access to information</w:t>
      </w:r>
      <w:r>
        <w:t xml:space="preserve">. Physical access means </w:t>
      </w:r>
      <w:r w:rsidR="00215031">
        <w:t xml:space="preserve">being able to safely </w:t>
      </w:r>
      <w:r>
        <w:t>move</w:t>
      </w:r>
      <w:r w:rsidR="00215031">
        <w:t xml:space="preserve"> </w:t>
      </w:r>
      <w:r>
        <w:t>around a</w:t>
      </w:r>
      <w:r w:rsidR="00215031">
        <w:t xml:space="preserve">n unobstructed </w:t>
      </w:r>
      <w:r>
        <w:t>healthcare setting</w:t>
      </w:r>
      <w:r w:rsidR="00215031">
        <w:t xml:space="preserve">. </w:t>
      </w:r>
      <w:r w:rsidRPr="009C3919">
        <w:rPr>
          <w:rFonts w:hAnsi="Times New Roman"/>
        </w:rPr>
        <w:t xml:space="preserve">Accessible format documents include braille, large print, </w:t>
      </w:r>
      <w:r w:rsidR="00767F97">
        <w:rPr>
          <w:rFonts w:hAnsi="Times New Roman"/>
        </w:rPr>
        <w:t xml:space="preserve">accessibly formatted </w:t>
      </w:r>
      <w:r w:rsidRPr="009C3919">
        <w:rPr>
          <w:rFonts w:hAnsi="Times New Roman"/>
        </w:rPr>
        <w:t>electronic, and audio formats.</w:t>
      </w:r>
    </w:p>
    <w:p w14:paraId="7E44D39B" w14:textId="585C896D" w:rsidR="009C3919" w:rsidRDefault="009C3919" w:rsidP="00571C60">
      <w:pPr>
        <w:pStyle w:val="ListParagraph"/>
        <w:numPr>
          <w:ilvl w:val="0"/>
          <w:numId w:val="18"/>
        </w:numPr>
      </w:pPr>
      <w:r w:rsidRPr="009C3919">
        <w:rPr>
          <w:b/>
          <w:bCs/>
        </w:rPr>
        <w:t>Safety</w:t>
      </w:r>
      <w:r w:rsidR="00575964">
        <w:rPr>
          <w:b/>
          <w:bCs/>
        </w:rPr>
        <w:t xml:space="preserve"> </w:t>
      </w:r>
      <w:r w:rsidR="00575964">
        <w:t xml:space="preserve">is </w:t>
      </w:r>
      <w:r>
        <w:t>demonstrated through allowing choice in healthcare provision, making clear risks and benefits of any treatment, ability to decline any treatment and physical safety</w:t>
      </w:r>
      <w:r w:rsidR="00215031">
        <w:t>, i</w:t>
      </w:r>
      <w:r>
        <w:t>n moving around a healthcare setting.</w:t>
      </w:r>
    </w:p>
    <w:p w14:paraId="6DF67AF4" w14:textId="5F590A90" w:rsidR="009C3919" w:rsidRDefault="009C3919" w:rsidP="00571C60">
      <w:pPr>
        <w:pStyle w:val="ListParagraph"/>
        <w:numPr>
          <w:ilvl w:val="0"/>
          <w:numId w:val="18"/>
        </w:numPr>
      </w:pPr>
      <w:r w:rsidRPr="009C3919">
        <w:rPr>
          <w:b/>
          <w:bCs/>
        </w:rPr>
        <w:t>Partnership</w:t>
      </w:r>
      <w:r w:rsidR="00284E74">
        <w:rPr>
          <w:b/>
          <w:bCs/>
        </w:rPr>
        <w:t xml:space="preserve"> </w:t>
      </w:r>
      <w:r w:rsidR="00284E74">
        <w:t>means that</w:t>
      </w:r>
      <w:r w:rsidR="00575964">
        <w:t xml:space="preserve"> anyone is not exploited in receiving healthcare. Any healthcare practitioner must communicate openly and honestly about service provision. Further, they must allow choice in who is involved in healthcare planning and provision. </w:t>
      </w:r>
    </w:p>
    <w:p w14:paraId="786A2E28" w14:textId="0236EEAE" w:rsidR="009C3919" w:rsidRPr="0052229E" w:rsidRDefault="009F56AA" w:rsidP="00571C60">
      <w:pPr>
        <w:pStyle w:val="ListParagraph"/>
        <w:numPr>
          <w:ilvl w:val="0"/>
          <w:numId w:val="18"/>
        </w:numPr>
      </w:pPr>
      <w:r w:rsidRPr="0052229E">
        <w:rPr>
          <w:rFonts w:hAnsi="Times New Roman"/>
          <w:b/>
          <w:bCs/>
        </w:rPr>
        <w:t>Information</w:t>
      </w:r>
      <w:r w:rsidRPr="0052229E">
        <w:rPr>
          <w:rFonts w:hAnsi="Times New Roman"/>
        </w:rPr>
        <w:t xml:space="preserve"> needs to be accessible and easy to understand. This includes information on websites</w:t>
      </w:r>
      <w:r w:rsidR="00575964" w:rsidRPr="0052229E">
        <w:t xml:space="preserve">. Further, people must be able to give informed consent when agreeing to service, by </w:t>
      </w:r>
      <w:r w:rsidR="00575964" w:rsidRPr="0052229E">
        <w:lastRenderedPageBreak/>
        <w:t>being provided with clear information</w:t>
      </w:r>
      <w:r w:rsidR="009E4930" w:rsidRPr="0052229E">
        <w:t>, including risks and benefits,</w:t>
      </w:r>
      <w:r w:rsidR="00575964" w:rsidRPr="0052229E">
        <w:t xml:space="preserve"> in </w:t>
      </w:r>
      <w:r w:rsidR="009E4930" w:rsidRPr="0052229E">
        <w:t xml:space="preserve">a </w:t>
      </w:r>
      <w:r w:rsidR="00575964" w:rsidRPr="0052229E">
        <w:t>preferred format</w:t>
      </w:r>
      <w:r w:rsidR="009E4930" w:rsidRPr="0052229E">
        <w:t>.</w:t>
      </w:r>
    </w:p>
    <w:p w14:paraId="658722CB" w14:textId="5197D5D9" w:rsidR="009C3919" w:rsidRPr="00575964" w:rsidRDefault="009C3919" w:rsidP="00571C60">
      <w:pPr>
        <w:pStyle w:val="ListParagraph"/>
        <w:numPr>
          <w:ilvl w:val="0"/>
          <w:numId w:val="18"/>
        </w:numPr>
      </w:pPr>
      <w:r w:rsidRPr="00575964">
        <w:rPr>
          <w:b/>
          <w:bCs/>
        </w:rPr>
        <w:t>Giving</w:t>
      </w:r>
      <w:r w:rsidRPr="00575964">
        <w:t xml:space="preserve"> </w:t>
      </w:r>
      <w:r w:rsidRPr="00575964">
        <w:rPr>
          <w:b/>
          <w:bCs/>
        </w:rPr>
        <w:t>feedback</w:t>
      </w:r>
      <w:r w:rsidRPr="00575964">
        <w:t xml:space="preserve"> </w:t>
      </w:r>
      <w:r w:rsidR="00575964">
        <w:t>is the right of anyone receiving healthcare, to improve services. It should not compromise future service.</w:t>
      </w:r>
    </w:p>
    <w:p w14:paraId="34502EE0" w14:textId="4E86F936" w:rsidR="009C3919" w:rsidRDefault="009C3919" w:rsidP="00571C60">
      <w:pPr>
        <w:pStyle w:val="ListParagraph"/>
        <w:numPr>
          <w:ilvl w:val="0"/>
          <w:numId w:val="18"/>
        </w:numPr>
      </w:pPr>
      <w:r w:rsidRPr="00575964">
        <w:rPr>
          <w:b/>
          <w:bCs/>
        </w:rPr>
        <w:t>Privacy</w:t>
      </w:r>
      <w:r w:rsidR="00575964">
        <w:rPr>
          <w:b/>
          <w:bCs/>
        </w:rPr>
        <w:t xml:space="preserve"> </w:t>
      </w:r>
      <w:r w:rsidR="00575964">
        <w:t>is</w:t>
      </w:r>
      <w:r w:rsidR="00215031">
        <w:t xml:space="preserve"> maintained by keeping medical files and sensitive information in secure format, either electronically or physically. Additionally, sensitive information should only be provided in a setting preventing eavesdropping. </w:t>
      </w:r>
    </w:p>
    <w:p w14:paraId="2B13670F" w14:textId="77777777" w:rsidR="0052229E" w:rsidRPr="009C3919" w:rsidRDefault="0052229E" w:rsidP="0052229E">
      <w:pPr>
        <w:pStyle w:val="ListParagraph"/>
      </w:pPr>
    </w:p>
    <w:p w14:paraId="785B8936" w14:textId="6D2B61B4" w:rsidR="000B6BC6" w:rsidRDefault="00A92C4D" w:rsidP="005D2D3B">
      <w:pPr>
        <w:pStyle w:val="Heading2"/>
      </w:pPr>
      <w:bookmarkStart w:id="2" w:name="_Toc45546603"/>
      <w:r>
        <w:t>About Blind Citizens Australia</w:t>
      </w:r>
      <w:bookmarkEnd w:id="2"/>
    </w:p>
    <w:p w14:paraId="6AABCD75" w14:textId="77777777" w:rsidR="000B6BC6" w:rsidRPr="003C7FDC" w:rsidRDefault="00A92C4D" w:rsidP="003C7FDC">
      <w:bookmarkStart w:id="3" w:name="_Hlk43899198"/>
      <w:r w:rsidRPr="003C7FDC">
        <w:t>Blind Citizens Australia (BCA) is the national representative organisation of people who are blind or vision impaired. Our mission is to inform, connect, and empower Australians who are blind or vision impaired and the broader community.</w:t>
      </w:r>
      <w:bookmarkEnd w:id="3"/>
    </w:p>
    <w:p w14:paraId="5BF5F09F" w14:textId="77777777" w:rsidR="000B6BC6" w:rsidRPr="003C7FDC" w:rsidRDefault="000B6BC6" w:rsidP="003C7FDC"/>
    <w:p w14:paraId="051CEBEA" w14:textId="77777777" w:rsidR="000B6BC6" w:rsidRPr="003C7FDC" w:rsidRDefault="00A92C4D" w:rsidP="003C7FDC">
      <w:r w:rsidRPr="003C7FDC">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419335EB" w14:textId="77777777" w:rsidR="000B6BC6" w:rsidRPr="003C7FDC" w:rsidRDefault="000B6BC6" w:rsidP="003C7FDC"/>
    <w:p w14:paraId="47883DE8" w14:textId="77777777" w:rsidR="000B6BC6" w:rsidRPr="003C7FDC" w:rsidRDefault="00A92C4D" w:rsidP="003C7FDC">
      <w:r w:rsidRPr="003C7FDC">
        <w:t>As a consumer-based organisation, our work is directly informed by lived experience of blindness and vision impairment. Our members, our Directors, and most of our staff are blind or vision impaired.</w:t>
      </w:r>
    </w:p>
    <w:p w14:paraId="50BBB656" w14:textId="77777777" w:rsidR="000B6BC6" w:rsidRDefault="000B6BC6">
      <w:pPr>
        <w:rPr>
          <w:rFonts w:hAnsi="Times New Roman"/>
          <w:sz w:val="24"/>
          <w:szCs w:val="24"/>
        </w:rPr>
      </w:pPr>
    </w:p>
    <w:p w14:paraId="4C4EDEE7" w14:textId="77777777" w:rsidR="000B6BC6" w:rsidRDefault="00A92C4D" w:rsidP="005D2D3B">
      <w:pPr>
        <w:pStyle w:val="Heading2"/>
      </w:pPr>
      <w:bookmarkStart w:id="4" w:name="_Toc45546604"/>
      <w:r>
        <w:t>About Australians who are blind or vision impaired</w:t>
      </w:r>
      <w:bookmarkEnd w:id="4"/>
    </w:p>
    <w:p w14:paraId="08CA1FB5" w14:textId="314CD918" w:rsidR="000B6BC6" w:rsidRDefault="00A92C4D">
      <w:pPr>
        <w:rPr>
          <w:rFonts w:hAnsi="Times New Roman"/>
        </w:rPr>
      </w:pPr>
      <w:r>
        <w:rPr>
          <w:rFonts w:hAnsi="Times New Roman"/>
        </w:rPr>
        <w:t xml:space="preserve">There are currently more than </w:t>
      </w:r>
      <w:r w:rsidR="00447876">
        <w:rPr>
          <w:lang w:val="en-GB"/>
        </w:rPr>
        <w:t xml:space="preserve">575,000 </w:t>
      </w:r>
      <w:r>
        <w:rPr>
          <w:rFonts w:hAnsi="Times New Roman"/>
        </w:rPr>
        <w:t xml:space="preserve">people who are blind or vision impaired in Australia. According to Vision 2020 Australia, around 80% of vision loss in Australia is caused by conditions that become more common as people age.  This raises </w:t>
      </w:r>
      <w:r w:rsidR="005D2D3B">
        <w:rPr>
          <w:rFonts w:hAnsi="Times New Roman"/>
        </w:rPr>
        <w:t>several</w:t>
      </w:r>
      <w:r>
        <w:rPr>
          <w:rFonts w:hAnsi="Times New Roman"/>
        </w:rPr>
        <w:t xml:space="preserve"> implications for Australia</w:t>
      </w:r>
      <w:r>
        <w:rPr>
          <w:rFonts w:hAnsi="Times New Roman"/>
        </w:rPr>
        <w:t>’</w:t>
      </w:r>
      <w:r>
        <w:rPr>
          <w:rFonts w:hAnsi="Times New Roman"/>
        </w:rPr>
        <w:t>s aging population, with one in every four Australians projected to be 65 years of age or older by the year 2056.</w:t>
      </w:r>
    </w:p>
    <w:p w14:paraId="4D2F29C9" w14:textId="77777777" w:rsidR="000B6BC6" w:rsidRDefault="000B6BC6">
      <w:pPr>
        <w:rPr>
          <w:rFonts w:hAnsi="Times New Roman"/>
        </w:rPr>
      </w:pPr>
    </w:p>
    <w:p w14:paraId="2562E55A" w14:textId="22656725" w:rsidR="000B6BC6" w:rsidRDefault="00A92C4D">
      <w:pPr>
        <w:rPr>
          <w:rFonts w:hAnsi="Times New Roman"/>
        </w:rPr>
      </w:pPr>
      <w:r>
        <w:rPr>
          <w:rFonts w:hAnsi="Times New Roman"/>
        </w:rPr>
        <w:lastRenderedPageBreak/>
        <w:t xml:space="preserve">Australians who are blind or vision impaired can live rich and active lives and make meaningful contributions to their communities,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way that makes them inclusive to the needs of all citizens </w:t>
      </w:r>
      <w:r>
        <w:rPr>
          <w:rFonts w:hAnsi="Times New Roman"/>
        </w:rPr>
        <w:t>–</w:t>
      </w:r>
      <w:r>
        <w:rPr>
          <w:rFonts w:hAnsi="Times New Roman"/>
        </w:rPr>
        <w:t xml:space="preserve"> including those who are blind or vision impaired.</w:t>
      </w:r>
    </w:p>
    <w:p w14:paraId="2732AEDD" w14:textId="77777777" w:rsidR="0052229E" w:rsidRDefault="0052229E">
      <w:pPr>
        <w:rPr>
          <w:rFonts w:hAnsi="Times New Roman"/>
        </w:rPr>
      </w:pPr>
    </w:p>
    <w:p w14:paraId="5E0585A9" w14:textId="77777777" w:rsidR="000B6BC6" w:rsidRDefault="00A92C4D" w:rsidP="009C3919">
      <w:pPr>
        <w:pStyle w:val="Heading1"/>
        <w:rPr>
          <w:rFonts w:eastAsia="Calibri" w:hAnsi="Calibri"/>
          <w:sz w:val="24"/>
          <w:szCs w:val="24"/>
        </w:rPr>
      </w:pPr>
      <w:bookmarkStart w:id="5" w:name="_Toc45546605"/>
      <w:r>
        <w:t>1. Purpose of this policy</w:t>
      </w:r>
      <w:bookmarkEnd w:id="5"/>
    </w:p>
    <w:p w14:paraId="14E587AD" w14:textId="77777777" w:rsidR="000B6BC6" w:rsidRDefault="00A92C4D">
      <w:pPr>
        <w:rPr>
          <w:rFonts w:hAnsi="Times New Roman"/>
        </w:rPr>
      </w:pPr>
      <w:r>
        <w:rPr>
          <w:rFonts w:hAnsi="Times New Roman"/>
        </w:rPr>
        <w:t xml:space="preserve">The Healthcare Policy has been developed to address all aspects of healthcare service provision to people who are blind or vision impaired. Blind Citizens Australia supports healthcare service provision in which people who are blind or vision impaired are treated with dignity and respect through the provision of safe and accessible healthcare options. </w:t>
      </w:r>
    </w:p>
    <w:p w14:paraId="4492C52C" w14:textId="77777777" w:rsidR="000B6BC6" w:rsidRDefault="000B6BC6">
      <w:pPr>
        <w:rPr>
          <w:rFonts w:hAnsi="Times New Roman"/>
        </w:rPr>
      </w:pPr>
    </w:p>
    <w:p w14:paraId="4DA31435" w14:textId="77777777" w:rsidR="000B6BC6" w:rsidRDefault="00A92C4D">
      <w:pPr>
        <w:rPr>
          <w:rFonts w:hAnsi="Times New Roman"/>
        </w:rPr>
      </w:pPr>
      <w:r>
        <w:rPr>
          <w:rFonts w:hAnsi="Times New Roman"/>
        </w:rPr>
        <w:t xml:space="preserve">The Healthcare Policy has been created as a resource for people who are blind or vision impaired, healthcare service providers, blindness service providers, and anyone else concerned with healthcare service provision, as it impacts people who are blind or vision impaired. </w:t>
      </w:r>
    </w:p>
    <w:p w14:paraId="044B0C53" w14:textId="77777777" w:rsidR="000B6BC6" w:rsidRDefault="000B6BC6">
      <w:pPr>
        <w:rPr>
          <w:rFonts w:hAnsi="Times New Roman"/>
        </w:rPr>
      </w:pPr>
    </w:p>
    <w:p w14:paraId="6AFF6DC7" w14:textId="4DA38000" w:rsidR="00141D97" w:rsidRDefault="00A92C4D">
      <w:pPr>
        <w:rPr>
          <w:rFonts w:hAnsi="Times New Roman"/>
        </w:rPr>
      </w:pPr>
      <w:r>
        <w:rPr>
          <w:rFonts w:hAnsi="Times New Roman"/>
        </w:rPr>
        <w:t>People who are blind or vision impaired can u</w:t>
      </w:r>
      <w:r w:rsidR="00C7078E">
        <w:rPr>
          <w:rFonts w:hAnsi="Times New Roman"/>
        </w:rPr>
        <w:t>s</w:t>
      </w:r>
      <w:r>
        <w:rPr>
          <w:rFonts w:hAnsi="Times New Roman"/>
        </w:rPr>
        <w:t xml:space="preserve">e this policy to advocate for accessible, inclusive, and safe healthcare. This is applicable whether they are a user of a healthcare service provider, or a carer, family member, or another person accessing a healthcare service provider. </w:t>
      </w:r>
    </w:p>
    <w:p w14:paraId="3AB51D5B" w14:textId="77777777" w:rsidR="00141D97" w:rsidRDefault="00141D97">
      <w:pPr>
        <w:rPr>
          <w:rFonts w:hAnsi="Times New Roman"/>
        </w:rPr>
      </w:pPr>
    </w:p>
    <w:p w14:paraId="262FAF92" w14:textId="40388B88" w:rsidR="000B6BC6" w:rsidRDefault="00A92C4D">
      <w:pPr>
        <w:rPr>
          <w:rFonts w:hAnsi="Times New Roman"/>
        </w:rPr>
      </w:pPr>
      <w:r>
        <w:rPr>
          <w:rFonts w:hAnsi="Times New Roman"/>
        </w:rPr>
        <w:t>Healthcare service providers can use the policy to understand how best practice care can be provided for people who are blind or vision impaired. Blindness service providers and others can use the policy to support their clients or stakeholders in accessing inclusive, safe, and accessible healthcare.</w:t>
      </w:r>
    </w:p>
    <w:p w14:paraId="0E6F28A4" w14:textId="77777777" w:rsidR="000B6BC6" w:rsidRDefault="000B6BC6">
      <w:pPr>
        <w:rPr>
          <w:rFonts w:hAnsi="Times New Roman"/>
        </w:rPr>
      </w:pPr>
    </w:p>
    <w:p w14:paraId="5976E2AF" w14:textId="77777777" w:rsidR="000B6BC6" w:rsidRDefault="00A92C4D">
      <w:pPr>
        <w:rPr>
          <w:rFonts w:hAnsi="Times New Roman"/>
        </w:rPr>
      </w:pPr>
      <w:r>
        <w:rPr>
          <w:rFonts w:hAnsi="Times New Roman"/>
        </w:rPr>
        <w:lastRenderedPageBreak/>
        <w:t xml:space="preserve">The Healthcare Policy has also been created to address the gap in healthcare provision and general health outcomes for people with disability, including those who are blind or vision impaired. </w:t>
      </w:r>
    </w:p>
    <w:p w14:paraId="40E33BE0" w14:textId="77777777" w:rsidR="000B6BC6" w:rsidRDefault="000B6BC6">
      <w:pPr>
        <w:rPr>
          <w:rFonts w:hAnsi="Times New Roman"/>
        </w:rPr>
      </w:pPr>
    </w:p>
    <w:p w14:paraId="687CD438" w14:textId="00E93AAA" w:rsidR="000B6BC6" w:rsidRDefault="00A92C4D">
      <w:pPr>
        <w:rPr>
          <w:rFonts w:hAnsi="Times New Roman"/>
        </w:rPr>
      </w:pPr>
      <w:r>
        <w:rPr>
          <w:rFonts w:hAnsi="Times New Roman"/>
        </w:rPr>
        <w:t xml:space="preserve">The Australian Bureau of Statistics (ABS), General Social Survey of 2014 reported that compared with people without disability, people with disability were less likely to report their health to be </w:t>
      </w:r>
      <w:r>
        <w:rPr>
          <w:rFonts w:hAnsi="Times New Roman"/>
        </w:rPr>
        <w:t>“</w:t>
      </w:r>
      <w:r>
        <w:rPr>
          <w:rFonts w:hAnsi="Times New Roman"/>
        </w:rPr>
        <w:t>good or excellent,</w:t>
      </w:r>
      <w:r>
        <w:rPr>
          <w:rFonts w:hAnsi="Times New Roman"/>
        </w:rPr>
        <w:t>”</w:t>
      </w:r>
      <w:r>
        <w:rPr>
          <w:rFonts w:hAnsi="Times New Roman"/>
        </w:rPr>
        <w:t xml:space="preserve"> and were more likely to have experienced barriers in accessing healthcare. It is hoped that this policy will contribute to eliminating some of these barriers.</w:t>
      </w:r>
    </w:p>
    <w:p w14:paraId="0E7C453B" w14:textId="77777777" w:rsidR="0052229E" w:rsidRDefault="0052229E">
      <w:pPr>
        <w:rPr>
          <w:rFonts w:hAnsi="Times New Roman"/>
        </w:rPr>
      </w:pPr>
    </w:p>
    <w:p w14:paraId="17E64C00" w14:textId="77777777" w:rsidR="000B6BC6" w:rsidRDefault="00A92C4D" w:rsidP="009C3919">
      <w:pPr>
        <w:pStyle w:val="Heading1"/>
      </w:pPr>
      <w:bookmarkStart w:id="6" w:name="_Toc45546606"/>
      <w:r>
        <w:t>2. How this policy should be used</w:t>
      </w:r>
      <w:bookmarkEnd w:id="6"/>
    </w:p>
    <w:p w14:paraId="78FE65CD" w14:textId="1F9CC5F3" w:rsidR="000B6BC6" w:rsidRPr="0052229E" w:rsidRDefault="00A92C4D">
      <w:pPr>
        <w:rPr>
          <w:rFonts w:hAnsi="Times New Roman"/>
        </w:rPr>
      </w:pPr>
      <w:r>
        <w:rPr>
          <w:rFonts w:hAnsi="Times New Roman"/>
        </w:rPr>
        <w:t>This policy will be made available to members of Blind Citizens Australia and external stakeholders via the policy section of our website. The policy will also be distributed to members on our mailing lists</w:t>
      </w:r>
      <w:r w:rsidRPr="0052229E">
        <w:rPr>
          <w:rFonts w:hAnsi="Times New Roman"/>
        </w:rPr>
        <w:t xml:space="preserve">. </w:t>
      </w:r>
      <w:r w:rsidR="0032574C" w:rsidRPr="0052229E">
        <w:rPr>
          <w:rFonts w:hAnsi="Times New Roman"/>
        </w:rPr>
        <w:t xml:space="preserve">Copies of this policy can be made available by BCA </w:t>
      </w:r>
      <w:r w:rsidR="005D2D3B" w:rsidRPr="0052229E">
        <w:rPr>
          <w:rFonts w:hAnsi="Times New Roman"/>
        </w:rPr>
        <w:t>on request</w:t>
      </w:r>
      <w:r w:rsidR="0032574C" w:rsidRPr="0052229E">
        <w:rPr>
          <w:rFonts w:hAnsi="Times New Roman"/>
        </w:rPr>
        <w:t xml:space="preserve"> in a person's preferred format.</w:t>
      </w:r>
    </w:p>
    <w:p w14:paraId="52946674" w14:textId="77777777" w:rsidR="000B6BC6" w:rsidRDefault="000B6BC6">
      <w:pPr>
        <w:rPr>
          <w:rFonts w:hAnsi="Times New Roman"/>
        </w:rPr>
      </w:pPr>
    </w:p>
    <w:p w14:paraId="222B4915" w14:textId="3BEE9DBB" w:rsidR="000B6BC6" w:rsidRDefault="00A92C4D">
      <w:pPr>
        <w:rPr>
          <w:rFonts w:hAnsi="Times New Roman"/>
        </w:rPr>
      </w:pPr>
      <w:r>
        <w:rPr>
          <w:rFonts w:hAnsi="Times New Roman"/>
        </w:rPr>
        <w:t>Anyone can access this policy to</w:t>
      </w:r>
      <w:r w:rsidR="00F302DA">
        <w:rPr>
          <w:rFonts w:hAnsi="Times New Roman"/>
        </w:rPr>
        <w:t xml:space="preserve"> </w:t>
      </w:r>
      <w:r>
        <w:rPr>
          <w:rFonts w:hAnsi="Times New Roman"/>
        </w:rPr>
        <w:t>support self-advocacy</w:t>
      </w:r>
      <w:r w:rsidR="00F302DA">
        <w:rPr>
          <w:rFonts w:hAnsi="Times New Roman"/>
        </w:rPr>
        <w:t>,</w:t>
      </w:r>
      <w:r>
        <w:rPr>
          <w:rFonts w:hAnsi="Times New Roman"/>
        </w:rPr>
        <w:t xml:space="preserve"> or advocacy on behalf of another individual, to access inclusive, accessible, and safe healthcare. It can also be used to inform healthcare service providers of best practice when providing healthcare to people who are blind or vision impaired.</w:t>
      </w:r>
    </w:p>
    <w:p w14:paraId="719F7568" w14:textId="77777777" w:rsidR="000B6BC6" w:rsidRDefault="000B6BC6">
      <w:pPr>
        <w:rPr>
          <w:rFonts w:hAnsi="Times New Roman"/>
        </w:rPr>
      </w:pPr>
    </w:p>
    <w:p w14:paraId="691F0324" w14:textId="433AD6EF" w:rsidR="000B6BC6" w:rsidRDefault="00A92C4D">
      <w:pPr>
        <w:rPr>
          <w:rFonts w:hAnsi="Times New Roman"/>
        </w:rPr>
      </w:pPr>
      <w:r>
        <w:rPr>
          <w:rFonts w:hAnsi="Times New Roman"/>
        </w:rPr>
        <w:t>BCA</w:t>
      </w:r>
      <w:r>
        <w:rPr>
          <w:rFonts w:hAnsi="Times New Roman"/>
        </w:rPr>
        <w:t>’</w:t>
      </w:r>
      <w:r>
        <w:rPr>
          <w:rFonts w:hAnsi="Times New Roman"/>
        </w:rPr>
        <w:t>s advocacy service can provide additional support to individuals wishing to use this policy in a</w:t>
      </w:r>
      <w:r w:rsidR="003C7FDC">
        <w:rPr>
          <w:rFonts w:hAnsi="Times New Roman"/>
        </w:rPr>
        <w:t xml:space="preserve"> healthcare</w:t>
      </w:r>
      <w:r>
        <w:rPr>
          <w:rFonts w:hAnsi="Times New Roman"/>
        </w:rPr>
        <w:t xml:space="preserve"> </w:t>
      </w:r>
      <w:r w:rsidR="003C7FDC">
        <w:rPr>
          <w:rFonts w:hAnsi="Times New Roman"/>
        </w:rPr>
        <w:t>setting</w:t>
      </w:r>
      <w:r>
        <w:rPr>
          <w:rFonts w:hAnsi="Times New Roman"/>
        </w:rPr>
        <w:t xml:space="preserve">. </w:t>
      </w:r>
    </w:p>
    <w:p w14:paraId="43546405" w14:textId="77777777" w:rsidR="00803A23" w:rsidRDefault="00803A23">
      <w:pPr>
        <w:rPr>
          <w:rFonts w:hAnsi="Times New Roman"/>
        </w:rPr>
      </w:pPr>
    </w:p>
    <w:p w14:paraId="65C8790E" w14:textId="77777777" w:rsidR="000B6BC6" w:rsidRDefault="00A92C4D" w:rsidP="009C3919">
      <w:pPr>
        <w:pStyle w:val="Heading1"/>
      </w:pPr>
      <w:bookmarkStart w:id="7" w:name="_Toc45546607"/>
      <w:r>
        <w:t>3. Policy Context</w:t>
      </w:r>
      <w:bookmarkEnd w:id="7"/>
    </w:p>
    <w:p w14:paraId="56D90D63" w14:textId="2F2227F1" w:rsidR="000B6BC6" w:rsidRDefault="00A92C4D">
      <w:pPr>
        <w:rPr>
          <w:rFonts w:hAnsi="Times New Roman"/>
          <w:sz w:val="24"/>
          <w:szCs w:val="24"/>
        </w:rPr>
      </w:pPr>
      <w:r>
        <w:rPr>
          <w:rFonts w:hAnsi="Times New Roman"/>
        </w:rPr>
        <w:t>This policy adopts the framework of the Australian Charter of Healthcare Rights (second edition). It assumes that all the rights that apply to the general Australian population apply fully to all people with disability</w:t>
      </w:r>
      <w:r w:rsidR="00015D4F">
        <w:rPr>
          <w:rFonts w:hAnsi="Times New Roman"/>
        </w:rPr>
        <w:t xml:space="preserve">, including people who are blind </w:t>
      </w:r>
      <w:r w:rsidR="00C908CE">
        <w:rPr>
          <w:rFonts w:hAnsi="Times New Roman"/>
        </w:rPr>
        <w:t>or</w:t>
      </w:r>
      <w:r w:rsidR="00015D4F">
        <w:rPr>
          <w:rFonts w:hAnsi="Times New Roman"/>
        </w:rPr>
        <w:t xml:space="preserve"> vision impaired</w:t>
      </w:r>
      <w:r>
        <w:rPr>
          <w:rFonts w:hAnsi="Times New Roman"/>
        </w:rPr>
        <w:t xml:space="preserve">. This policy articulates how those rights apply to the circumstances and needs of people who are blind or vision impaired.  </w:t>
      </w:r>
    </w:p>
    <w:p w14:paraId="5FE3801B" w14:textId="77777777" w:rsidR="000B6BC6" w:rsidRDefault="000B6BC6">
      <w:pPr>
        <w:rPr>
          <w:rFonts w:hAnsi="Times New Roman"/>
        </w:rPr>
      </w:pPr>
    </w:p>
    <w:p w14:paraId="35B6704A" w14:textId="77777777" w:rsidR="000B6BC6" w:rsidRDefault="00A92C4D">
      <w:pPr>
        <w:rPr>
          <w:rFonts w:hAnsi="Times New Roman"/>
        </w:rPr>
      </w:pPr>
      <w:r>
        <w:rPr>
          <w:rFonts w:hAnsi="Times New Roman"/>
        </w:rPr>
        <w:t>This policy is underpinned by legislation and frameworks which include:</w:t>
      </w:r>
    </w:p>
    <w:p w14:paraId="32FE909D" w14:textId="77777777" w:rsidR="000B6BC6" w:rsidRPr="009F623B" w:rsidRDefault="00A92C4D" w:rsidP="00571C60">
      <w:pPr>
        <w:pStyle w:val="ListParagraph"/>
        <w:numPr>
          <w:ilvl w:val="0"/>
          <w:numId w:val="4"/>
        </w:numPr>
        <w:contextualSpacing/>
        <w:rPr>
          <w:rFonts w:hAnsi="Times New Roman"/>
        </w:rPr>
      </w:pPr>
      <w:r w:rsidRPr="009F623B">
        <w:rPr>
          <w:rFonts w:hAnsi="Times New Roman"/>
        </w:rPr>
        <w:t>The Australian Healthcare Charter of Rights (2</w:t>
      </w:r>
      <w:r w:rsidRPr="009F623B">
        <w:rPr>
          <w:rFonts w:hAnsi="Times New Roman"/>
          <w:vertAlign w:val="superscript"/>
        </w:rPr>
        <w:t>nd</w:t>
      </w:r>
      <w:r w:rsidRPr="009F623B">
        <w:rPr>
          <w:rFonts w:hAnsi="Times New Roman"/>
        </w:rPr>
        <w:t xml:space="preserve"> ed.), 2019</w:t>
      </w:r>
    </w:p>
    <w:p w14:paraId="6AFEA6AE" w14:textId="77777777" w:rsidR="000B6BC6" w:rsidRPr="009F623B" w:rsidRDefault="00A92C4D" w:rsidP="00571C60">
      <w:pPr>
        <w:pStyle w:val="ListParagraph"/>
        <w:numPr>
          <w:ilvl w:val="0"/>
          <w:numId w:val="4"/>
        </w:numPr>
        <w:contextualSpacing/>
        <w:rPr>
          <w:rFonts w:hAnsi="Times New Roman"/>
        </w:rPr>
      </w:pPr>
      <w:r w:rsidRPr="009F623B">
        <w:rPr>
          <w:rFonts w:hAnsi="Times New Roman"/>
        </w:rPr>
        <w:t xml:space="preserve">The </w:t>
      </w:r>
      <w:r w:rsidRPr="009F623B">
        <w:rPr>
          <w:rFonts w:hAnsi="Times New Roman"/>
          <w:i/>
        </w:rPr>
        <w:t>Disability Discrimination Act 1992</w:t>
      </w:r>
      <w:r w:rsidRPr="009F623B">
        <w:rPr>
          <w:rFonts w:hAnsi="Times New Roman"/>
        </w:rPr>
        <w:t xml:space="preserve"> (</w:t>
      </w:r>
      <w:r w:rsidRPr="009F623B">
        <w:rPr>
          <w:rFonts w:hAnsi="Times New Roman"/>
          <w:i/>
        </w:rPr>
        <w:t>Cth</w:t>
      </w:r>
      <w:r w:rsidRPr="009F623B">
        <w:rPr>
          <w:rFonts w:hAnsi="Times New Roman"/>
        </w:rPr>
        <w:t>) (</w:t>
      </w:r>
      <w:r w:rsidRPr="009F623B">
        <w:rPr>
          <w:rFonts w:hAnsi="Times New Roman"/>
          <w:i/>
        </w:rPr>
        <w:t>Austl</w:t>
      </w:r>
      <w:r w:rsidRPr="009F623B">
        <w:rPr>
          <w:rFonts w:hAnsi="Times New Roman"/>
        </w:rPr>
        <w:t>.) and associated standards</w:t>
      </w:r>
    </w:p>
    <w:p w14:paraId="464D64A3" w14:textId="77777777" w:rsidR="000B6BC6" w:rsidRPr="009F623B" w:rsidRDefault="00A92C4D" w:rsidP="00571C60">
      <w:pPr>
        <w:pStyle w:val="ListParagraph"/>
        <w:numPr>
          <w:ilvl w:val="0"/>
          <w:numId w:val="4"/>
        </w:numPr>
        <w:contextualSpacing/>
        <w:rPr>
          <w:rFonts w:hAnsi="Times New Roman"/>
        </w:rPr>
      </w:pPr>
      <w:r w:rsidRPr="009F623B">
        <w:rPr>
          <w:rFonts w:hAnsi="Times New Roman"/>
        </w:rPr>
        <w:t>The United Nations Convention on the Rights of Persons with Disabilities, Article 25</w:t>
      </w:r>
    </w:p>
    <w:p w14:paraId="221A8BC5" w14:textId="77777777" w:rsidR="000B6BC6" w:rsidRPr="009F623B" w:rsidRDefault="00A92C4D" w:rsidP="00571C60">
      <w:pPr>
        <w:pStyle w:val="ListParagraph"/>
        <w:numPr>
          <w:ilvl w:val="0"/>
          <w:numId w:val="4"/>
        </w:numPr>
        <w:contextualSpacing/>
        <w:rPr>
          <w:rFonts w:hAnsi="Times New Roman"/>
        </w:rPr>
      </w:pPr>
      <w:r w:rsidRPr="009F623B">
        <w:rPr>
          <w:rFonts w:hAnsi="Times New Roman"/>
        </w:rPr>
        <w:t>The National Disability Strategy 2010-2020</w:t>
      </w:r>
    </w:p>
    <w:p w14:paraId="6F70D423" w14:textId="77777777" w:rsidR="000B6BC6" w:rsidRPr="009F623B" w:rsidRDefault="00A92C4D" w:rsidP="00571C60">
      <w:pPr>
        <w:pStyle w:val="ListParagraph"/>
        <w:numPr>
          <w:ilvl w:val="0"/>
          <w:numId w:val="4"/>
        </w:numPr>
        <w:contextualSpacing/>
        <w:rPr>
          <w:rFonts w:hAnsi="Times New Roman"/>
        </w:rPr>
      </w:pPr>
      <w:r w:rsidRPr="009F623B">
        <w:rPr>
          <w:rFonts w:hAnsi="Times New Roman"/>
        </w:rPr>
        <w:t>Web Content Accessibility Guidelines (WCAG) 2.1 (June 2018)</w:t>
      </w:r>
    </w:p>
    <w:p w14:paraId="56873F2B" w14:textId="2FCC3220" w:rsidR="000B6BC6" w:rsidRDefault="00A92C4D" w:rsidP="0052229E">
      <w:pPr>
        <w:pStyle w:val="ListParagraph"/>
        <w:numPr>
          <w:ilvl w:val="0"/>
          <w:numId w:val="4"/>
        </w:numPr>
        <w:contextualSpacing/>
        <w:rPr>
          <w:rFonts w:hAnsi="Times New Roman"/>
        </w:rPr>
      </w:pPr>
      <w:r w:rsidRPr="009F623B">
        <w:rPr>
          <w:rFonts w:hAnsi="Times New Roman"/>
        </w:rPr>
        <w:t>Codes and standards of medical and allied health professional associations, including the National Saf</w:t>
      </w:r>
      <w:r w:rsidRPr="0052229E">
        <w:rPr>
          <w:rFonts w:hAnsi="Times New Roman"/>
        </w:rPr>
        <w:t>ety and Quality Health Services Standards (2</w:t>
      </w:r>
      <w:r w:rsidRPr="0052229E">
        <w:rPr>
          <w:rFonts w:hAnsi="Times New Roman"/>
          <w:vertAlign w:val="superscript"/>
        </w:rPr>
        <w:t>nd</w:t>
      </w:r>
      <w:r w:rsidRPr="0052229E">
        <w:rPr>
          <w:rFonts w:hAnsi="Times New Roman"/>
        </w:rPr>
        <w:t xml:space="preserve"> ed.), 2017</w:t>
      </w:r>
    </w:p>
    <w:p w14:paraId="47ABAF52" w14:textId="77777777" w:rsidR="0052229E" w:rsidRPr="0052229E" w:rsidRDefault="0052229E" w:rsidP="0052229E">
      <w:pPr>
        <w:pStyle w:val="ListParagraph"/>
        <w:contextualSpacing/>
        <w:rPr>
          <w:rFonts w:hAnsi="Times New Roman"/>
        </w:rPr>
      </w:pPr>
    </w:p>
    <w:p w14:paraId="1D8F4996" w14:textId="77777777" w:rsidR="000B6BC6" w:rsidRDefault="00A92C4D" w:rsidP="009C3919">
      <w:pPr>
        <w:pStyle w:val="Heading1"/>
      </w:pPr>
      <w:bookmarkStart w:id="8" w:name="_Toc45546608"/>
      <w:r>
        <w:t>4. Policy Statement</w:t>
      </w:r>
      <w:bookmarkEnd w:id="8"/>
    </w:p>
    <w:p w14:paraId="1D06C7BA" w14:textId="77777777" w:rsidR="000B6BC6" w:rsidRDefault="00A92C4D" w:rsidP="005D2D3B">
      <w:pPr>
        <w:pStyle w:val="Heading2"/>
      </w:pPr>
      <w:bookmarkStart w:id="9" w:name="_Toc45546609"/>
      <w:r>
        <w:t>4.1 Respect</w:t>
      </w:r>
      <w:bookmarkEnd w:id="9"/>
    </w:p>
    <w:p w14:paraId="2828E1F2" w14:textId="428943EF" w:rsidR="003C7FDC" w:rsidRPr="00770C92" w:rsidRDefault="00A92C4D" w:rsidP="00571C60">
      <w:pPr>
        <w:pStyle w:val="ListParagraph"/>
        <w:numPr>
          <w:ilvl w:val="0"/>
          <w:numId w:val="3"/>
        </w:numPr>
        <w:spacing w:after="160" w:line="259" w:lineRule="auto"/>
        <w:contextualSpacing/>
        <w:rPr>
          <w:rFonts w:hAnsi="Times New Roman"/>
        </w:rPr>
      </w:pPr>
      <w:r w:rsidRPr="00770C92">
        <w:rPr>
          <w:rFonts w:hAnsi="Times New Roman"/>
        </w:rPr>
        <w:t xml:space="preserve">People who are blind or vision impaired have the right to </w:t>
      </w:r>
      <w:r w:rsidR="008C25AD">
        <w:rPr>
          <w:rFonts w:hAnsi="Times New Roman"/>
        </w:rPr>
        <w:t xml:space="preserve">receive health care </w:t>
      </w:r>
      <w:r w:rsidRPr="00770C92">
        <w:rPr>
          <w:rFonts w:hAnsi="Times New Roman"/>
        </w:rPr>
        <w:t>as an individual and to be treated with dignity and respect.</w:t>
      </w:r>
      <w:bookmarkStart w:id="10" w:name="_Ref18584425"/>
      <w:r w:rsidR="003C7FDC">
        <w:rPr>
          <w:rStyle w:val="EndnoteReference"/>
          <w:rFonts w:hAnsi="Times New Roman"/>
        </w:rPr>
        <w:endnoteReference w:id="1"/>
      </w:r>
      <w:bookmarkEnd w:id="10"/>
    </w:p>
    <w:p w14:paraId="4370BD4E" w14:textId="77777777" w:rsidR="003C7FDC" w:rsidRPr="00770C92" w:rsidRDefault="003C7FDC" w:rsidP="00571C60">
      <w:pPr>
        <w:pStyle w:val="ListParagraph"/>
        <w:numPr>
          <w:ilvl w:val="0"/>
          <w:numId w:val="3"/>
        </w:numPr>
        <w:spacing w:after="160" w:line="259" w:lineRule="auto"/>
        <w:contextualSpacing/>
        <w:rPr>
          <w:rFonts w:hAnsi="Times New Roman"/>
        </w:rPr>
      </w:pPr>
      <w:r w:rsidRPr="00770C92">
        <w:rPr>
          <w:rFonts w:hAnsi="Times New Roman"/>
        </w:rPr>
        <w:t>People who are blind or vision impaired have the right to have their cultures, identities, beliefs, and choices acknowledged and respected.</w:t>
      </w:r>
      <w:r w:rsidRPr="00770C92">
        <w:rPr>
          <w:rFonts w:hAnsi="Times New Roman"/>
          <w:vertAlign w:val="superscript"/>
        </w:rPr>
        <w:t>1</w:t>
      </w:r>
    </w:p>
    <w:p w14:paraId="571B429C" w14:textId="77777777" w:rsidR="003C7FDC" w:rsidRPr="00770C92" w:rsidRDefault="003C7FDC" w:rsidP="00571C60">
      <w:pPr>
        <w:pStyle w:val="ListParagraph"/>
        <w:numPr>
          <w:ilvl w:val="0"/>
          <w:numId w:val="3"/>
        </w:numPr>
        <w:spacing w:after="160" w:line="259" w:lineRule="auto"/>
        <w:contextualSpacing/>
        <w:rPr>
          <w:rFonts w:hAnsi="Times New Roman"/>
        </w:rPr>
      </w:pPr>
      <w:r w:rsidRPr="00770C92">
        <w:rPr>
          <w:rFonts w:hAnsi="Times New Roman"/>
        </w:rPr>
        <w:t>People who are blind or vision impaired are entitled to the respect accorded to all consumers of health services, in ways which ensure equity and meet their specific needs. These needs should be determined through direct consultation with people who are blind or vision impaired, and those organisations which directly represent them.</w:t>
      </w:r>
    </w:p>
    <w:p w14:paraId="4BD73C61" w14:textId="77777777" w:rsidR="003C7FDC" w:rsidRPr="00770C92" w:rsidRDefault="003C7FDC" w:rsidP="00571C60">
      <w:pPr>
        <w:pStyle w:val="ListParagraph"/>
        <w:numPr>
          <w:ilvl w:val="0"/>
          <w:numId w:val="3"/>
        </w:numPr>
        <w:spacing w:after="160" w:line="259" w:lineRule="auto"/>
        <w:contextualSpacing/>
        <w:rPr>
          <w:rFonts w:hAnsi="Times New Roman"/>
        </w:rPr>
      </w:pPr>
      <w:r w:rsidRPr="00770C92">
        <w:rPr>
          <w:rFonts w:hAnsi="Times New Roman"/>
        </w:rPr>
        <w:t>Many people who are blind or vision impaired have other disabilities. These may include such things as deafness or hearing impairment, diabetes, mobility impairments, arthritis, or stroke. It is not sufficient to meet needs arising from only one disability and such individuals should be treated with dignity and respect, using a holistic approach.</w:t>
      </w:r>
    </w:p>
    <w:p w14:paraId="526EF81D" w14:textId="7B1B9BE9" w:rsidR="00BD079A" w:rsidRPr="00446FBE" w:rsidRDefault="00BD079A" w:rsidP="00446FBE">
      <w:pPr>
        <w:pStyle w:val="Heading3"/>
      </w:pPr>
      <w:bookmarkStart w:id="11" w:name="_Toc45546610"/>
      <w:r w:rsidRPr="00446FBE">
        <w:t>Demonstrating respect</w:t>
      </w:r>
      <w:bookmarkEnd w:id="11"/>
    </w:p>
    <w:p w14:paraId="1B3429AF" w14:textId="135F849B" w:rsidR="003C7FDC" w:rsidRDefault="003C7FDC" w:rsidP="00116050">
      <w:pPr>
        <w:spacing w:before="120" w:line="259" w:lineRule="auto"/>
        <w:rPr>
          <w:rFonts w:hAnsi="Times New Roman"/>
          <w:b/>
        </w:rPr>
      </w:pPr>
      <w:r>
        <w:rPr>
          <w:rFonts w:hAnsi="Times New Roman"/>
        </w:rPr>
        <w:t>Healthcare service providers and their staff can demonstrate respect by:</w:t>
      </w:r>
    </w:p>
    <w:p w14:paraId="4EC57FDF" w14:textId="77777777" w:rsidR="00FC37AB" w:rsidRDefault="00FC37AB" w:rsidP="00571C60">
      <w:pPr>
        <w:pStyle w:val="ListBullet"/>
        <w:numPr>
          <w:ilvl w:val="0"/>
          <w:numId w:val="2"/>
        </w:numPr>
      </w:pPr>
      <w:r>
        <w:t>Communicating directly with a person who is blind or vision impaired by:</w:t>
      </w:r>
    </w:p>
    <w:p w14:paraId="09C75B91" w14:textId="77777777" w:rsidR="00FC37AB" w:rsidRDefault="00FC37AB" w:rsidP="00FC37AB">
      <w:pPr>
        <w:pStyle w:val="ListBullet"/>
        <w:tabs>
          <w:tab w:val="clear" w:pos="360"/>
        </w:tabs>
        <w:ind w:left="1134"/>
      </w:pPr>
      <w:r>
        <w:t>Identifying themselves and discussing proposed procedures and treatments directly with a person who is blind or vision impaired</w:t>
      </w:r>
    </w:p>
    <w:p w14:paraId="06329F11" w14:textId="77777777" w:rsidR="00FC37AB" w:rsidRDefault="00FC37AB" w:rsidP="00FC37AB">
      <w:pPr>
        <w:pStyle w:val="ListBullet"/>
        <w:spacing w:after="160" w:line="259" w:lineRule="auto"/>
        <w:ind w:left="1134"/>
        <w:contextualSpacing/>
        <w:rPr>
          <w:rFonts w:hAnsi="Times New Roman"/>
        </w:rPr>
      </w:pPr>
      <w:r>
        <w:rPr>
          <w:rFonts w:hAnsi="Times New Roman"/>
        </w:rPr>
        <w:t>Ensuring that information provided by people who are blind or vision impaired is handled in adherence to privacy and confidentiality legislation and service policies</w:t>
      </w:r>
    </w:p>
    <w:p w14:paraId="5E110A50" w14:textId="2C4C4CFF" w:rsidR="00FC37AB" w:rsidRPr="00FC37AB" w:rsidRDefault="00FC37AB" w:rsidP="00FC37AB">
      <w:pPr>
        <w:pStyle w:val="ListBullet"/>
        <w:spacing w:after="160" w:line="259" w:lineRule="auto"/>
        <w:ind w:left="1134"/>
        <w:contextualSpacing/>
        <w:rPr>
          <w:rFonts w:hAnsi="Times New Roman"/>
        </w:rPr>
      </w:pPr>
      <w:r w:rsidRPr="00FC37AB">
        <w:rPr>
          <w:rFonts w:hAnsi="Times New Roman"/>
        </w:rPr>
        <w:t>Considering privacy concerns when helping with navigation, to people who are blind or vision impaired. Anyone offering physical or guiding assistance should orient the person to the space, who is in the space and also keep discreet any private information like the reason the person they are assisting is visiting the healthcare centre, to the best of their ability.</w:t>
      </w:r>
    </w:p>
    <w:p w14:paraId="368DD55F" w14:textId="591557EE" w:rsidR="005A3324" w:rsidRDefault="005A3324" w:rsidP="00571C60">
      <w:pPr>
        <w:pStyle w:val="ListBullet"/>
        <w:numPr>
          <w:ilvl w:val="0"/>
          <w:numId w:val="2"/>
        </w:numPr>
      </w:pPr>
      <w:r>
        <w:t>Interacting with people who are blind or vision impaired in a professional manner which upholds dignity, by not threatening, demeaning, refusing service or otherwise discriminating against them. This interaction covers contact delivered prior, during</w:t>
      </w:r>
      <w:r w:rsidR="00123EDC">
        <w:t>,</w:t>
      </w:r>
      <w:r>
        <w:t xml:space="preserve"> and post-service delivery. </w:t>
      </w:r>
    </w:p>
    <w:p w14:paraId="7AE8A68C" w14:textId="5AAC7E04" w:rsidR="0052229E" w:rsidRPr="00FC37AB" w:rsidRDefault="005A3324" w:rsidP="005D2D3B">
      <w:pPr>
        <w:pStyle w:val="ListBullet"/>
        <w:numPr>
          <w:ilvl w:val="0"/>
          <w:numId w:val="2"/>
        </w:numPr>
      </w:pPr>
      <w:r>
        <w:t xml:space="preserve">Ensuring that staff understand that there are laws which prevent them discriminating against people, in particular because of their disability. </w:t>
      </w:r>
    </w:p>
    <w:p w14:paraId="3F9CFD79" w14:textId="77777777" w:rsidR="003C7FDC" w:rsidRPr="005D2D3B" w:rsidRDefault="003C7FDC" w:rsidP="005D2D3B">
      <w:pPr>
        <w:pStyle w:val="Heading2"/>
      </w:pPr>
      <w:bookmarkStart w:id="12" w:name="_Toc45546611"/>
      <w:r w:rsidRPr="005D2D3B">
        <w:t>4.2 Access</w:t>
      </w:r>
      <w:bookmarkEnd w:id="12"/>
    </w:p>
    <w:p w14:paraId="04B4EEC5" w14:textId="77777777" w:rsidR="003C7FDC" w:rsidRPr="00BD079A" w:rsidRDefault="003C7FDC" w:rsidP="00571C60">
      <w:pPr>
        <w:pStyle w:val="ListParagraph"/>
        <w:numPr>
          <w:ilvl w:val="0"/>
          <w:numId w:val="5"/>
        </w:numPr>
        <w:spacing w:after="160" w:line="259" w:lineRule="auto"/>
        <w:contextualSpacing/>
        <w:rPr>
          <w:rFonts w:hAnsi="Times New Roman"/>
        </w:rPr>
      </w:pPr>
      <w:r w:rsidRPr="00BD079A">
        <w:rPr>
          <w:rFonts w:hAnsi="Times New Roman"/>
        </w:rPr>
        <w:t>People who are blind or vision impaired have the right to access services and treatments to meet their healthcare needs.</w:t>
      </w:r>
      <w:r w:rsidRPr="00BD079A">
        <w:rPr>
          <w:rFonts w:hAnsi="Times New Roman"/>
          <w:vertAlign w:val="superscript"/>
        </w:rPr>
        <w:t>1</w:t>
      </w:r>
    </w:p>
    <w:p w14:paraId="2C389D96" w14:textId="77777777" w:rsidR="003C7FDC" w:rsidRPr="00BD079A" w:rsidRDefault="003C7FDC" w:rsidP="00571C60">
      <w:pPr>
        <w:pStyle w:val="ListParagraph"/>
        <w:numPr>
          <w:ilvl w:val="0"/>
          <w:numId w:val="5"/>
        </w:numPr>
        <w:spacing w:after="160" w:line="259" w:lineRule="auto"/>
        <w:contextualSpacing/>
        <w:rPr>
          <w:rFonts w:hAnsi="Times New Roman"/>
        </w:rPr>
      </w:pPr>
      <w:r w:rsidRPr="00BD079A">
        <w:rPr>
          <w:rFonts w:hAnsi="Times New Roman"/>
        </w:rPr>
        <w:t>People who are blind or vision impaired have the right to timely, comprehensive, and accessible early intervention health service provision. This also includes control and choice in what and when services are accessed.</w:t>
      </w:r>
      <w:r>
        <w:rPr>
          <w:rStyle w:val="EndnoteReference"/>
          <w:rFonts w:hAnsi="Times New Roman"/>
        </w:rPr>
        <w:endnoteReference w:id="2"/>
      </w:r>
    </w:p>
    <w:p w14:paraId="130248CE" w14:textId="0B193641" w:rsidR="000B6BC6" w:rsidRPr="00BD079A" w:rsidRDefault="00A92C4D" w:rsidP="00571C60">
      <w:pPr>
        <w:pStyle w:val="ListParagraph"/>
        <w:numPr>
          <w:ilvl w:val="0"/>
          <w:numId w:val="5"/>
        </w:numPr>
        <w:spacing w:after="160" w:line="259" w:lineRule="auto"/>
        <w:contextualSpacing/>
        <w:rPr>
          <w:rFonts w:hAnsi="Times New Roman"/>
        </w:rPr>
      </w:pPr>
      <w:r w:rsidRPr="00BD079A">
        <w:rPr>
          <w:rFonts w:hAnsi="Times New Roman"/>
        </w:rPr>
        <w:t xml:space="preserve">Healthcare service providers can demonstrate accessibility by </w:t>
      </w:r>
      <w:r w:rsidR="00CD69C3">
        <w:rPr>
          <w:rFonts w:hAnsi="Times New Roman"/>
        </w:rPr>
        <w:t xml:space="preserve">ensuring the principles and issues articulated in this policy are captured within a broader disability action plan </w:t>
      </w:r>
      <w:r w:rsidRPr="00BD079A">
        <w:rPr>
          <w:rFonts w:hAnsi="Times New Roman"/>
        </w:rPr>
        <w:t xml:space="preserve">that promotes inclusive health and independence.  </w:t>
      </w:r>
    </w:p>
    <w:p w14:paraId="59AFBAFC" w14:textId="77777777" w:rsidR="000B6BC6" w:rsidRPr="00BD079A" w:rsidRDefault="00A92C4D" w:rsidP="00571C60">
      <w:pPr>
        <w:pStyle w:val="ListParagraph"/>
        <w:numPr>
          <w:ilvl w:val="0"/>
          <w:numId w:val="5"/>
        </w:numPr>
        <w:spacing w:after="160" w:line="259" w:lineRule="auto"/>
        <w:contextualSpacing/>
        <w:rPr>
          <w:rFonts w:hAnsi="Times New Roman"/>
        </w:rPr>
      </w:pPr>
      <w:r w:rsidRPr="00BD079A">
        <w:rPr>
          <w:rFonts w:hAnsi="Times New Roman"/>
        </w:rPr>
        <w:t xml:space="preserve">People who are blind or vision impaired can access the policy in their preferred format. </w:t>
      </w:r>
    </w:p>
    <w:p w14:paraId="45A53F92" w14:textId="2610A3B4" w:rsidR="000B6BC6" w:rsidRPr="00BD079A" w:rsidRDefault="00A92C4D" w:rsidP="00571C60">
      <w:pPr>
        <w:pStyle w:val="ListParagraph"/>
        <w:numPr>
          <w:ilvl w:val="0"/>
          <w:numId w:val="5"/>
        </w:numPr>
        <w:spacing w:after="160" w:line="259" w:lineRule="auto"/>
        <w:contextualSpacing/>
        <w:rPr>
          <w:rFonts w:hAnsi="Times New Roman"/>
        </w:rPr>
      </w:pPr>
      <w:r w:rsidRPr="00BD079A">
        <w:rPr>
          <w:rFonts w:hAnsi="Times New Roman"/>
        </w:rPr>
        <w:t>It must also be taken into account that people who are blind or vision impaired may also be of Aboriginal or Torres Strait Islander origin, have a first language that is not English, have identity and values rooted in another culture, be people of non-binary gender or members of the LGB</w:t>
      </w:r>
      <w:r w:rsidR="00770C92" w:rsidRPr="00BD079A">
        <w:rPr>
          <w:rFonts w:hAnsi="Times New Roman"/>
        </w:rPr>
        <w:t>TIQA</w:t>
      </w:r>
      <w:r w:rsidRPr="00BD079A">
        <w:rPr>
          <w:rFonts w:hAnsi="Times New Roman"/>
        </w:rPr>
        <w:t xml:space="preserve">+ community, be people of low socio-economic status, live in regional or remote areas, or be older people. One individual may have several of these characteristics. </w:t>
      </w:r>
    </w:p>
    <w:p w14:paraId="6A9D4E92" w14:textId="77777777" w:rsidR="00B71D34" w:rsidRDefault="00B71D34" w:rsidP="00571C60">
      <w:pPr>
        <w:pStyle w:val="ListParagraph"/>
        <w:numPr>
          <w:ilvl w:val="0"/>
          <w:numId w:val="5"/>
        </w:numPr>
        <w:spacing w:after="160" w:line="259" w:lineRule="auto"/>
        <w:contextualSpacing/>
        <w:rPr>
          <w:rFonts w:hAnsi="Times New Roman"/>
        </w:rPr>
      </w:pPr>
      <w:r>
        <w:rPr>
          <w:rFonts w:hAnsi="Times New Roman"/>
        </w:rPr>
        <w:t xml:space="preserve">It </w:t>
      </w:r>
      <w:r w:rsidR="00A92C4D" w:rsidRPr="00BD079A">
        <w:rPr>
          <w:rFonts w:hAnsi="Times New Roman"/>
        </w:rPr>
        <w:t>is imperative that services are affordable, culturally safe, and accessible to all people</w:t>
      </w:r>
      <w:r>
        <w:rPr>
          <w:rFonts w:hAnsi="Times New Roman"/>
        </w:rPr>
        <w:t xml:space="preserve">. </w:t>
      </w:r>
    </w:p>
    <w:p w14:paraId="4DC930FD" w14:textId="676D201B" w:rsidR="000B6BC6" w:rsidRPr="00B71D34" w:rsidRDefault="00B71D34" w:rsidP="00571C60">
      <w:pPr>
        <w:pStyle w:val="ListParagraph"/>
        <w:numPr>
          <w:ilvl w:val="0"/>
          <w:numId w:val="5"/>
        </w:numPr>
        <w:spacing w:after="160" w:line="259" w:lineRule="auto"/>
        <w:contextualSpacing/>
        <w:rPr>
          <w:rFonts w:hAnsi="Times New Roman"/>
        </w:rPr>
      </w:pPr>
      <w:r>
        <w:rPr>
          <w:rFonts w:hAnsi="Times New Roman"/>
        </w:rPr>
        <w:t xml:space="preserve">Accessibility includes all forms of access, </w:t>
      </w:r>
      <w:r w:rsidR="00A92C4D" w:rsidRPr="00B71D34">
        <w:rPr>
          <w:rFonts w:hAnsi="Times New Roman"/>
        </w:rPr>
        <w:t>e.g., information, mobility, multiple disabilities. This includes the provision of accessible format documents and meeting physical access requirements</w:t>
      </w:r>
      <w:r w:rsidR="00A65399">
        <w:rPr>
          <w:rFonts w:hAnsi="Times New Roman"/>
        </w:rPr>
        <w:t xml:space="preserve"> (see</w:t>
      </w:r>
      <w:r w:rsidR="002E1874">
        <w:rPr>
          <w:rFonts w:hAnsi="Times New Roman"/>
        </w:rPr>
        <w:t xml:space="preserve"> </w:t>
      </w:r>
      <w:r w:rsidR="002E1874">
        <w:rPr>
          <w:rFonts w:hAnsi="Times New Roman"/>
          <w:i/>
          <w:iCs/>
        </w:rPr>
        <w:t>Types of accessibility</w:t>
      </w:r>
      <w:r w:rsidR="00A65399">
        <w:rPr>
          <w:rFonts w:hAnsi="Times New Roman"/>
        </w:rPr>
        <w:t xml:space="preserve">). </w:t>
      </w:r>
      <w:r w:rsidR="00A92C4D" w:rsidRPr="00B71D34">
        <w:rPr>
          <w:rFonts w:hAnsi="Times New Roman"/>
        </w:rPr>
        <w:t xml:space="preserve"> </w:t>
      </w:r>
    </w:p>
    <w:p w14:paraId="2337C2BF" w14:textId="5955A7A2" w:rsidR="001D5446" w:rsidRDefault="001D5446" w:rsidP="00571C60">
      <w:pPr>
        <w:pStyle w:val="ListParagraph"/>
        <w:numPr>
          <w:ilvl w:val="0"/>
          <w:numId w:val="6"/>
        </w:numPr>
        <w:spacing w:after="160" w:line="259" w:lineRule="auto"/>
        <w:contextualSpacing/>
        <w:rPr>
          <w:rFonts w:hAnsi="Times New Roman"/>
        </w:rPr>
      </w:pPr>
      <w:r w:rsidRPr="001D5446">
        <w:rPr>
          <w:rFonts w:hAnsi="Times New Roman"/>
        </w:rPr>
        <w:t>It is vital that healthcare services be equipped to source or produce the preferred alternative format, that blind or vision impaired people may require</w:t>
      </w:r>
      <w:r w:rsidR="00A65399">
        <w:rPr>
          <w:rFonts w:hAnsi="Times New Roman"/>
        </w:rPr>
        <w:t xml:space="preserve"> (see</w:t>
      </w:r>
      <w:r w:rsidR="002E1874">
        <w:rPr>
          <w:rFonts w:hAnsi="Times New Roman"/>
        </w:rPr>
        <w:t xml:space="preserve"> </w:t>
      </w:r>
      <w:r w:rsidR="002E1874">
        <w:rPr>
          <w:rFonts w:hAnsi="Times New Roman"/>
          <w:i/>
          <w:iCs/>
        </w:rPr>
        <w:t>Types of accessibility</w:t>
      </w:r>
      <w:r w:rsidR="00A65399">
        <w:rPr>
          <w:rFonts w:hAnsi="Times New Roman"/>
        </w:rPr>
        <w:t xml:space="preserve">). </w:t>
      </w:r>
    </w:p>
    <w:p w14:paraId="53B5FA0F" w14:textId="0B4A27F5" w:rsidR="001D5446" w:rsidRPr="001D5446" w:rsidRDefault="00B71D34" w:rsidP="00446FBE">
      <w:pPr>
        <w:pStyle w:val="Heading3"/>
      </w:pPr>
      <w:bookmarkStart w:id="13" w:name="_Toc45546612"/>
      <w:r>
        <w:t xml:space="preserve">Types of accessibility: </w:t>
      </w:r>
      <w:r w:rsidR="003B6D0F">
        <w:t xml:space="preserve">Information </w:t>
      </w:r>
      <w:r>
        <w:t>and physical access</w:t>
      </w:r>
      <w:bookmarkEnd w:id="13"/>
    </w:p>
    <w:p w14:paraId="2F3F21E6" w14:textId="77777777" w:rsidR="00446FBE" w:rsidRDefault="001D5446" w:rsidP="00446FBE">
      <w:pPr>
        <w:pStyle w:val="ListParagraph"/>
        <w:numPr>
          <w:ilvl w:val="0"/>
          <w:numId w:val="7"/>
        </w:numPr>
        <w:spacing w:before="120" w:line="259" w:lineRule="auto"/>
        <w:ind w:left="714" w:hanging="357"/>
        <w:contextualSpacing/>
        <w:rPr>
          <w:rFonts w:hAnsi="Times New Roman"/>
        </w:rPr>
      </w:pPr>
      <w:r w:rsidRPr="00BD079A">
        <w:rPr>
          <w:rFonts w:hAnsi="Times New Roman"/>
        </w:rPr>
        <w:t>Accessible format documents may include braille, large print, electronic, and audio formats.</w:t>
      </w:r>
    </w:p>
    <w:p w14:paraId="04A4BA73" w14:textId="63B9E624" w:rsidR="003B6D0F" w:rsidRPr="00446FBE" w:rsidRDefault="003B6D0F" w:rsidP="00446FBE">
      <w:pPr>
        <w:pStyle w:val="ListParagraph"/>
        <w:numPr>
          <w:ilvl w:val="0"/>
          <w:numId w:val="7"/>
        </w:numPr>
        <w:spacing w:before="120" w:line="259" w:lineRule="auto"/>
        <w:ind w:left="714" w:hanging="357"/>
        <w:contextualSpacing/>
        <w:rPr>
          <w:rFonts w:hAnsi="Times New Roman"/>
        </w:rPr>
      </w:pPr>
      <w:r>
        <w:t xml:space="preserve">Information in health care settings is also conveyed via </w:t>
      </w:r>
      <w:r w:rsidRPr="00446FBE">
        <w:rPr>
          <w:rFonts w:hAnsi="Times New Roman"/>
        </w:rPr>
        <w:t xml:space="preserve">video content, visual displays, ticketing systems and touch screens and displays, which require accessible solutions for consumers who are blind </w:t>
      </w:r>
      <w:r w:rsidR="00C908CE">
        <w:rPr>
          <w:rFonts w:hAnsi="Times New Roman"/>
        </w:rPr>
        <w:t>or</w:t>
      </w:r>
      <w:r w:rsidRPr="00446FBE">
        <w:rPr>
          <w:rFonts w:hAnsi="Times New Roman"/>
        </w:rPr>
        <w:t xml:space="preserve"> vision impaired. </w:t>
      </w:r>
    </w:p>
    <w:p w14:paraId="6FD96B18" w14:textId="6DA276A5" w:rsidR="000B6BC6" w:rsidRPr="001D5446" w:rsidRDefault="00A92C4D" w:rsidP="00571C60">
      <w:pPr>
        <w:pStyle w:val="ListParagraph"/>
        <w:numPr>
          <w:ilvl w:val="0"/>
          <w:numId w:val="7"/>
        </w:numPr>
        <w:spacing w:after="160" w:line="259" w:lineRule="auto"/>
        <w:contextualSpacing/>
        <w:rPr>
          <w:rFonts w:hAnsi="Times New Roman"/>
        </w:rPr>
      </w:pPr>
      <w:r w:rsidRPr="00BD079A">
        <w:rPr>
          <w:rFonts w:hAnsi="Times New Roman"/>
        </w:rPr>
        <w:t xml:space="preserve">Physical access requirements include appropriate lighting, tactile and contrasting signage, human assistance available if required, </w:t>
      </w:r>
      <w:r w:rsidRPr="001D5446">
        <w:rPr>
          <w:rFonts w:hAnsi="Times New Roman"/>
        </w:rPr>
        <w:t>touchscreens with audio output etc. Physical access also means complying with legislation which allows the presence of a dog guide, except within</w:t>
      </w:r>
      <w:r w:rsidR="007706CD">
        <w:rPr>
          <w:rFonts w:hAnsi="Times New Roman"/>
        </w:rPr>
        <w:t xml:space="preserve"> areas where the dog</w:t>
      </w:r>
      <w:r w:rsidR="007706CD">
        <w:rPr>
          <w:rFonts w:hAnsi="Times New Roman"/>
        </w:rPr>
        <w:t>’</w:t>
      </w:r>
      <w:r w:rsidR="007706CD">
        <w:rPr>
          <w:rFonts w:hAnsi="Times New Roman"/>
        </w:rPr>
        <w:t xml:space="preserve">s presence is specifically prohibited by law, such as operating </w:t>
      </w:r>
      <w:r w:rsidR="005D2D3B">
        <w:rPr>
          <w:rFonts w:hAnsi="Times New Roman"/>
        </w:rPr>
        <w:t>theatres</w:t>
      </w:r>
      <w:r w:rsidR="007706CD">
        <w:rPr>
          <w:rFonts w:hAnsi="Times New Roman"/>
        </w:rPr>
        <w:t>, burns and intensive care units</w:t>
      </w:r>
      <w:r w:rsidRPr="001D5446">
        <w:rPr>
          <w:rFonts w:hAnsi="Times New Roman"/>
        </w:rPr>
        <w:t xml:space="preserve">. </w:t>
      </w:r>
    </w:p>
    <w:p w14:paraId="1FA15AE8" w14:textId="3F123FA5" w:rsidR="001D5446" w:rsidRPr="001D5446" w:rsidRDefault="00A92C4D" w:rsidP="00571C60">
      <w:pPr>
        <w:pStyle w:val="ListParagraph"/>
        <w:numPr>
          <w:ilvl w:val="0"/>
          <w:numId w:val="7"/>
        </w:numPr>
        <w:spacing w:after="160" w:line="259" w:lineRule="auto"/>
        <w:contextualSpacing/>
        <w:rPr>
          <w:rFonts w:hAnsi="Times New Roman"/>
        </w:rPr>
      </w:pPr>
      <w:r w:rsidRPr="00BD079A">
        <w:rPr>
          <w:rFonts w:hAnsi="Times New Roman"/>
        </w:rPr>
        <w:t xml:space="preserve">Physical accessibility includes planning and providing for people with disabilities in evacuations or emergencies.  </w:t>
      </w:r>
    </w:p>
    <w:p w14:paraId="0EB28A8F" w14:textId="77777777" w:rsidR="000B6BC6" w:rsidRDefault="00A92C4D" w:rsidP="005D2D3B">
      <w:pPr>
        <w:pStyle w:val="Heading2"/>
      </w:pPr>
      <w:bookmarkStart w:id="14" w:name="_Toc45546613"/>
      <w:r>
        <w:t>4.3 Safety</w:t>
      </w:r>
      <w:bookmarkEnd w:id="14"/>
    </w:p>
    <w:p w14:paraId="727A3C28" w14:textId="77777777" w:rsidR="000B6BC6" w:rsidRPr="00A65399" w:rsidRDefault="00A92C4D" w:rsidP="00571C60">
      <w:pPr>
        <w:pStyle w:val="ListParagraph"/>
        <w:numPr>
          <w:ilvl w:val="0"/>
          <w:numId w:val="8"/>
        </w:numPr>
        <w:spacing w:after="160" w:line="259" w:lineRule="auto"/>
        <w:contextualSpacing/>
        <w:rPr>
          <w:rFonts w:hAnsi="Times New Roman"/>
        </w:rPr>
      </w:pPr>
      <w:r w:rsidRPr="00A65399">
        <w:rPr>
          <w:rFonts w:hAnsi="Times New Roman"/>
        </w:rPr>
        <w:t>People who are blind or vision impaired have the right to high quality healthcare, delivered in a safe environment.</w:t>
      </w:r>
      <w:r w:rsidRPr="00A65399">
        <w:rPr>
          <w:rFonts w:hAnsi="Times New Roman"/>
          <w:vertAlign w:val="superscript"/>
        </w:rPr>
        <w:t>1</w:t>
      </w:r>
    </w:p>
    <w:p w14:paraId="5662C1D1" w14:textId="77777777" w:rsidR="000B6BC6" w:rsidRPr="00A65399" w:rsidRDefault="00A92C4D" w:rsidP="00571C60">
      <w:pPr>
        <w:pStyle w:val="ListParagraph"/>
        <w:numPr>
          <w:ilvl w:val="0"/>
          <w:numId w:val="8"/>
        </w:numPr>
        <w:spacing w:after="160" w:line="259" w:lineRule="auto"/>
        <w:contextualSpacing/>
        <w:rPr>
          <w:rFonts w:hAnsi="Times New Roman"/>
        </w:rPr>
      </w:pPr>
      <w:r w:rsidRPr="00A65399">
        <w:rPr>
          <w:rFonts w:hAnsi="Times New Roman"/>
        </w:rPr>
        <w:t xml:space="preserve">An environment in which healthcare meets the accessibility needs of people who are blind, or vision impaired includes features or support to assist independent navigation. The environment needs to be free from trip hazards and other obstacles. </w:t>
      </w:r>
    </w:p>
    <w:p w14:paraId="25B24F5C" w14:textId="77777777" w:rsidR="000B6BC6" w:rsidRPr="00A65399" w:rsidRDefault="00A92C4D" w:rsidP="00571C60">
      <w:pPr>
        <w:pStyle w:val="ListParagraph"/>
        <w:numPr>
          <w:ilvl w:val="0"/>
          <w:numId w:val="8"/>
        </w:numPr>
        <w:spacing w:after="160" w:line="259" w:lineRule="auto"/>
        <w:contextualSpacing/>
        <w:rPr>
          <w:rFonts w:hAnsi="Times New Roman"/>
        </w:rPr>
      </w:pPr>
      <w:r w:rsidRPr="00A65399">
        <w:rPr>
          <w:rFonts w:hAnsi="Times New Roman"/>
        </w:rPr>
        <w:t>Risk assessments can be undertaken by the healthcare facility to ensure that foreseen risks to safety are eradicated as soon as they are identified.</w:t>
      </w:r>
    </w:p>
    <w:p w14:paraId="449B4D7F" w14:textId="77777777" w:rsidR="000B6BC6" w:rsidRPr="00A65399" w:rsidRDefault="00A92C4D" w:rsidP="00571C60">
      <w:pPr>
        <w:pStyle w:val="ListParagraph"/>
        <w:numPr>
          <w:ilvl w:val="0"/>
          <w:numId w:val="8"/>
        </w:numPr>
        <w:spacing w:after="160" w:line="259" w:lineRule="auto"/>
        <w:contextualSpacing/>
        <w:rPr>
          <w:rFonts w:hAnsi="Times New Roman"/>
        </w:rPr>
      </w:pPr>
      <w:r w:rsidRPr="00A65399">
        <w:rPr>
          <w:rFonts w:hAnsi="Times New Roman"/>
        </w:rPr>
        <w:t>If a person who is blind or vision impaired declines a treatment or procedure, healthcare service providers need to make clear to the person any risks and benefits of accepting or declining a service. If the individual persists in declining a service, their opinion must be accepted, as it would be for an individual who is not blind or vision impaired.</w:t>
      </w:r>
    </w:p>
    <w:p w14:paraId="14F8C925" w14:textId="77777777" w:rsidR="000B6BC6" w:rsidRPr="00A65399" w:rsidRDefault="00A92C4D" w:rsidP="00571C60">
      <w:pPr>
        <w:pStyle w:val="ListParagraph"/>
        <w:numPr>
          <w:ilvl w:val="0"/>
          <w:numId w:val="8"/>
        </w:numPr>
        <w:spacing w:after="160" w:line="259" w:lineRule="auto"/>
        <w:contextualSpacing/>
        <w:rPr>
          <w:rFonts w:hAnsi="Times New Roman"/>
        </w:rPr>
      </w:pPr>
      <w:r w:rsidRPr="00A65399">
        <w:rPr>
          <w:rFonts w:hAnsi="Times New Roman"/>
        </w:rPr>
        <w:t xml:space="preserve">The provision of disability awareness training can be implemented in healthcare facilities to all staff directly providing service to healthcare users. </w:t>
      </w:r>
    </w:p>
    <w:p w14:paraId="27495946" w14:textId="77777777" w:rsidR="000B6BC6" w:rsidRDefault="00A92C4D" w:rsidP="005D2D3B">
      <w:pPr>
        <w:pStyle w:val="Heading2"/>
      </w:pPr>
      <w:bookmarkStart w:id="15" w:name="_Toc45546614"/>
      <w:r>
        <w:t>4.4. Partnership</w:t>
      </w:r>
      <w:bookmarkEnd w:id="15"/>
    </w:p>
    <w:p w14:paraId="43F29B2F" w14:textId="77777777" w:rsidR="000B6BC6" w:rsidRPr="00A65399" w:rsidRDefault="00A92C4D" w:rsidP="00571C60">
      <w:pPr>
        <w:pStyle w:val="ListParagraph"/>
        <w:numPr>
          <w:ilvl w:val="0"/>
          <w:numId w:val="9"/>
        </w:numPr>
        <w:spacing w:after="160" w:line="259" w:lineRule="auto"/>
        <w:contextualSpacing/>
        <w:rPr>
          <w:rFonts w:hAnsi="Times New Roman"/>
        </w:rPr>
      </w:pPr>
      <w:r w:rsidRPr="00A65399">
        <w:rPr>
          <w:rFonts w:hAnsi="Times New Roman"/>
        </w:rPr>
        <w:t>People who are blind or vision impaired have a right to engage in open communication and make decisions about their healthcare.</w:t>
      </w:r>
      <w:r w:rsidRPr="00A65399">
        <w:rPr>
          <w:rFonts w:hAnsi="Times New Roman"/>
          <w:vertAlign w:val="superscript"/>
        </w:rPr>
        <w:t>1</w:t>
      </w:r>
    </w:p>
    <w:p w14:paraId="4D384239" w14:textId="6B25913F" w:rsidR="000B6BC6" w:rsidRPr="00A65399" w:rsidRDefault="00A92C4D" w:rsidP="00571C60">
      <w:pPr>
        <w:pStyle w:val="ListParagraph"/>
        <w:numPr>
          <w:ilvl w:val="0"/>
          <w:numId w:val="9"/>
        </w:numPr>
        <w:spacing w:after="160" w:line="259" w:lineRule="auto"/>
        <w:contextualSpacing/>
        <w:rPr>
          <w:rFonts w:hAnsi="Times New Roman"/>
        </w:rPr>
      </w:pPr>
      <w:r w:rsidRPr="00A65399">
        <w:rPr>
          <w:rFonts w:hAnsi="Times New Roman"/>
        </w:rPr>
        <w:t>People who are blind or vision impaired have a right to include the people that they choose, in planning and decision-making.</w:t>
      </w:r>
    </w:p>
    <w:p w14:paraId="3A37FA04" w14:textId="1394AB64" w:rsidR="00A65399" w:rsidRPr="00A65399" w:rsidRDefault="00A92C4D" w:rsidP="00571C60">
      <w:pPr>
        <w:pStyle w:val="ListParagraph"/>
        <w:numPr>
          <w:ilvl w:val="0"/>
          <w:numId w:val="9"/>
        </w:numPr>
        <w:spacing w:after="160" w:line="259" w:lineRule="auto"/>
        <w:contextualSpacing/>
        <w:rPr>
          <w:rFonts w:hAnsi="Times New Roman"/>
        </w:rPr>
      </w:pPr>
      <w:r w:rsidRPr="00A65399">
        <w:rPr>
          <w:rFonts w:hAnsi="Times New Roman"/>
        </w:rPr>
        <w:t>People who are blind or vision impaired have the right to share their experience and participate in improving the quality of health services.</w:t>
      </w:r>
      <w:r w:rsidR="00DE3FDA">
        <w:rPr>
          <w:rFonts w:hAnsi="Times New Roman"/>
          <w:vertAlign w:val="superscript"/>
        </w:rPr>
        <w:t>1</w:t>
      </w:r>
    </w:p>
    <w:p w14:paraId="023D9EED" w14:textId="473F0DA6" w:rsidR="00A65399" w:rsidRDefault="00A65399" w:rsidP="00446FBE">
      <w:pPr>
        <w:pStyle w:val="Heading3"/>
      </w:pPr>
      <w:bookmarkStart w:id="16" w:name="_Toc45546615"/>
      <w:r>
        <w:t>Demonstrating partnership</w:t>
      </w:r>
      <w:bookmarkEnd w:id="16"/>
    </w:p>
    <w:p w14:paraId="35789FD6" w14:textId="380F5E3E" w:rsidR="00A65399" w:rsidRPr="00A65399" w:rsidRDefault="00A65399" w:rsidP="00116050">
      <w:pPr>
        <w:spacing w:before="120"/>
      </w:pPr>
      <w:r>
        <w:t>Partnership is demonstrated when:</w:t>
      </w:r>
    </w:p>
    <w:p w14:paraId="51437D64" w14:textId="77777777" w:rsidR="00C1661C" w:rsidRDefault="00A92C4D" w:rsidP="00571C60">
      <w:pPr>
        <w:pStyle w:val="ListParagraph"/>
        <w:numPr>
          <w:ilvl w:val="0"/>
          <w:numId w:val="10"/>
        </w:numPr>
        <w:spacing w:line="259" w:lineRule="auto"/>
        <w:ind w:left="714" w:hanging="357"/>
        <w:rPr>
          <w:rFonts w:hAnsi="Times New Roman"/>
        </w:rPr>
      </w:pPr>
      <w:r w:rsidRPr="00A65399">
        <w:rPr>
          <w:rFonts w:hAnsi="Times New Roman"/>
        </w:rPr>
        <w:t>Health practitioners are aware of the power imbalance in the practitioner-client relationship and do not exploit their power with any client.</w:t>
      </w:r>
    </w:p>
    <w:p w14:paraId="5B4DE420" w14:textId="22DB37E1" w:rsidR="000B6BC6" w:rsidRPr="00C1661C" w:rsidRDefault="00A92C4D" w:rsidP="00571C60">
      <w:pPr>
        <w:pStyle w:val="ListParagraph"/>
        <w:numPr>
          <w:ilvl w:val="0"/>
          <w:numId w:val="10"/>
        </w:numPr>
        <w:spacing w:line="259" w:lineRule="auto"/>
        <w:ind w:left="714" w:hanging="357"/>
        <w:rPr>
          <w:rFonts w:hAnsi="Times New Roman"/>
        </w:rPr>
      </w:pPr>
      <w:r w:rsidRPr="00C1661C">
        <w:rPr>
          <w:rFonts w:hAnsi="Times New Roman"/>
        </w:rPr>
        <w:t>Practitioners working for healthcare service providers are aware of confidentiality and respect for privacy, when dealing with family, friends, or other support people including interpreters, who may accompany people who are blind or vision impaired to healthcare-related activities or appointments. Respect for privacy means that explicit consent is given by the person who is blind or vision impaired prior to any disclosure of personal information, including sensitive medical information, such as diagnoses, prognoses</w:t>
      </w:r>
      <w:r w:rsidR="00123EDC">
        <w:rPr>
          <w:rFonts w:hAnsi="Times New Roman"/>
        </w:rPr>
        <w:t>,</w:t>
      </w:r>
      <w:r w:rsidRPr="00C1661C">
        <w:rPr>
          <w:rFonts w:hAnsi="Times New Roman"/>
        </w:rPr>
        <w:t xml:space="preserve"> and conditions, to anyone else. </w:t>
      </w:r>
    </w:p>
    <w:p w14:paraId="52526278" w14:textId="2A64D86A" w:rsidR="005D2D3B" w:rsidRPr="005D2D3B" w:rsidRDefault="00A92C4D" w:rsidP="005D2D3B">
      <w:pPr>
        <w:pStyle w:val="ListParagraph"/>
        <w:numPr>
          <w:ilvl w:val="0"/>
          <w:numId w:val="10"/>
        </w:numPr>
        <w:spacing w:after="160" w:line="259" w:lineRule="auto"/>
        <w:contextualSpacing/>
        <w:rPr>
          <w:rFonts w:hAnsi="Times New Roman"/>
        </w:rPr>
      </w:pPr>
      <w:r w:rsidRPr="00A65399">
        <w:rPr>
          <w:rFonts w:hAnsi="Times New Roman"/>
        </w:rPr>
        <w:t xml:space="preserve">Healthcare service providers adhere to the codes of ethics and ethical guidelines of their respective governing bodies. </w:t>
      </w:r>
    </w:p>
    <w:p w14:paraId="604A5051" w14:textId="77777777" w:rsidR="000B6BC6" w:rsidRDefault="00A92C4D" w:rsidP="005D2D3B">
      <w:pPr>
        <w:pStyle w:val="Heading2"/>
      </w:pPr>
      <w:bookmarkStart w:id="17" w:name="_Toc45546616"/>
      <w:r>
        <w:t>4.5 Information</w:t>
      </w:r>
      <w:bookmarkEnd w:id="17"/>
    </w:p>
    <w:p w14:paraId="1DF82B77" w14:textId="32F12C67" w:rsidR="000B6BC6" w:rsidRPr="00A65399" w:rsidRDefault="00A92C4D" w:rsidP="00571C60">
      <w:pPr>
        <w:pStyle w:val="ListParagraph"/>
        <w:numPr>
          <w:ilvl w:val="0"/>
          <w:numId w:val="11"/>
        </w:numPr>
        <w:spacing w:after="160" w:line="259" w:lineRule="auto"/>
        <w:contextualSpacing/>
        <w:rPr>
          <w:rFonts w:hAnsi="Times New Roman"/>
          <w:sz w:val="28"/>
          <w:szCs w:val="28"/>
        </w:rPr>
      </w:pPr>
      <w:r w:rsidRPr="00A65399">
        <w:rPr>
          <w:rFonts w:hAnsi="Times New Roman"/>
        </w:rPr>
        <w:t>People who are blind or vision impaired have the right to be engaged in informed consent and to be told about their condition and the possible benefits and risks of tests and treatments.</w:t>
      </w:r>
      <w:r w:rsidR="009C3955">
        <w:rPr>
          <w:rFonts w:hAnsi="Times New Roman"/>
          <w:sz w:val="28"/>
          <w:szCs w:val="28"/>
          <w:vertAlign w:val="superscript"/>
        </w:rPr>
        <w:t>1</w:t>
      </w:r>
    </w:p>
    <w:p w14:paraId="54A82741" w14:textId="77777777" w:rsidR="000B6BC6" w:rsidRPr="00A65399" w:rsidRDefault="00A92C4D" w:rsidP="00571C60">
      <w:pPr>
        <w:pStyle w:val="ListParagraph"/>
        <w:numPr>
          <w:ilvl w:val="0"/>
          <w:numId w:val="11"/>
        </w:numPr>
        <w:spacing w:after="160" w:line="259" w:lineRule="auto"/>
        <w:contextualSpacing/>
        <w:rPr>
          <w:rFonts w:hAnsi="Times New Roman"/>
          <w:sz w:val="28"/>
          <w:szCs w:val="28"/>
        </w:rPr>
      </w:pPr>
      <w:r w:rsidRPr="00A65399">
        <w:rPr>
          <w:rFonts w:hAnsi="Times New Roman"/>
        </w:rPr>
        <w:t>People who are blind or vision impaired have the right to clear and timely information about services, waiting times, and costs in accessible formats.</w:t>
      </w:r>
      <w:r w:rsidRPr="00A65399">
        <w:rPr>
          <w:rFonts w:hAnsi="Times New Roman"/>
          <w:vertAlign w:val="superscript"/>
        </w:rPr>
        <w:t xml:space="preserve">1,2 </w:t>
      </w:r>
    </w:p>
    <w:p w14:paraId="51F6DD33" w14:textId="77777777" w:rsidR="000B6BC6" w:rsidRPr="00A65399" w:rsidRDefault="00A92C4D" w:rsidP="00571C60">
      <w:pPr>
        <w:pStyle w:val="ListParagraph"/>
        <w:numPr>
          <w:ilvl w:val="0"/>
          <w:numId w:val="11"/>
        </w:numPr>
        <w:spacing w:after="160" w:line="259" w:lineRule="auto"/>
        <w:contextualSpacing/>
        <w:rPr>
          <w:rFonts w:hAnsi="Times New Roman"/>
          <w:sz w:val="28"/>
          <w:szCs w:val="28"/>
        </w:rPr>
      </w:pPr>
      <w:r w:rsidRPr="00A65399">
        <w:rPr>
          <w:rFonts w:hAnsi="Times New Roman"/>
        </w:rPr>
        <w:t>People who are blind or vision impaired have a right to be given assistance to understand health information.</w:t>
      </w:r>
      <w:r w:rsidRPr="00A65399">
        <w:rPr>
          <w:rFonts w:hAnsi="Times New Roman"/>
          <w:vertAlign w:val="superscript"/>
        </w:rPr>
        <w:t>1</w:t>
      </w:r>
    </w:p>
    <w:p w14:paraId="0690DFA6" w14:textId="77777777" w:rsidR="000B6BC6" w:rsidRPr="00A65399" w:rsidRDefault="00A92C4D" w:rsidP="00571C60">
      <w:pPr>
        <w:pStyle w:val="ListParagraph"/>
        <w:numPr>
          <w:ilvl w:val="0"/>
          <w:numId w:val="11"/>
        </w:numPr>
        <w:spacing w:after="160" w:line="259" w:lineRule="auto"/>
        <w:contextualSpacing/>
        <w:rPr>
          <w:rFonts w:hAnsi="Times New Roman"/>
          <w:sz w:val="28"/>
          <w:szCs w:val="28"/>
        </w:rPr>
      </w:pPr>
      <w:r w:rsidRPr="00A65399">
        <w:rPr>
          <w:rFonts w:hAnsi="Times New Roman"/>
        </w:rPr>
        <w:t>People who are blind or vision impaired have the right to be told if something has gone wrong during their healthcare, how it happened and what is being done to resolve the situation.</w:t>
      </w:r>
      <w:r w:rsidRPr="00A65399">
        <w:rPr>
          <w:rFonts w:hAnsi="Times New Roman"/>
          <w:vertAlign w:val="superscript"/>
        </w:rPr>
        <w:t>1</w:t>
      </w:r>
    </w:p>
    <w:p w14:paraId="7EE088EA" w14:textId="6D9AB7E7" w:rsidR="000B6BC6" w:rsidRPr="00A65399" w:rsidRDefault="00157378" w:rsidP="00571C60">
      <w:pPr>
        <w:pStyle w:val="ListParagraph"/>
        <w:numPr>
          <w:ilvl w:val="0"/>
          <w:numId w:val="11"/>
        </w:numPr>
        <w:spacing w:after="160" w:line="259" w:lineRule="auto"/>
        <w:contextualSpacing/>
        <w:rPr>
          <w:rFonts w:hAnsi="Times New Roman"/>
          <w:sz w:val="28"/>
          <w:szCs w:val="28"/>
        </w:rPr>
      </w:pPr>
      <w:r>
        <w:rPr>
          <w:rFonts w:hAnsi="Times New Roman"/>
        </w:rPr>
        <w:t xml:space="preserve">Health care providers need to make provision to assist consumers who are blind or vision impaired to complete relevant forms and other documentation, </w:t>
      </w:r>
      <w:r w:rsidR="00A92C4D" w:rsidRPr="00A65399">
        <w:rPr>
          <w:rFonts w:hAnsi="Times New Roman"/>
        </w:rPr>
        <w:t>with respect to the privacy of the user.</w:t>
      </w:r>
    </w:p>
    <w:p w14:paraId="06F18042" w14:textId="5C62B6C5" w:rsidR="000B6BC6" w:rsidRPr="00A65399" w:rsidRDefault="00A92C4D" w:rsidP="00571C60">
      <w:pPr>
        <w:pStyle w:val="ListParagraph"/>
        <w:numPr>
          <w:ilvl w:val="0"/>
          <w:numId w:val="11"/>
        </w:numPr>
        <w:spacing w:after="160" w:line="259" w:lineRule="auto"/>
        <w:contextualSpacing/>
        <w:rPr>
          <w:rFonts w:hAnsi="Times New Roman"/>
        </w:rPr>
      </w:pPr>
      <w:r w:rsidRPr="00A65399">
        <w:rPr>
          <w:rFonts w:hAnsi="Times New Roman"/>
        </w:rPr>
        <w:t>Any health service providers</w:t>
      </w:r>
      <w:r w:rsidRPr="00A65399">
        <w:rPr>
          <w:rFonts w:hAnsi="Times New Roman"/>
        </w:rPr>
        <w:t>’</w:t>
      </w:r>
      <w:r w:rsidRPr="00A65399">
        <w:rPr>
          <w:rFonts w:hAnsi="Times New Roman"/>
        </w:rPr>
        <w:t xml:space="preserve"> websites need to be compliant with the WCAG</w:t>
      </w:r>
      <w:r w:rsidR="005D2D3B">
        <w:rPr>
          <w:rFonts w:hAnsi="Times New Roman"/>
        </w:rPr>
        <w:t xml:space="preserve"> </w:t>
      </w:r>
      <w:r w:rsidRPr="00A65399">
        <w:rPr>
          <w:rFonts w:hAnsi="Times New Roman"/>
        </w:rPr>
        <w:t xml:space="preserve">2.1 web accessibility standards. </w:t>
      </w:r>
    </w:p>
    <w:p w14:paraId="79D21234" w14:textId="43A09E24" w:rsidR="000B6BC6" w:rsidRPr="00A65399" w:rsidRDefault="00A92C4D" w:rsidP="00571C60">
      <w:pPr>
        <w:pStyle w:val="ListParagraph"/>
        <w:numPr>
          <w:ilvl w:val="0"/>
          <w:numId w:val="11"/>
        </w:numPr>
        <w:spacing w:after="160" w:line="259" w:lineRule="auto"/>
        <w:contextualSpacing/>
        <w:rPr>
          <w:rFonts w:hAnsi="Times New Roman"/>
          <w:sz w:val="28"/>
          <w:szCs w:val="28"/>
        </w:rPr>
      </w:pPr>
      <w:r w:rsidRPr="00A65399">
        <w:rPr>
          <w:rFonts w:hAnsi="Times New Roman"/>
        </w:rPr>
        <w:t xml:space="preserve">People who are blind or vision impaired have the right to receive direct verbal communication regarding treatment, procedures, information, and choices. </w:t>
      </w:r>
    </w:p>
    <w:p w14:paraId="03DF9449" w14:textId="58FB6EF2" w:rsidR="00A65399" w:rsidRPr="00A65399" w:rsidRDefault="00A65399" w:rsidP="00446FBE">
      <w:pPr>
        <w:pStyle w:val="Heading3"/>
      </w:pPr>
      <w:bookmarkStart w:id="18" w:name="_Toc45546617"/>
      <w:r>
        <w:t>Communicating directly</w:t>
      </w:r>
      <w:bookmarkEnd w:id="18"/>
    </w:p>
    <w:p w14:paraId="0B1157DE" w14:textId="77777777" w:rsidR="000B6BC6" w:rsidRDefault="00A92C4D" w:rsidP="00B3327C">
      <w:pPr>
        <w:spacing w:before="120" w:line="259" w:lineRule="auto"/>
        <w:rPr>
          <w:rFonts w:hAnsi="Times New Roman"/>
          <w:sz w:val="28"/>
          <w:szCs w:val="28"/>
        </w:rPr>
      </w:pPr>
      <w:r>
        <w:rPr>
          <w:rFonts w:hAnsi="Times New Roman"/>
        </w:rPr>
        <w:t xml:space="preserve">Direct communication includes: </w:t>
      </w:r>
    </w:p>
    <w:p w14:paraId="3364A69B" w14:textId="77777777" w:rsidR="000B6BC6" w:rsidRPr="00A65399" w:rsidRDefault="00A92C4D" w:rsidP="00571C60">
      <w:pPr>
        <w:pStyle w:val="ListParagraph"/>
        <w:numPr>
          <w:ilvl w:val="0"/>
          <w:numId w:val="12"/>
        </w:numPr>
        <w:spacing w:after="160" w:line="259" w:lineRule="auto"/>
        <w:contextualSpacing/>
        <w:rPr>
          <w:rFonts w:hAnsi="Times New Roman"/>
          <w:sz w:val="28"/>
          <w:szCs w:val="28"/>
        </w:rPr>
      </w:pPr>
      <w:r w:rsidRPr="00A65399">
        <w:rPr>
          <w:rFonts w:hAnsi="Times New Roman"/>
        </w:rPr>
        <w:t>Staff verbally identifying themselves and their role at the beginning of any interaction,</w:t>
      </w:r>
    </w:p>
    <w:p w14:paraId="375862AC" w14:textId="77777777" w:rsidR="000B6BC6" w:rsidRPr="00A65399" w:rsidRDefault="00A92C4D" w:rsidP="00571C60">
      <w:pPr>
        <w:pStyle w:val="ListParagraph"/>
        <w:numPr>
          <w:ilvl w:val="0"/>
          <w:numId w:val="12"/>
        </w:numPr>
        <w:spacing w:after="160" w:line="259" w:lineRule="auto"/>
        <w:contextualSpacing/>
        <w:rPr>
          <w:rFonts w:hAnsi="Times New Roman"/>
          <w:sz w:val="28"/>
          <w:szCs w:val="28"/>
        </w:rPr>
      </w:pPr>
      <w:r w:rsidRPr="00A65399">
        <w:rPr>
          <w:rFonts w:hAnsi="Times New Roman"/>
        </w:rPr>
        <w:t xml:space="preserve">Staff addressing the person directly, </w:t>
      </w:r>
    </w:p>
    <w:p w14:paraId="54CE3C92" w14:textId="77777777" w:rsidR="000B6BC6" w:rsidRPr="00A65399" w:rsidRDefault="00A92C4D" w:rsidP="00571C60">
      <w:pPr>
        <w:pStyle w:val="ListParagraph"/>
        <w:numPr>
          <w:ilvl w:val="0"/>
          <w:numId w:val="12"/>
        </w:numPr>
        <w:spacing w:after="160" w:line="259" w:lineRule="auto"/>
        <w:contextualSpacing/>
        <w:rPr>
          <w:rFonts w:hAnsi="Times New Roman"/>
          <w:sz w:val="28"/>
          <w:szCs w:val="28"/>
        </w:rPr>
      </w:pPr>
      <w:r w:rsidRPr="00A65399">
        <w:rPr>
          <w:rFonts w:hAnsi="Times New Roman"/>
        </w:rPr>
        <w:t>Staff communicating whilst tests and treatments occur, explaining and warning about their physical actions and checking that the person who is blind or vision impaired understands what is or will be happening,</w:t>
      </w:r>
    </w:p>
    <w:p w14:paraId="06F68FF3" w14:textId="77777777" w:rsidR="000B6BC6" w:rsidRPr="00A65399" w:rsidRDefault="00A92C4D" w:rsidP="00571C60">
      <w:pPr>
        <w:pStyle w:val="ListParagraph"/>
        <w:numPr>
          <w:ilvl w:val="0"/>
          <w:numId w:val="12"/>
        </w:numPr>
        <w:spacing w:after="160" w:line="259" w:lineRule="auto"/>
        <w:contextualSpacing/>
        <w:rPr>
          <w:rFonts w:hAnsi="Times New Roman"/>
          <w:sz w:val="28"/>
          <w:szCs w:val="28"/>
        </w:rPr>
      </w:pPr>
      <w:r w:rsidRPr="00A65399">
        <w:rPr>
          <w:rFonts w:hAnsi="Times New Roman"/>
        </w:rPr>
        <w:t>Healthcare service providers need to convey visual information in accessible formats and/or verbally, depending on the situation, and the preferences of the individual, and</w:t>
      </w:r>
    </w:p>
    <w:p w14:paraId="1F562033" w14:textId="716857F0" w:rsidR="005D2D3B" w:rsidRPr="005D2D3B" w:rsidRDefault="00A92C4D" w:rsidP="005D2D3B">
      <w:pPr>
        <w:pStyle w:val="ListParagraph"/>
        <w:numPr>
          <w:ilvl w:val="0"/>
          <w:numId w:val="12"/>
        </w:numPr>
        <w:spacing w:after="160" w:line="259" w:lineRule="auto"/>
        <w:contextualSpacing/>
        <w:rPr>
          <w:rFonts w:hAnsi="Times New Roman"/>
          <w:sz w:val="28"/>
          <w:szCs w:val="28"/>
        </w:rPr>
      </w:pPr>
      <w:r w:rsidRPr="00A65399">
        <w:rPr>
          <w:rFonts w:hAnsi="Times New Roman"/>
        </w:rPr>
        <w:t xml:space="preserve">Not relying on intermediaries to convey information unless that is the stated preference of the person who is blind or vision impaired. </w:t>
      </w:r>
    </w:p>
    <w:p w14:paraId="751F9D4D" w14:textId="77777777" w:rsidR="000B6BC6" w:rsidRDefault="00A92C4D" w:rsidP="005D2D3B">
      <w:pPr>
        <w:pStyle w:val="Heading2"/>
      </w:pPr>
      <w:bookmarkStart w:id="19" w:name="_Toc45546618"/>
      <w:r>
        <w:t>4.6 Giving Feedback</w:t>
      </w:r>
      <w:bookmarkEnd w:id="19"/>
    </w:p>
    <w:p w14:paraId="58E28E87" w14:textId="77777777" w:rsidR="000B6BC6" w:rsidRPr="00A65399" w:rsidRDefault="00A92C4D" w:rsidP="00571C60">
      <w:pPr>
        <w:pStyle w:val="ListParagraph"/>
        <w:numPr>
          <w:ilvl w:val="0"/>
          <w:numId w:val="13"/>
        </w:numPr>
        <w:spacing w:after="160" w:line="259" w:lineRule="auto"/>
        <w:contextualSpacing/>
        <w:rPr>
          <w:rFonts w:hAnsi="Times New Roman"/>
        </w:rPr>
      </w:pPr>
      <w:r w:rsidRPr="00A65399">
        <w:rPr>
          <w:rFonts w:hAnsi="Times New Roman"/>
        </w:rPr>
        <w:t>People who are blind or vision impaired have the right to provide feedback or make a complaint, without it affecting the way that they are treated.</w:t>
      </w:r>
      <w:r w:rsidRPr="00A65399">
        <w:rPr>
          <w:rFonts w:hAnsi="Times New Roman"/>
          <w:vertAlign w:val="superscript"/>
        </w:rPr>
        <w:t>1</w:t>
      </w:r>
    </w:p>
    <w:p w14:paraId="0682BF1E" w14:textId="54006B16" w:rsidR="000B6BC6" w:rsidRPr="00A65399" w:rsidRDefault="00A92C4D" w:rsidP="00571C60">
      <w:pPr>
        <w:pStyle w:val="ListParagraph"/>
        <w:numPr>
          <w:ilvl w:val="0"/>
          <w:numId w:val="13"/>
        </w:numPr>
        <w:spacing w:after="160" w:line="259" w:lineRule="auto"/>
        <w:contextualSpacing/>
        <w:rPr>
          <w:rFonts w:hAnsi="Times New Roman"/>
        </w:rPr>
      </w:pPr>
      <w:r w:rsidRPr="00A65399">
        <w:rPr>
          <w:rFonts w:hAnsi="Times New Roman"/>
        </w:rPr>
        <w:t>People who are blind or vision impaired have the right to have their concerns dealt with in a fair and timely way, including while the service is ongoing.</w:t>
      </w:r>
      <w:r w:rsidR="00A65399" w:rsidRPr="00A65399">
        <w:rPr>
          <w:rFonts w:hAnsi="Times New Roman"/>
          <w:vertAlign w:val="superscript"/>
        </w:rPr>
        <w:t>1</w:t>
      </w:r>
    </w:p>
    <w:p w14:paraId="60EA8EDB" w14:textId="77777777" w:rsidR="000B6BC6" w:rsidRPr="00A65399" w:rsidRDefault="00A92C4D" w:rsidP="00571C60">
      <w:pPr>
        <w:pStyle w:val="ListParagraph"/>
        <w:numPr>
          <w:ilvl w:val="0"/>
          <w:numId w:val="13"/>
        </w:numPr>
        <w:spacing w:after="160" w:line="259" w:lineRule="auto"/>
        <w:contextualSpacing/>
        <w:rPr>
          <w:rFonts w:hAnsi="Times New Roman"/>
        </w:rPr>
      </w:pPr>
      <w:r w:rsidRPr="00A65399">
        <w:rPr>
          <w:rFonts w:hAnsi="Times New Roman"/>
        </w:rPr>
        <w:t>The opinions of people who are blind or vision impaired need to be actively sought, listened to and considered by healthcare service providers, including the impact on blindness and the way the person lives.</w:t>
      </w:r>
    </w:p>
    <w:p w14:paraId="19990AB4" w14:textId="4CD349B7" w:rsidR="005D2D3B" w:rsidRPr="005D2D3B" w:rsidRDefault="00A92C4D" w:rsidP="005D2D3B">
      <w:pPr>
        <w:pStyle w:val="ListParagraph"/>
        <w:numPr>
          <w:ilvl w:val="0"/>
          <w:numId w:val="13"/>
        </w:numPr>
        <w:spacing w:after="160" w:line="259" w:lineRule="auto"/>
        <w:contextualSpacing/>
        <w:rPr>
          <w:rFonts w:hAnsi="Times New Roman"/>
        </w:rPr>
      </w:pPr>
      <w:r w:rsidRPr="00A65399">
        <w:rPr>
          <w:rFonts w:hAnsi="Times New Roman"/>
        </w:rPr>
        <w:t xml:space="preserve">Complaints processes need to be accessible to </w:t>
      </w:r>
      <w:r w:rsidR="00A87C64">
        <w:rPr>
          <w:rFonts w:hAnsi="Times New Roman"/>
        </w:rPr>
        <w:t xml:space="preserve">people who are </w:t>
      </w:r>
      <w:r w:rsidRPr="00A65399">
        <w:rPr>
          <w:rFonts w:hAnsi="Times New Roman"/>
        </w:rPr>
        <w:t>blind or vision impaired and their families, and their complaints and feedback should receive consideration and resolution.</w:t>
      </w:r>
    </w:p>
    <w:p w14:paraId="76FDB8C2" w14:textId="77777777" w:rsidR="000B6BC6" w:rsidRPr="00A65399" w:rsidRDefault="00A92C4D" w:rsidP="005D2D3B">
      <w:pPr>
        <w:pStyle w:val="Heading2"/>
      </w:pPr>
      <w:bookmarkStart w:id="20" w:name="_Toc45546619"/>
      <w:r w:rsidRPr="00A65399">
        <w:t>4.7 Privacy</w:t>
      </w:r>
      <w:bookmarkEnd w:id="20"/>
    </w:p>
    <w:p w14:paraId="7EA5E4D5" w14:textId="77777777" w:rsidR="000B6BC6" w:rsidRPr="00DF1D17" w:rsidRDefault="00A92C4D" w:rsidP="00571C60">
      <w:pPr>
        <w:pStyle w:val="ListParagraph"/>
        <w:numPr>
          <w:ilvl w:val="0"/>
          <w:numId w:val="14"/>
        </w:numPr>
        <w:spacing w:after="160" w:line="256" w:lineRule="auto"/>
        <w:contextualSpacing/>
        <w:rPr>
          <w:rFonts w:hAnsi="Times New Roman"/>
        </w:rPr>
      </w:pPr>
      <w:r w:rsidRPr="00DF1D17">
        <w:rPr>
          <w:rFonts w:hAnsi="Times New Roman"/>
        </w:rPr>
        <w:t>People who are blind or vision impaired, have the right to have their privacy respected.</w:t>
      </w:r>
      <w:r w:rsidRPr="00DF1D17">
        <w:rPr>
          <w:rFonts w:hAnsi="Times New Roman"/>
          <w:vertAlign w:val="superscript"/>
        </w:rPr>
        <w:t>1</w:t>
      </w:r>
    </w:p>
    <w:p w14:paraId="3D48B10C" w14:textId="77777777" w:rsidR="000B6BC6" w:rsidRPr="00DF1D17" w:rsidRDefault="00A92C4D" w:rsidP="00571C60">
      <w:pPr>
        <w:pStyle w:val="ListParagraph"/>
        <w:numPr>
          <w:ilvl w:val="0"/>
          <w:numId w:val="14"/>
        </w:numPr>
        <w:spacing w:after="160" w:line="256" w:lineRule="auto"/>
        <w:contextualSpacing/>
        <w:rPr>
          <w:rFonts w:hAnsi="Times New Roman"/>
        </w:rPr>
      </w:pPr>
      <w:r w:rsidRPr="00DF1D17">
        <w:rPr>
          <w:rFonts w:hAnsi="Times New Roman"/>
        </w:rPr>
        <w:t>Healthcare service providers need to make clear to consumers, including people who are blind or vision impaired, how their information will be stored and kept private. Any information pertaining to privacy and confidentiality needs to be made available to people who are blind or vision impaired in their preferred format.</w:t>
      </w:r>
    </w:p>
    <w:p w14:paraId="28BCE1F7" w14:textId="77777777" w:rsidR="000B6BC6" w:rsidRPr="00DF1D17" w:rsidRDefault="00A92C4D" w:rsidP="00571C60">
      <w:pPr>
        <w:pStyle w:val="ListParagraph"/>
        <w:numPr>
          <w:ilvl w:val="0"/>
          <w:numId w:val="14"/>
        </w:numPr>
        <w:spacing w:after="160" w:line="256" w:lineRule="auto"/>
        <w:contextualSpacing/>
        <w:rPr>
          <w:rFonts w:hAnsi="Times New Roman"/>
        </w:rPr>
      </w:pPr>
      <w:r w:rsidRPr="00DF1D17">
        <w:rPr>
          <w:rFonts w:hAnsi="Times New Roman"/>
        </w:rPr>
        <w:t>People who are blind or vision impaired have the right to the security and confidentiality of their personal and health-related information.</w:t>
      </w:r>
      <w:r w:rsidRPr="00DF1D17">
        <w:rPr>
          <w:rFonts w:hAnsi="Times New Roman"/>
          <w:vertAlign w:val="superscript"/>
        </w:rPr>
        <w:t>1</w:t>
      </w:r>
    </w:p>
    <w:p w14:paraId="71359AF1" w14:textId="77777777" w:rsidR="000B6BC6" w:rsidRPr="00DF1D17" w:rsidRDefault="00A92C4D" w:rsidP="00571C60">
      <w:pPr>
        <w:pStyle w:val="ListParagraph"/>
        <w:numPr>
          <w:ilvl w:val="0"/>
          <w:numId w:val="14"/>
        </w:numPr>
        <w:spacing w:after="160" w:line="256" w:lineRule="auto"/>
        <w:contextualSpacing/>
        <w:rPr>
          <w:rFonts w:hAnsi="Times New Roman"/>
        </w:rPr>
      </w:pPr>
      <w:r w:rsidRPr="00DF1D17">
        <w:rPr>
          <w:rFonts w:hAnsi="Times New Roman"/>
        </w:rPr>
        <w:t xml:space="preserve">Information concerning privacy provisions and policies needs to be communicated to people who are blind or vision impaired in a range of accessible formats. </w:t>
      </w:r>
    </w:p>
    <w:p w14:paraId="30860411" w14:textId="10496D99" w:rsidR="000B6BC6" w:rsidRPr="00DF1D17" w:rsidRDefault="00A92C4D" w:rsidP="00571C60">
      <w:pPr>
        <w:pStyle w:val="ListParagraph"/>
        <w:numPr>
          <w:ilvl w:val="0"/>
          <w:numId w:val="14"/>
        </w:numPr>
        <w:spacing w:after="160" w:line="256" w:lineRule="auto"/>
        <w:contextualSpacing/>
        <w:rPr>
          <w:rFonts w:hAnsi="Times New Roman"/>
        </w:rPr>
      </w:pPr>
      <w:r w:rsidRPr="00DF1D17">
        <w:rPr>
          <w:rFonts w:hAnsi="Times New Roman"/>
        </w:rPr>
        <w:t>Information concerning healthcare should not be</w:t>
      </w:r>
      <w:r w:rsidR="00C43708">
        <w:rPr>
          <w:rFonts w:hAnsi="Times New Roman"/>
        </w:rPr>
        <w:t xml:space="preserve"> </w:t>
      </w:r>
      <w:r w:rsidRPr="00DF1D17">
        <w:rPr>
          <w:rFonts w:hAnsi="Times New Roman"/>
        </w:rPr>
        <w:t xml:space="preserve">communicated to, or through intermediaries. </w:t>
      </w:r>
    </w:p>
    <w:p w14:paraId="7D0AEC7E" w14:textId="77777777" w:rsidR="00DF1D17" w:rsidRDefault="00A92C4D" w:rsidP="00571C60">
      <w:pPr>
        <w:pStyle w:val="ListParagraph"/>
        <w:numPr>
          <w:ilvl w:val="0"/>
          <w:numId w:val="14"/>
        </w:numPr>
        <w:spacing w:after="160" w:line="256" w:lineRule="auto"/>
        <w:contextualSpacing/>
        <w:rPr>
          <w:rFonts w:hAnsi="Times New Roman"/>
        </w:rPr>
      </w:pPr>
      <w:r w:rsidRPr="00DF1D17">
        <w:rPr>
          <w:rFonts w:hAnsi="Times New Roman"/>
        </w:rPr>
        <w:t>People who are blind or vision impaired need to have accessible, confidential options, in order to provide information to healthcare providers.</w:t>
      </w:r>
    </w:p>
    <w:p w14:paraId="3BD1C156" w14:textId="77777777" w:rsidR="000B6BC6" w:rsidRPr="00DF1D17" w:rsidRDefault="00A92C4D" w:rsidP="00571C60">
      <w:pPr>
        <w:pStyle w:val="ListParagraph"/>
        <w:numPr>
          <w:ilvl w:val="0"/>
          <w:numId w:val="14"/>
        </w:numPr>
        <w:spacing w:after="160" w:line="256" w:lineRule="auto"/>
        <w:contextualSpacing/>
        <w:rPr>
          <w:rFonts w:hAnsi="Times New Roman"/>
        </w:rPr>
      </w:pPr>
      <w:r w:rsidRPr="00DF1D17">
        <w:rPr>
          <w:rFonts w:hAnsi="Times New Roman"/>
        </w:rPr>
        <w:t>People who are blind or vision impaired should not be required to disclose private information in public venues, or without other mechanisms to ensure privacy. Any provisions to protect privacy must take into account digital eavesdropping (e.g. preventing others seeing enlarged text displays on devices etc.) and aural eavesdropping (e.g., other bystanders overhearing information, especially where the person who is blind or vision impaired may not be aware of their presence).</w:t>
      </w:r>
    </w:p>
    <w:p w14:paraId="78F2DCA0" w14:textId="77777777" w:rsidR="000B6BC6" w:rsidRPr="00A65399" w:rsidRDefault="00A92C4D" w:rsidP="005D2D3B">
      <w:pPr>
        <w:pStyle w:val="Heading2"/>
      </w:pPr>
      <w:bookmarkStart w:id="21" w:name="_Toc45546620"/>
      <w:r w:rsidRPr="00A65399">
        <w:t>4.8 Blindness and vision loss</w:t>
      </w:r>
      <w:bookmarkEnd w:id="21"/>
    </w:p>
    <w:p w14:paraId="1806E4E8" w14:textId="77777777" w:rsidR="000B6BC6" w:rsidRPr="00F06D4B" w:rsidRDefault="00A92C4D" w:rsidP="00571C60">
      <w:pPr>
        <w:pStyle w:val="ListParagraph"/>
        <w:numPr>
          <w:ilvl w:val="0"/>
          <w:numId w:val="15"/>
        </w:numPr>
        <w:spacing w:after="160" w:line="256" w:lineRule="auto"/>
        <w:contextualSpacing/>
        <w:rPr>
          <w:rFonts w:hAnsi="Times New Roman"/>
        </w:rPr>
      </w:pPr>
      <w:r w:rsidRPr="00F06D4B">
        <w:rPr>
          <w:rFonts w:hAnsi="Times New Roman"/>
        </w:rPr>
        <w:t xml:space="preserve">People who are blind or vision impaired have a right to all the above principles in all healthcare settings and contexts, but especially when they are receiving healthcare for their blindness or vision loss. </w:t>
      </w:r>
    </w:p>
    <w:p w14:paraId="5B8858A5" w14:textId="6FD8D7F7" w:rsidR="000B6BC6" w:rsidRPr="00F06D4B" w:rsidRDefault="00A92C4D" w:rsidP="00571C60">
      <w:pPr>
        <w:pStyle w:val="ListParagraph"/>
        <w:numPr>
          <w:ilvl w:val="0"/>
          <w:numId w:val="15"/>
        </w:numPr>
        <w:spacing w:after="160" w:line="256" w:lineRule="auto"/>
        <w:contextualSpacing/>
        <w:rPr>
          <w:rFonts w:hAnsi="Times New Roman"/>
        </w:rPr>
      </w:pPr>
      <w:r w:rsidRPr="00F06D4B">
        <w:rPr>
          <w:rFonts w:hAnsi="Times New Roman"/>
        </w:rPr>
        <w:t>A healthcare provider</w:t>
      </w:r>
      <w:r w:rsidR="00842D99">
        <w:rPr>
          <w:rFonts w:hAnsi="Times New Roman"/>
        </w:rPr>
        <w:t xml:space="preserve"> </w:t>
      </w:r>
      <w:r w:rsidRPr="00F06D4B">
        <w:rPr>
          <w:rFonts w:hAnsi="Times New Roman"/>
        </w:rPr>
        <w:t xml:space="preserve">can demonstrate awareness of the needs of a person experiencing blindness or vision loss </w:t>
      </w:r>
      <w:r w:rsidR="00705B20">
        <w:rPr>
          <w:rFonts w:hAnsi="Times New Roman"/>
        </w:rPr>
        <w:t>in the following ways.</w:t>
      </w:r>
      <w:r w:rsidRPr="00F06D4B">
        <w:rPr>
          <w:rFonts w:hAnsi="Times New Roman"/>
        </w:rPr>
        <w:t xml:space="preserve"> </w:t>
      </w:r>
    </w:p>
    <w:p w14:paraId="18BD8CE8" w14:textId="74B8360C" w:rsidR="000B6BC6" w:rsidRPr="00705B20" w:rsidRDefault="00A92C4D" w:rsidP="00571C60">
      <w:pPr>
        <w:pStyle w:val="ListParagraph"/>
        <w:numPr>
          <w:ilvl w:val="0"/>
          <w:numId w:val="17"/>
        </w:numPr>
        <w:spacing w:after="160" w:line="256" w:lineRule="auto"/>
        <w:ind w:left="1134"/>
        <w:contextualSpacing/>
        <w:rPr>
          <w:rFonts w:hAnsi="Times New Roman"/>
        </w:rPr>
      </w:pPr>
      <w:r w:rsidRPr="00705B20">
        <w:rPr>
          <w:rFonts w:hAnsi="Times New Roman"/>
        </w:rPr>
        <w:t>A person experiencing progressive vision loss is given accessible information about their condition, including potential outcomes and possible treatments.</w:t>
      </w:r>
    </w:p>
    <w:p w14:paraId="282D932E" w14:textId="77777777" w:rsidR="00705B20" w:rsidRDefault="00A92C4D" w:rsidP="00571C60">
      <w:pPr>
        <w:pStyle w:val="ListParagraph"/>
        <w:numPr>
          <w:ilvl w:val="0"/>
          <w:numId w:val="17"/>
        </w:numPr>
        <w:spacing w:after="160" w:line="256" w:lineRule="auto"/>
        <w:ind w:left="1134"/>
        <w:contextualSpacing/>
        <w:rPr>
          <w:rFonts w:hAnsi="Times New Roman"/>
        </w:rPr>
      </w:pPr>
      <w:r w:rsidRPr="00F06D4B">
        <w:rPr>
          <w:rFonts w:hAnsi="Times New Roman"/>
        </w:rPr>
        <w:t xml:space="preserve">A person experiencing progressive vision loss is referred to appropriate services, in accordance with Vision 2020's referral Pathways tool. </w:t>
      </w:r>
    </w:p>
    <w:p w14:paraId="41B28D36" w14:textId="77777777" w:rsidR="00705B20" w:rsidRDefault="00A92C4D" w:rsidP="00571C60">
      <w:pPr>
        <w:pStyle w:val="ListParagraph"/>
        <w:numPr>
          <w:ilvl w:val="0"/>
          <w:numId w:val="17"/>
        </w:numPr>
        <w:spacing w:after="160" w:line="256" w:lineRule="auto"/>
        <w:ind w:left="1134"/>
        <w:contextualSpacing/>
        <w:rPr>
          <w:rFonts w:hAnsi="Times New Roman"/>
        </w:rPr>
      </w:pPr>
      <w:r w:rsidRPr="00705B20">
        <w:rPr>
          <w:rFonts w:hAnsi="Times New Roman"/>
        </w:rPr>
        <w:t>A person experiencing vision loss has the right to choose which, if any, treatment or services they receive.</w:t>
      </w:r>
    </w:p>
    <w:p w14:paraId="5F402E81" w14:textId="77777777" w:rsidR="00705B20" w:rsidRDefault="00A92C4D" w:rsidP="00571C60">
      <w:pPr>
        <w:pStyle w:val="ListParagraph"/>
        <w:numPr>
          <w:ilvl w:val="0"/>
          <w:numId w:val="17"/>
        </w:numPr>
        <w:spacing w:after="160" w:line="256" w:lineRule="auto"/>
        <w:ind w:left="1134"/>
        <w:contextualSpacing/>
        <w:rPr>
          <w:rFonts w:hAnsi="Times New Roman"/>
        </w:rPr>
      </w:pPr>
      <w:r w:rsidRPr="00705B20">
        <w:rPr>
          <w:rFonts w:hAnsi="Times New Roman"/>
        </w:rPr>
        <w:t xml:space="preserve">The healthcare professional providing treatment, genuinely seeks consent, in a way that allows for refusal, from a person experiencing blindness or vision </w:t>
      </w:r>
      <w:r w:rsidR="00705B20" w:rsidRPr="00705B20">
        <w:rPr>
          <w:rFonts w:hAnsi="Times New Roman"/>
        </w:rPr>
        <w:t>loss before</w:t>
      </w:r>
      <w:r w:rsidRPr="00705B20">
        <w:rPr>
          <w:rFonts w:hAnsi="Times New Roman"/>
        </w:rPr>
        <w:t xml:space="preserve"> colleagues or trainees attend a consultation or examine the person's eyes.</w:t>
      </w:r>
    </w:p>
    <w:p w14:paraId="1AE06D2D" w14:textId="3299F311" w:rsidR="00705B20" w:rsidRDefault="00A92C4D" w:rsidP="00571C60">
      <w:pPr>
        <w:pStyle w:val="ListParagraph"/>
        <w:numPr>
          <w:ilvl w:val="0"/>
          <w:numId w:val="17"/>
        </w:numPr>
        <w:spacing w:after="160" w:line="256" w:lineRule="auto"/>
        <w:ind w:left="1134"/>
        <w:contextualSpacing/>
        <w:rPr>
          <w:rFonts w:hAnsi="Times New Roman"/>
        </w:rPr>
      </w:pPr>
      <w:r w:rsidRPr="00705B20">
        <w:rPr>
          <w:rFonts w:hAnsi="Times New Roman"/>
        </w:rPr>
        <w:t xml:space="preserve">Medications which can prevent or affect the conditions which cause vision </w:t>
      </w:r>
      <w:r w:rsidR="005D2D3B" w:rsidRPr="00705B20">
        <w:rPr>
          <w:rFonts w:hAnsi="Times New Roman"/>
        </w:rPr>
        <w:t>loss,</w:t>
      </w:r>
      <w:r w:rsidRPr="00705B20">
        <w:rPr>
          <w:rFonts w:hAnsi="Times New Roman"/>
        </w:rPr>
        <w:t xml:space="preserve"> or which are used for eyecare should be available under the Pharmaceutical Benefits Scheme. </w:t>
      </w:r>
    </w:p>
    <w:p w14:paraId="6F3D0C82" w14:textId="77777777" w:rsidR="00705B20" w:rsidRDefault="00A92C4D" w:rsidP="00571C60">
      <w:pPr>
        <w:pStyle w:val="ListParagraph"/>
        <w:numPr>
          <w:ilvl w:val="0"/>
          <w:numId w:val="17"/>
        </w:numPr>
        <w:spacing w:after="160" w:line="256" w:lineRule="auto"/>
        <w:ind w:left="1134"/>
        <w:contextualSpacing/>
        <w:rPr>
          <w:rFonts w:hAnsi="Times New Roman"/>
        </w:rPr>
      </w:pPr>
      <w:r w:rsidRPr="00705B20">
        <w:rPr>
          <w:rFonts w:hAnsi="Times New Roman"/>
        </w:rPr>
        <w:t>People who are blind or vision impaired, especially women and girls, should be given accessible and tailored information about their reproductive health, rights, and choices.</w:t>
      </w:r>
    </w:p>
    <w:p w14:paraId="034FAE19" w14:textId="77777777" w:rsidR="00705B20" w:rsidRDefault="00A92C4D" w:rsidP="00571C60">
      <w:pPr>
        <w:pStyle w:val="ListParagraph"/>
        <w:numPr>
          <w:ilvl w:val="0"/>
          <w:numId w:val="17"/>
        </w:numPr>
        <w:spacing w:after="160" w:line="256" w:lineRule="auto"/>
        <w:ind w:left="1134"/>
        <w:contextualSpacing/>
        <w:rPr>
          <w:rFonts w:hAnsi="Times New Roman"/>
        </w:rPr>
      </w:pPr>
      <w:r w:rsidRPr="00705B20">
        <w:rPr>
          <w:rFonts w:hAnsi="Times New Roman"/>
        </w:rPr>
        <w:t xml:space="preserve">Where parents are receiving genetic counselling in relation to a condition which may result in blindness or vision impairment, in their child, they should be offered the opportunity of meeting with adults living with that condition. </w:t>
      </w:r>
    </w:p>
    <w:p w14:paraId="318A7EA9" w14:textId="575A28F5" w:rsidR="000B6BC6" w:rsidRDefault="00A92C4D" w:rsidP="00571C60">
      <w:pPr>
        <w:pStyle w:val="ListParagraph"/>
        <w:numPr>
          <w:ilvl w:val="0"/>
          <w:numId w:val="17"/>
        </w:numPr>
        <w:spacing w:after="160" w:line="256" w:lineRule="auto"/>
        <w:ind w:left="1134"/>
        <w:contextualSpacing/>
        <w:rPr>
          <w:rFonts w:hAnsi="Times New Roman"/>
        </w:rPr>
      </w:pPr>
      <w:r w:rsidRPr="00705B20">
        <w:rPr>
          <w:rFonts w:hAnsi="Times New Roman"/>
        </w:rPr>
        <w:t>People living with blindness or vision loss should not be asked questions about their condition by healthcare providers unless the information is relevant to the service being provided.</w:t>
      </w:r>
    </w:p>
    <w:p w14:paraId="38E22B2A" w14:textId="77777777" w:rsidR="00084F54" w:rsidRDefault="00084F54" w:rsidP="00084F54">
      <w:pPr>
        <w:pStyle w:val="ListParagraph"/>
        <w:spacing w:after="160" w:line="256" w:lineRule="auto"/>
        <w:ind w:left="1134"/>
        <w:contextualSpacing/>
        <w:rPr>
          <w:rFonts w:hAnsi="Times New Roman"/>
        </w:rPr>
      </w:pPr>
    </w:p>
    <w:p w14:paraId="22FEA123" w14:textId="00734D54" w:rsidR="001206A1" w:rsidRPr="00141E74" w:rsidRDefault="001206A1" w:rsidP="009C3919">
      <w:pPr>
        <w:pStyle w:val="Heading1"/>
        <w:rPr>
          <w:sz w:val="40"/>
          <w:szCs w:val="40"/>
        </w:rPr>
      </w:pPr>
      <w:bookmarkStart w:id="22" w:name="_Toc45546621"/>
      <w:r>
        <w:t>5. Glossary of key terms</w:t>
      </w:r>
      <w:bookmarkEnd w:id="22"/>
    </w:p>
    <w:p w14:paraId="1D78714A" w14:textId="77777777" w:rsidR="001206A1" w:rsidRPr="00141E74" w:rsidRDefault="001206A1" w:rsidP="00571C60">
      <w:pPr>
        <w:pStyle w:val="ListParagraph"/>
        <w:numPr>
          <w:ilvl w:val="0"/>
          <w:numId w:val="16"/>
        </w:numPr>
        <w:tabs>
          <w:tab w:val="left" w:pos="6237"/>
        </w:tabs>
        <w:spacing w:after="160" w:line="259" w:lineRule="auto"/>
        <w:contextualSpacing/>
        <w:rPr>
          <w:rFonts w:hAnsi="Times New Roman"/>
          <w:i/>
        </w:rPr>
      </w:pPr>
      <w:r w:rsidRPr="00141E74">
        <w:rPr>
          <w:rFonts w:hAnsi="Times New Roman"/>
          <w:i/>
        </w:rPr>
        <w:t xml:space="preserve">Accessibility </w:t>
      </w:r>
      <w:r w:rsidRPr="00141E74">
        <w:rPr>
          <w:rFonts w:hAnsi="Times New Roman"/>
        </w:rPr>
        <w:t xml:space="preserve">refers to making either physical locations or communications able to be used by everyone, including people who are blind or vision impaired. </w:t>
      </w:r>
    </w:p>
    <w:p w14:paraId="309EF8DA" w14:textId="77777777" w:rsidR="001206A1" w:rsidRPr="00141E74" w:rsidRDefault="001206A1" w:rsidP="00571C60">
      <w:pPr>
        <w:pStyle w:val="ListParagraph"/>
        <w:numPr>
          <w:ilvl w:val="0"/>
          <w:numId w:val="16"/>
        </w:numPr>
        <w:tabs>
          <w:tab w:val="left" w:pos="6237"/>
        </w:tabs>
        <w:spacing w:after="160" w:line="259" w:lineRule="auto"/>
        <w:contextualSpacing/>
        <w:rPr>
          <w:rFonts w:hAnsi="Times New Roman"/>
          <w:i/>
        </w:rPr>
      </w:pPr>
      <w:r w:rsidRPr="00141E74">
        <w:rPr>
          <w:rFonts w:hAnsi="Times New Roman"/>
          <w:i/>
        </w:rPr>
        <w:t xml:space="preserve">Blindness </w:t>
      </w:r>
      <w:r w:rsidRPr="00141E74">
        <w:rPr>
          <w:rFonts w:hAnsi="Times New Roman"/>
        </w:rPr>
        <w:t>includes vision impairment or low vision.</w:t>
      </w:r>
    </w:p>
    <w:p w14:paraId="5DBD9C49" w14:textId="77777777" w:rsidR="001206A1" w:rsidRPr="00141E74" w:rsidRDefault="001206A1" w:rsidP="00571C60">
      <w:pPr>
        <w:pStyle w:val="ListParagraph"/>
        <w:numPr>
          <w:ilvl w:val="0"/>
          <w:numId w:val="16"/>
        </w:numPr>
        <w:spacing w:after="160" w:line="259" w:lineRule="auto"/>
        <w:contextualSpacing/>
        <w:rPr>
          <w:rFonts w:hAnsi="Times New Roman"/>
        </w:rPr>
      </w:pPr>
      <w:r w:rsidRPr="00141E74">
        <w:rPr>
          <w:rFonts w:hAnsi="Times New Roman"/>
          <w:i/>
        </w:rPr>
        <w:t xml:space="preserve">Blindness service provider </w:t>
      </w:r>
      <w:r w:rsidRPr="00141E74">
        <w:rPr>
          <w:rFonts w:hAnsi="Times New Roman"/>
        </w:rPr>
        <w:t>refers to any organisation whose main focus is providing services to blind people or which portrays itself to the public as being in existence to assist people who are blind or vision impaired.</w:t>
      </w:r>
    </w:p>
    <w:p w14:paraId="4E21753C" w14:textId="77777777" w:rsidR="001206A1" w:rsidRPr="00141E74" w:rsidRDefault="001206A1" w:rsidP="00571C60">
      <w:pPr>
        <w:pStyle w:val="ListParagraph"/>
        <w:numPr>
          <w:ilvl w:val="0"/>
          <w:numId w:val="16"/>
        </w:numPr>
        <w:spacing w:after="160" w:line="259" w:lineRule="auto"/>
        <w:contextualSpacing/>
        <w:rPr>
          <w:rFonts w:hAnsi="Times New Roman"/>
          <w:i/>
        </w:rPr>
      </w:pPr>
      <w:r w:rsidRPr="00141E74">
        <w:rPr>
          <w:rFonts w:hAnsi="Times New Roman"/>
          <w:i/>
        </w:rPr>
        <w:t xml:space="preserve">Communication </w:t>
      </w:r>
      <w:r w:rsidRPr="00141E74">
        <w:rPr>
          <w:rFonts w:hAnsi="Times New Roman"/>
        </w:rPr>
        <w:t>refers to all face-to-face, print, electronic, verbal or other written, audio or audio-visual information about a healthcare service, procedure, treatment, advice, billing and any other communication produced by a healthcare service.</w:t>
      </w:r>
    </w:p>
    <w:p w14:paraId="749B5B08" w14:textId="77777777" w:rsidR="001206A1" w:rsidRPr="00141E74" w:rsidRDefault="001206A1" w:rsidP="00571C60">
      <w:pPr>
        <w:pStyle w:val="ListParagraph"/>
        <w:numPr>
          <w:ilvl w:val="0"/>
          <w:numId w:val="16"/>
        </w:numPr>
        <w:tabs>
          <w:tab w:val="left" w:pos="6237"/>
        </w:tabs>
        <w:spacing w:after="160" w:line="259" w:lineRule="auto"/>
        <w:contextualSpacing/>
        <w:rPr>
          <w:rFonts w:hAnsi="Times New Roman"/>
          <w:i/>
        </w:rPr>
      </w:pPr>
      <w:r w:rsidRPr="00141E74">
        <w:rPr>
          <w:rFonts w:hAnsi="Times New Roman"/>
          <w:i/>
        </w:rPr>
        <w:t xml:space="preserve">Consumer </w:t>
      </w:r>
      <w:r w:rsidRPr="00141E74">
        <w:rPr>
          <w:rFonts w:hAnsi="Times New Roman"/>
        </w:rPr>
        <w:t xml:space="preserve">refers to all people accessing a healthcare service provider. </w:t>
      </w:r>
    </w:p>
    <w:p w14:paraId="7AB1FD50" w14:textId="110E7CE7" w:rsidR="001206A1" w:rsidRDefault="001206A1" w:rsidP="00571C60">
      <w:pPr>
        <w:pStyle w:val="ListParagraph"/>
        <w:numPr>
          <w:ilvl w:val="0"/>
          <w:numId w:val="16"/>
        </w:numPr>
        <w:spacing w:after="160" w:line="259" w:lineRule="auto"/>
        <w:contextualSpacing/>
        <w:rPr>
          <w:rFonts w:hAnsi="Times New Roman"/>
        </w:rPr>
      </w:pPr>
      <w:r w:rsidRPr="00141E74">
        <w:rPr>
          <w:rFonts w:hAnsi="Times New Roman"/>
          <w:i/>
        </w:rPr>
        <w:t xml:space="preserve">Healthcare service provider </w:t>
      </w:r>
      <w:r w:rsidRPr="00141E74">
        <w:rPr>
          <w:rFonts w:hAnsi="Times New Roman"/>
        </w:rPr>
        <w:t xml:space="preserve">or </w:t>
      </w:r>
      <w:r w:rsidRPr="00141E74">
        <w:rPr>
          <w:rFonts w:hAnsi="Times New Roman"/>
          <w:i/>
        </w:rPr>
        <w:t xml:space="preserve">healthcare service </w:t>
      </w:r>
      <w:r w:rsidRPr="00141E74">
        <w:rPr>
          <w:rFonts w:hAnsi="Times New Roman"/>
        </w:rPr>
        <w:t xml:space="preserve">refers to any service which offers services to people for the benefit of their health. It refers to any provider which advertises or portrays itself to provide healthcare services or product to the public. </w:t>
      </w:r>
    </w:p>
    <w:p w14:paraId="73DA5659" w14:textId="77777777" w:rsidR="009872CE" w:rsidRPr="001206A1" w:rsidRDefault="009872CE" w:rsidP="009872CE">
      <w:pPr>
        <w:pStyle w:val="ListParagraph"/>
        <w:spacing w:after="160" w:line="259" w:lineRule="auto"/>
        <w:contextualSpacing/>
        <w:rPr>
          <w:rFonts w:hAnsi="Times New Roman"/>
        </w:rPr>
      </w:pPr>
    </w:p>
    <w:p w14:paraId="2929E42D" w14:textId="5B25E5FD" w:rsidR="000B6BC6" w:rsidRDefault="001206A1" w:rsidP="009C3919">
      <w:pPr>
        <w:pStyle w:val="Heading1"/>
      </w:pPr>
      <w:bookmarkStart w:id="23" w:name="_Toc45546622"/>
      <w:r>
        <w:t>6.</w:t>
      </w:r>
      <w:r w:rsidR="00C27D5B">
        <w:t xml:space="preserve"> </w:t>
      </w:r>
      <w:r w:rsidR="00A92C4D">
        <w:t>Other relevant research</w:t>
      </w:r>
      <w:bookmarkEnd w:id="23"/>
      <w:r w:rsidR="00A92C4D">
        <w:t xml:space="preserve"> </w:t>
      </w:r>
    </w:p>
    <w:p w14:paraId="47235077" w14:textId="77777777" w:rsidR="000B6BC6" w:rsidRDefault="00A92C4D">
      <w:pPr>
        <w:ind w:left="720" w:hanging="720"/>
        <w:rPr>
          <w:rFonts w:hAnsi="Times New Roman"/>
        </w:rPr>
      </w:pPr>
      <w:r>
        <w:rPr>
          <w:rFonts w:hAnsi="Times New Roman"/>
        </w:rPr>
        <w:t xml:space="preserve">Ahmed, T., Hoyle, R., Connelly, K., Crandall, D. &amp;Kapadia, A. (2015). Privacy concerns and behaviours of people with visual impairments. </w:t>
      </w:r>
      <w:r>
        <w:rPr>
          <w:rFonts w:hAnsi="Times New Roman"/>
          <w:i/>
        </w:rPr>
        <w:t>Proceedings of the 33rd Annual ACM Conference on Human Factors in Computing Systems</w:t>
      </w:r>
      <w:r>
        <w:rPr>
          <w:rFonts w:hAnsi="Times New Roman"/>
        </w:rPr>
        <w:t xml:space="preserve"> (pp. 3523-32). Seoul, Republic of Korea: ACM Digital Library. doi: 10.1145/2702123.2702334</w:t>
      </w:r>
    </w:p>
    <w:p w14:paraId="30D2AEF6" w14:textId="77777777" w:rsidR="000B6BC6" w:rsidRDefault="00A92C4D">
      <w:pPr>
        <w:ind w:left="720" w:hanging="720"/>
        <w:rPr>
          <w:rFonts w:hAnsi="Times New Roman"/>
        </w:rPr>
      </w:pPr>
      <w:r>
        <w:rPr>
          <w:rFonts w:hAnsi="Times New Roman"/>
        </w:rPr>
        <w:t xml:space="preserve">Cupples, M., Hart, P., Johnston, A. &amp; Jackson, A.J. (2012) Improving health access for people with visual impairment and blindness. </w:t>
      </w:r>
      <w:r>
        <w:rPr>
          <w:rFonts w:hAnsi="Times New Roman"/>
          <w:i/>
        </w:rPr>
        <w:t>BMJ (Clinical Research edition), 344</w:t>
      </w:r>
      <w:r>
        <w:rPr>
          <w:rFonts w:hAnsi="Times New Roman"/>
        </w:rPr>
        <w:t>(7842), e542. doi: 10.1136/bmj.e542</w:t>
      </w:r>
    </w:p>
    <w:p w14:paraId="1D8EE305" w14:textId="77777777" w:rsidR="000B6BC6" w:rsidRDefault="00A92C4D">
      <w:pPr>
        <w:ind w:left="720" w:hanging="720"/>
        <w:rPr>
          <w:rFonts w:hAnsi="Times New Roman"/>
        </w:rPr>
      </w:pPr>
      <w:r>
        <w:rPr>
          <w:rFonts w:hAnsi="Times New Roman"/>
        </w:rPr>
        <w:t xml:space="preserve">Luckowski, A. &amp; Luckowski, M. (2015). Caring for a patient with vision loss. </w:t>
      </w:r>
      <w:r>
        <w:rPr>
          <w:rFonts w:hAnsi="Times New Roman"/>
          <w:i/>
        </w:rPr>
        <w:t>Nursing2015</w:t>
      </w:r>
      <w:r>
        <w:rPr>
          <w:rFonts w:hAnsi="Times New Roman"/>
        </w:rPr>
        <w:t xml:space="preserve">, </w:t>
      </w:r>
      <w:r>
        <w:rPr>
          <w:rFonts w:hAnsi="Times New Roman"/>
          <w:i/>
        </w:rPr>
        <w:t>45</w:t>
      </w:r>
      <w:r>
        <w:rPr>
          <w:rFonts w:hAnsi="Times New Roman"/>
        </w:rPr>
        <w:t>(11), 55-8. doi: 10.1097/01.NURSE.0000471416.42310.35</w:t>
      </w:r>
    </w:p>
    <w:p w14:paraId="0DA7ED84" w14:textId="77777777" w:rsidR="000B6BC6" w:rsidRDefault="00A92C4D">
      <w:pPr>
        <w:ind w:left="720" w:hanging="720"/>
        <w:rPr>
          <w:rFonts w:hAnsi="Times New Roman"/>
        </w:rPr>
      </w:pPr>
      <w:r>
        <w:rPr>
          <w:rFonts w:hAnsi="Times New Roman"/>
        </w:rPr>
        <w:t xml:space="preserve">Rosenberg, E. A. &amp; Sperazza, L.C. (2008). The visually impaired patient. </w:t>
      </w:r>
      <w:r>
        <w:rPr>
          <w:rFonts w:hAnsi="Times New Roman"/>
          <w:i/>
        </w:rPr>
        <w:t>American Family Physician</w:t>
      </w:r>
      <w:r>
        <w:rPr>
          <w:rFonts w:hAnsi="Times New Roman"/>
        </w:rPr>
        <w:t xml:space="preserve">, </w:t>
      </w:r>
      <w:r>
        <w:rPr>
          <w:rFonts w:hAnsi="Times New Roman"/>
          <w:i/>
        </w:rPr>
        <w:t>77</w:t>
      </w:r>
      <w:r>
        <w:rPr>
          <w:rFonts w:hAnsi="Times New Roman"/>
        </w:rPr>
        <w:t xml:space="preserve">(10), 1431-6. </w:t>
      </w:r>
    </w:p>
    <w:p w14:paraId="1BDE4A7B" w14:textId="5EE8CACA" w:rsidR="000B6BC6" w:rsidRPr="001206A1" w:rsidRDefault="00A92C4D" w:rsidP="001206A1">
      <w:pPr>
        <w:ind w:left="720" w:hanging="720"/>
        <w:rPr>
          <w:rFonts w:hAnsi="Times New Roman"/>
        </w:rPr>
      </w:pPr>
      <w:r>
        <w:rPr>
          <w:rFonts w:hAnsi="Times New Roman"/>
          <w:color w:val="333333"/>
          <w:shd w:val="clear" w:color="000000" w:fill="FFFFFF"/>
        </w:rPr>
        <w:t>Thurston, M., &amp; Thurston, A. (2013). Risks to Client Confidentiality when Communicating Health Information to Blind and Partially Sighted Persons.</w:t>
      </w:r>
      <w:r>
        <w:rPr>
          <w:rFonts w:hAnsi="Times New Roman"/>
          <w:color w:val="333333"/>
          <w:shd w:val="clear" w:color="000000" w:fill="FFFFFF"/>
        </w:rPr>
        <w:t> </w:t>
      </w:r>
      <w:r>
        <w:rPr>
          <w:rStyle w:val="Emphasis"/>
          <w:rFonts w:hAnsi="Times New Roman"/>
          <w:color w:val="333333"/>
          <w:sz w:val="32"/>
          <w:szCs w:val="32"/>
          <w:shd w:val="clear" w:color="000000" w:fill="FFFFFF"/>
        </w:rPr>
        <w:t>Disability, CBR &amp; Inclusive Development, 24</w:t>
      </w:r>
      <w:r>
        <w:rPr>
          <w:rFonts w:hAnsi="Times New Roman"/>
          <w:color w:val="333333"/>
          <w:shd w:val="clear" w:color="000000" w:fill="FFFFFF"/>
        </w:rPr>
        <w:t xml:space="preserve">(1), 22-40. doi: </w:t>
      </w:r>
      <w:r>
        <w:rPr>
          <w:rFonts w:hAnsi="Times New Roman"/>
          <w:shd w:val="clear" w:color="000000" w:fill="FFFFFF"/>
        </w:rPr>
        <w:t>https://doi.org/10.5463/dcid.v24i1.182</w:t>
      </w:r>
      <w:r w:rsidRPr="001206A1">
        <w:rPr>
          <w:rFonts w:hAnsi="Times New Roman"/>
        </w:rPr>
        <w:t xml:space="preserve"> </w:t>
      </w:r>
    </w:p>
    <w:sectPr w:rsidR="000B6BC6" w:rsidRPr="001206A1" w:rsidSect="00C7078E">
      <w:footerReference w:type="default" r:id="rId10"/>
      <w:endnotePr>
        <w:numFmt w:val="decimal"/>
      </w:endnotePr>
      <w:pgSz w:w="11906" w:h="16838"/>
      <w:pgMar w:top="1440" w:right="1440" w:bottom="1440" w:left="1440" w:header="708" w:footer="708"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FE3D6" w14:textId="77777777" w:rsidR="00DF5704" w:rsidRDefault="00DF5704">
      <w:r>
        <w:separator/>
      </w:r>
    </w:p>
  </w:endnote>
  <w:endnote w:type="continuationSeparator" w:id="0">
    <w:p w14:paraId="1411552F" w14:textId="77777777" w:rsidR="00DF5704" w:rsidRDefault="00DF5704">
      <w:r>
        <w:continuationSeparator/>
      </w:r>
    </w:p>
  </w:endnote>
  <w:endnote w:id="1">
    <w:p w14:paraId="6280E83A" w14:textId="21BF188C" w:rsidR="003C7FDC" w:rsidRPr="00EC6EEF" w:rsidRDefault="003C7FDC">
      <w:pPr>
        <w:pStyle w:val="EndnoteText"/>
        <w:rPr>
          <w:rFonts w:hAnsi="Times New Roman"/>
          <w:sz w:val="24"/>
          <w:szCs w:val="24"/>
        </w:rPr>
      </w:pPr>
      <w:r w:rsidRPr="00EC6EEF">
        <w:rPr>
          <w:rStyle w:val="EndnoteReference"/>
          <w:rFonts w:hAnsi="Times New Roman"/>
          <w:sz w:val="24"/>
          <w:szCs w:val="24"/>
        </w:rPr>
        <w:endnoteRef/>
      </w:r>
      <w:r w:rsidRPr="00EC6EEF">
        <w:rPr>
          <w:rFonts w:hAnsi="Times New Roman"/>
          <w:sz w:val="24"/>
          <w:szCs w:val="24"/>
        </w:rPr>
        <w:t xml:space="preserve"> Australian Commission on Safety and Quality in Healthcare (2019). </w:t>
      </w:r>
      <w:r w:rsidRPr="00EC6EEF">
        <w:rPr>
          <w:rFonts w:hAnsi="Times New Roman"/>
          <w:i/>
          <w:sz w:val="24"/>
          <w:szCs w:val="24"/>
        </w:rPr>
        <w:t>Australian Charter of Healthcare Rights</w:t>
      </w:r>
      <w:r w:rsidRPr="00EC6EEF">
        <w:rPr>
          <w:rFonts w:hAnsi="Times New Roman"/>
          <w:sz w:val="24"/>
          <w:szCs w:val="24"/>
        </w:rPr>
        <w:t xml:space="preserve"> (2</w:t>
      </w:r>
      <w:r w:rsidRPr="00EC6EEF">
        <w:rPr>
          <w:rFonts w:hAnsi="Times New Roman"/>
          <w:sz w:val="24"/>
          <w:szCs w:val="24"/>
          <w:vertAlign w:val="superscript"/>
        </w:rPr>
        <w:t>nd</w:t>
      </w:r>
      <w:r w:rsidRPr="00EC6EEF">
        <w:rPr>
          <w:rFonts w:hAnsi="Times New Roman"/>
          <w:sz w:val="24"/>
          <w:szCs w:val="24"/>
        </w:rPr>
        <w:t xml:space="preserve"> ed.). Retrieved from </w:t>
      </w:r>
      <w:hyperlink r:id="rId1">
        <w:r w:rsidRPr="00D57CFA">
          <w:rPr>
            <w:rStyle w:val="Hyperlink"/>
            <w:rFonts w:hAnsi="Times New Roman"/>
            <w:color w:val="4472C4" w:themeColor="accent1"/>
            <w:sz w:val="24"/>
            <w:szCs w:val="24"/>
          </w:rPr>
          <w:t>https://www.safetyandquality.gov.au/publications-and-resources/resource-library/australian-charter-healthcare-rights-second-edition-a4-accessible</w:t>
        </w:r>
      </w:hyperlink>
      <w:r w:rsidR="004E59AE" w:rsidRPr="00D57CFA">
        <w:rPr>
          <w:rStyle w:val="Hyperlink"/>
          <w:rFonts w:hAnsi="Times New Roman"/>
          <w:color w:val="4472C4" w:themeColor="accent1"/>
          <w:sz w:val="24"/>
          <w:szCs w:val="24"/>
        </w:rPr>
        <w:t xml:space="preserve"> </w:t>
      </w:r>
      <w:r w:rsidRPr="00D57CFA">
        <w:rPr>
          <w:rFonts w:hAnsi="Times New Roman"/>
          <w:color w:val="4472C4" w:themeColor="accent1"/>
          <w:sz w:val="24"/>
          <w:szCs w:val="24"/>
        </w:rPr>
        <w:t xml:space="preserve"> </w:t>
      </w:r>
    </w:p>
  </w:endnote>
  <w:endnote w:id="2">
    <w:p w14:paraId="0659DB15" w14:textId="3B1D87AE" w:rsidR="003C7FDC" w:rsidRDefault="003C7FDC">
      <w:pPr>
        <w:pStyle w:val="EndnoteText"/>
        <w:rPr>
          <w:rFonts w:hAnsi="Times New Roman"/>
        </w:rPr>
      </w:pPr>
      <w:r w:rsidRPr="00EC6EEF">
        <w:rPr>
          <w:rStyle w:val="EndnoteReference"/>
          <w:rFonts w:hAnsi="Times New Roman"/>
          <w:sz w:val="24"/>
          <w:szCs w:val="24"/>
        </w:rPr>
        <w:endnoteRef/>
      </w:r>
      <w:r w:rsidRPr="00EC6EEF">
        <w:rPr>
          <w:rFonts w:hAnsi="Times New Roman"/>
          <w:sz w:val="24"/>
          <w:szCs w:val="24"/>
        </w:rPr>
        <w:t xml:space="preserve"> </w:t>
      </w:r>
      <w:r w:rsidRPr="00EC6EEF">
        <w:rPr>
          <w:rFonts w:hAnsi="Times New Roman"/>
          <w:sz w:val="24"/>
          <w:szCs w:val="24"/>
          <w:shd w:val="clear" w:color="000000" w:fill="FFFFFF"/>
        </w:rPr>
        <w:t>Australian Government (2012).</w:t>
      </w:r>
      <w:r w:rsidRPr="00EC6EEF">
        <w:rPr>
          <w:rFonts w:hAnsi="Times New Roman"/>
          <w:sz w:val="24"/>
          <w:szCs w:val="24"/>
          <w:shd w:val="clear" w:color="000000" w:fill="FFFFFF"/>
        </w:rPr>
        <w:t> </w:t>
      </w:r>
      <w:r w:rsidRPr="00EC6EEF">
        <w:rPr>
          <w:rFonts w:hAnsi="Times New Roman"/>
          <w:i/>
          <w:sz w:val="24"/>
          <w:szCs w:val="24"/>
          <w:shd w:val="clear" w:color="000000" w:fill="FFFFFF"/>
        </w:rPr>
        <w:t>National Disability Strategy 2010-2020</w:t>
      </w:r>
      <w:r w:rsidRPr="00EC6EEF">
        <w:rPr>
          <w:rFonts w:hAnsi="Times New Roman"/>
          <w:sz w:val="24"/>
          <w:szCs w:val="24"/>
          <w:shd w:val="clear" w:color="000000" w:fill="FFFFFF"/>
        </w:rPr>
        <w:t xml:space="preserve">. Canberra: Australian Government. Retrieved from </w:t>
      </w:r>
      <w:hyperlink r:id="rId2">
        <w:r w:rsidRPr="00D57CFA">
          <w:rPr>
            <w:rStyle w:val="Hyperlink"/>
            <w:rFonts w:hAnsi="Times New Roman"/>
            <w:color w:val="4472C4" w:themeColor="accent1"/>
            <w:sz w:val="24"/>
            <w:szCs w:val="24"/>
          </w:rPr>
          <w:t>https://www.dss.gov.au/our-responsibilities/disability-and-carers/publications-articles/policy-research/national-disability-strategy-2010-2020</w:t>
        </w:r>
      </w:hyperlink>
      <w:r w:rsidR="004E59AE" w:rsidRPr="00D57CFA">
        <w:rPr>
          <w:rStyle w:val="Hyperlink"/>
          <w:rFonts w:hAnsi="Times New Roman"/>
          <w:color w:val="4472C4" w:themeColor="accent1"/>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0176" w14:textId="77777777" w:rsidR="000B6BC6" w:rsidRDefault="00A92C4D">
    <w:pPr>
      <w:pStyle w:val="Footer"/>
      <w:jc w:val="right"/>
      <w:rPr>
        <w:rFonts w:hAnsi="Times New Roman"/>
      </w:rPr>
    </w:pPr>
    <w:r>
      <w:fldChar w:fldCharType="begin"/>
    </w:r>
    <w:r>
      <w:instrText>PAGE  \* MERGEFORMAT</w:instrText>
    </w:r>
    <w:r>
      <w:fldChar w:fldCharType="separate"/>
    </w:r>
    <w:r>
      <w:rPr>
        <w:rFonts w:hAnsi="Times New Roman"/>
      </w:rPr>
      <w:t>13</w:t>
    </w:r>
    <w:r>
      <w:fldChar w:fldCharType="end"/>
    </w:r>
  </w:p>
  <w:p w14:paraId="5D0FE2C8" w14:textId="77777777" w:rsidR="000B6BC6" w:rsidRDefault="000B6BC6">
    <w:pPr>
      <w:pStyle w:val="Foote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EACAA" w14:textId="77777777" w:rsidR="00DF5704" w:rsidRDefault="00DF5704">
      <w:r>
        <w:separator/>
      </w:r>
    </w:p>
  </w:footnote>
  <w:footnote w:type="continuationSeparator" w:id="0">
    <w:p w14:paraId="330B605B" w14:textId="77777777" w:rsidR="00DF5704" w:rsidRDefault="00DF5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2"/>
    <w:multiLevelType w:val="hybridMultilevel"/>
    <w:tmpl w:val="12A8FD24"/>
    <w:lvl w:ilvl="0" w:tplc="15884DE2">
      <w:start w:val="1"/>
      <w:numFmt w:val="decimal"/>
      <w:pStyle w:val="ListBullet"/>
      <w:lvlText w:val="%1."/>
      <w:lvlJc w:val="left"/>
      <w:pPr>
        <w:tabs>
          <w:tab w:val="left" w:pos="360"/>
        </w:tabs>
        <w:ind w:left="360" w:hanging="360"/>
      </w:pPr>
      <w:rPr>
        <w:rFonts w:ascii="Calibri" w:eastAsia="Times New Roman" w:hAnsi="Times New Roman" w:cs="Times New Roman"/>
        <w:w w:val="100"/>
        <w:sz w:val="32"/>
        <w:szCs w:val="32"/>
        <w:shd w:val="clear" w:color="000000" w:fill="auto"/>
      </w:rPr>
    </w:lvl>
    <w:lvl w:ilvl="1" w:tplc="87F081A2">
      <w:start w:val="1"/>
      <w:numFmt w:val="bullet"/>
      <w:lvlText w:val="·"/>
      <w:lvlJc w:val="left"/>
      <w:pPr>
        <w:tabs>
          <w:tab w:val="left" w:pos="360"/>
        </w:tabs>
        <w:ind w:left="360" w:hanging="360"/>
      </w:pPr>
      <w:rPr>
        <w:rFonts w:ascii="Calibri" w:eastAsia="Calibri" w:hAnsi="Calibri"/>
        <w:w w:val="100"/>
        <w:sz w:val="32"/>
        <w:szCs w:val="32"/>
        <w:shd w:val="clear" w:color="000000" w:fill="auto"/>
      </w:rPr>
    </w:lvl>
    <w:lvl w:ilvl="2" w:tplc="A6CEC20E">
      <w:start w:val="1"/>
      <w:numFmt w:val="bullet"/>
      <w:lvlText w:val="·"/>
      <w:lvlJc w:val="left"/>
      <w:pPr>
        <w:tabs>
          <w:tab w:val="left" w:pos="360"/>
        </w:tabs>
        <w:ind w:left="360" w:hanging="360"/>
      </w:pPr>
      <w:rPr>
        <w:rFonts w:ascii="Calibri" w:eastAsia="Calibri" w:hAnsi="Calibri"/>
        <w:w w:val="100"/>
        <w:sz w:val="32"/>
        <w:szCs w:val="32"/>
        <w:shd w:val="clear" w:color="000000" w:fill="auto"/>
      </w:rPr>
    </w:lvl>
    <w:lvl w:ilvl="3" w:tplc="3AE4B138">
      <w:start w:val="1"/>
      <w:numFmt w:val="bullet"/>
      <w:lvlText w:val="·"/>
      <w:lvlJc w:val="left"/>
      <w:pPr>
        <w:tabs>
          <w:tab w:val="left" w:pos="360"/>
        </w:tabs>
        <w:ind w:left="360" w:hanging="360"/>
      </w:pPr>
      <w:rPr>
        <w:rFonts w:ascii="Calibri" w:eastAsia="Calibri" w:hAnsi="Calibri"/>
        <w:w w:val="100"/>
        <w:sz w:val="32"/>
        <w:szCs w:val="32"/>
        <w:shd w:val="clear" w:color="000000" w:fill="auto"/>
      </w:rPr>
    </w:lvl>
    <w:lvl w:ilvl="4" w:tplc="56BC0030">
      <w:start w:val="1"/>
      <w:numFmt w:val="bullet"/>
      <w:lvlText w:val="·"/>
      <w:lvlJc w:val="left"/>
      <w:pPr>
        <w:tabs>
          <w:tab w:val="left" w:pos="360"/>
        </w:tabs>
        <w:ind w:left="360" w:hanging="360"/>
      </w:pPr>
      <w:rPr>
        <w:rFonts w:ascii="Calibri" w:eastAsia="Calibri" w:hAnsi="Calibri"/>
        <w:w w:val="100"/>
        <w:sz w:val="32"/>
        <w:szCs w:val="32"/>
        <w:shd w:val="clear" w:color="000000" w:fill="auto"/>
      </w:rPr>
    </w:lvl>
    <w:lvl w:ilvl="5" w:tplc="A35A3D52">
      <w:start w:val="1"/>
      <w:numFmt w:val="bullet"/>
      <w:lvlText w:val="·"/>
      <w:lvlJc w:val="left"/>
      <w:pPr>
        <w:tabs>
          <w:tab w:val="left" w:pos="360"/>
        </w:tabs>
        <w:ind w:left="360" w:hanging="360"/>
      </w:pPr>
      <w:rPr>
        <w:rFonts w:ascii="Calibri" w:eastAsia="Calibri" w:hAnsi="Calibri"/>
        <w:w w:val="100"/>
        <w:sz w:val="32"/>
        <w:szCs w:val="32"/>
        <w:shd w:val="clear" w:color="000000" w:fill="auto"/>
      </w:rPr>
    </w:lvl>
    <w:lvl w:ilvl="6" w:tplc="C6B6D408">
      <w:start w:val="1"/>
      <w:numFmt w:val="bullet"/>
      <w:lvlText w:val="·"/>
      <w:lvlJc w:val="left"/>
      <w:pPr>
        <w:tabs>
          <w:tab w:val="left" w:pos="360"/>
        </w:tabs>
        <w:ind w:left="360" w:hanging="360"/>
      </w:pPr>
      <w:rPr>
        <w:rFonts w:ascii="Calibri" w:eastAsia="Calibri" w:hAnsi="Calibri"/>
        <w:w w:val="100"/>
        <w:sz w:val="32"/>
        <w:szCs w:val="32"/>
        <w:shd w:val="clear" w:color="000000" w:fill="auto"/>
      </w:rPr>
    </w:lvl>
    <w:lvl w:ilvl="7" w:tplc="B87272EE">
      <w:start w:val="1"/>
      <w:numFmt w:val="bullet"/>
      <w:lvlText w:val="·"/>
      <w:lvlJc w:val="left"/>
      <w:pPr>
        <w:tabs>
          <w:tab w:val="left" w:pos="360"/>
        </w:tabs>
        <w:ind w:left="360" w:hanging="360"/>
      </w:pPr>
      <w:rPr>
        <w:rFonts w:ascii="Calibri" w:eastAsia="Calibri" w:hAnsi="Calibri"/>
        <w:w w:val="100"/>
        <w:sz w:val="32"/>
        <w:szCs w:val="32"/>
        <w:shd w:val="clear" w:color="000000" w:fill="auto"/>
      </w:rPr>
    </w:lvl>
    <w:lvl w:ilvl="8" w:tplc="A9BAEC2E">
      <w:start w:val="1"/>
      <w:numFmt w:val="bullet"/>
      <w:lvlText w:val="·"/>
      <w:lvlJc w:val="left"/>
      <w:pPr>
        <w:tabs>
          <w:tab w:val="left" w:pos="360"/>
        </w:tabs>
        <w:ind w:left="360" w:hanging="360"/>
      </w:pPr>
      <w:rPr>
        <w:rFonts w:ascii="Calibri" w:eastAsia="Calibri" w:hAnsi="Calibri"/>
        <w:w w:val="100"/>
        <w:sz w:val="32"/>
        <w:szCs w:val="32"/>
        <w:shd w:val="clear" w:color="000000" w:fill="auto"/>
      </w:rPr>
    </w:lvl>
  </w:abstractNum>
  <w:abstractNum w:abstractNumId="1" w15:restartNumberingAfterBreak="0">
    <w:nsid w:val="057C03F8"/>
    <w:multiLevelType w:val="hybridMultilevel"/>
    <w:tmpl w:val="D2221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D75FB3"/>
    <w:multiLevelType w:val="hybridMultilevel"/>
    <w:tmpl w:val="5480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125B0"/>
    <w:multiLevelType w:val="hybridMultilevel"/>
    <w:tmpl w:val="1FA2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A55D7"/>
    <w:multiLevelType w:val="hybridMultilevel"/>
    <w:tmpl w:val="BA4EE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24C65"/>
    <w:multiLevelType w:val="hybridMultilevel"/>
    <w:tmpl w:val="183E8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57DA8"/>
    <w:multiLevelType w:val="hybridMultilevel"/>
    <w:tmpl w:val="E98C1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3499F"/>
    <w:multiLevelType w:val="hybridMultilevel"/>
    <w:tmpl w:val="39A87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323AF1"/>
    <w:multiLevelType w:val="hybridMultilevel"/>
    <w:tmpl w:val="93FE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E5EC2"/>
    <w:multiLevelType w:val="hybridMultilevel"/>
    <w:tmpl w:val="195E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659C3"/>
    <w:multiLevelType w:val="hybridMultilevel"/>
    <w:tmpl w:val="B3FA1B08"/>
    <w:lvl w:ilvl="0" w:tplc="7D8282E6">
      <w:start w:val="1"/>
      <w:numFmt w:val="decimal"/>
      <w:lvlText w:val="%1."/>
      <w:lvlJc w:val="left"/>
      <w:pPr>
        <w:ind w:left="720" w:hanging="360"/>
      </w:pPr>
      <w:rPr>
        <w:rFonts w:ascii="Calibri"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F56C59"/>
    <w:multiLevelType w:val="hybridMultilevel"/>
    <w:tmpl w:val="F6B07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73525"/>
    <w:multiLevelType w:val="hybridMultilevel"/>
    <w:tmpl w:val="096A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0E1ACB"/>
    <w:multiLevelType w:val="hybridMultilevel"/>
    <w:tmpl w:val="42AE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93303F"/>
    <w:multiLevelType w:val="hybridMultilevel"/>
    <w:tmpl w:val="3306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114C5"/>
    <w:multiLevelType w:val="hybridMultilevel"/>
    <w:tmpl w:val="EA1A6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9B1057"/>
    <w:multiLevelType w:val="hybridMultilevel"/>
    <w:tmpl w:val="38E6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4740BE"/>
    <w:multiLevelType w:val="hybridMultilevel"/>
    <w:tmpl w:val="D244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
  </w:num>
  <w:num w:numId="6">
    <w:abstractNumId w:val="9"/>
  </w:num>
  <w:num w:numId="7">
    <w:abstractNumId w:val="14"/>
  </w:num>
  <w:num w:numId="8">
    <w:abstractNumId w:val="12"/>
  </w:num>
  <w:num w:numId="9">
    <w:abstractNumId w:val="5"/>
  </w:num>
  <w:num w:numId="10">
    <w:abstractNumId w:val="17"/>
  </w:num>
  <w:num w:numId="11">
    <w:abstractNumId w:val="16"/>
  </w:num>
  <w:num w:numId="12">
    <w:abstractNumId w:val="15"/>
  </w:num>
  <w:num w:numId="13">
    <w:abstractNumId w:val="13"/>
  </w:num>
  <w:num w:numId="14">
    <w:abstractNumId w:val="7"/>
  </w:num>
  <w:num w:numId="15">
    <w:abstractNumId w:val="6"/>
  </w:num>
  <w:num w:numId="16">
    <w:abstractNumId w:val="2"/>
  </w:num>
  <w:num w:numId="17">
    <w:abstractNumId w:val="1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defaultTabStop w:val="72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6"/>
    <w:rsid w:val="00015D4F"/>
    <w:rsid w:val="000267E1"/>
    <w:rsid w:val="00084F54"/>
    <w:rsid w:val="000A125C"/>
    <w:rsid w:val="000B6BC6"/>
    <w:rsid w:val="00116050"/>
    <w:rsid w:val="001206A1"/>
    <w:rsid w:val="00123EDC"/>
    <w:rsid w:val="00141D97"/>
    <w:rsid w:val="00141E74"/>
    <w:rsid w:val="001447F6"/>
    <w:rsid w:val="00157378"/>
    <w:rsid w:val="001C236D"/>
    <w:rsid w:val="001D5446"/>
    <w:rsid w:val="00215031"/>
    <w:rsid w:val="00284E74"/>
    <w:rsid w:val="002E1874"/>
    <w:rsid w:val="002F2728"/>
    <w:rsid w:val="0032574C"/>
    <w:rsid w:val="003B6D0F"/>
    <w:rsid w:val="003C7FDC"/>
    <w:rsid w:val="00446FBE"/>
    <w:rsid w:val="00447876"/>
    <w:rsid w:val="004E0AD0"/>
    <w:rsid w:val="004E59AE"/>
    <w:rsid w:val="004F3AE3"/>
    <w:rsid w:val="00502BBF"/>
    <w:rsid w:val="0052229E"/>
    <w:rsid w:val="00551B03"/>
    <w:rsid w:val="00571C60"/>
    <w:rsid w:val="00575964"/>
    <w:rsid w:val="005A3324"/>
    <w:rsid w:val="005A67B4"/>
    <w:rsid w:val="005C0E2B"/>
    <w:rsid w:val="005D2D3B"/>
    <w:rsid w:val="0062144F"/>
    <w:rsid w:val="0068767C"/>
    <w:rsid w:val="006A4A2C"/>
    <w:rsid w:val="00705B20"/>
    <w:rsid w:val="00720180"/>
    <w:rsid w:val="00767F97"/>
    <w:rsid w:val="007706CD"/>
    <w:rsid w:val="00770C92"/>
    <w:rsid w:val="00784C0A"/>
    <w:rsid w:val="007A0718"/>
    <w:rsid w:val="007B4531"/>
    <w:rsid w:val="007D0519"/>
    <w:rsid w:val="007F34F4"/>
    <w:rsid w:val="00803A23"/>
    <w:rsid w:val="00842D99"/>
    <w:rsid w:val="008C25AD"/>
    <w:rsid w:val="009872CE"/>
    <w:rsid w:val="009C3919"/>
    <w:rsid w:val="009C3955"/>
    <w:rsid w:val="009E4930"/>
    <w:rsid w:val="009F56AA"/>
    <w:rsid w:val="009F623B"/>
    <w:rsid w:val="00A65171"/>
    <w:rsid w:val="00A65399"/>
    <w:rsid w:val="00A87C64"/>
    <w:rsid w:val="00A92C4D"/>
    <w:rsid w:val="00A96663"/>
    <w:rsid w:val="00AA38B4"/>
    <w:rsid w:val="00B10CE8"/>
    <w:rsid w:val="00B3327C"/>
    <w:rsid w:val="00B71D34"/>
    <w:rsid w:val="00BD079A"/>
    <w:rsid w:val="00C1661C"/>
    <w:rsid w:val="00C27D5B"/>
    <w:rsid w:val="00C43708"/>
    <w:rsid w:val="00C7078E"/>
    <w:rsid w:val="00C908CE"/>
    <w:rsid w:val="00CD69C3"/>
    <w:rsid w:val="00D57CFA"/>
    <w:rsid w:val="00DE3FDA"/>
    <w:rsid w:val="00DF1D17"/>
    <w:rsid w:val="00DF5704"/>
    <w:rsid w:val="00E35A26"/>
    <w:rsid w:val="00EC6EEF"/>
    <w:rsid w:val="00EF144A"/>
    <w:rsid w:val="00F06D4B"/>
    <w:rsid w:val="00F302DA"/>
    <w:rsid w:val="00FB407D"/>
    <w:rsid w:val="00FC1F70"/>
    <w:rsid w:val="00FC37AB"/>
    <w:rsid w:val="00FC3E5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F2BBA"/>
  <w15:docId w15:val="{58453323-33D2-4E91-8B72-108F8CF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32"/>
      <w:szCs w:val="32"/>
    </w:rPr>
  </w:style>
  <w:style w:type="paragraph" w:styleId="Heading1">
    <w:name w:val="heading 1"/>
    <w:basedOn w:val="Normal"/>
    <w:link w:val="Heading1Char"/>
    <w:uiPriority w:val="9"/>
    <w:qFormat/>
    <w:rsid w:val="009C3919"/>
    <w:pPr>
      <w:keepNext/>
      <w:keepLines/>
      <w:ind w:left="851" w:hanging="851"/>
      <w:outlineLvl w:val="0"/>
    </w:pPr>
    <w:rPr>
      <w:rFonts w:asciiTheme="minorHAnsi" w:eastAsia="Calibri Light" w:hAnsiTheme="minorHAnsi" w:cstheme="minorHAnsi"/>
      <w:b/>
      <w:bCs/>
    </w:rPr>
  </w:style>
  <w:style w:type="paragraph" w:styleId="Heading2">
    <w:name w:val="heading 2"/>
    <w:basedOn w:val="Normal"/>
    <w:next w:val="Normal"/>
    <w:link w:val="Heading2Char"/>
    <w:uiPriority w:val="9"/>
    <w:unhideWhenUsed/>
    <w:qFormat/>
    <w:rsid w:val="005D2D3B"/>
    <w:pPr>
      <w:keepNext/>
      <w:keepLines/>
      <w:spacing w:before="200" w:line="259" w:lineRule="auto"/>
      <w:outlineLvl w:val="1"/>
    </w:pPr>
    <w:rPr>
      <w:rFonts w:eastAsia="Calibri"/>
      <w:b/>
    </w:rPr>
  </w:style>
  <w:style w:type="paragraph" w:styleId="Heading3">
    <w:name w:val="heading 3"/>
    <w:basedOn w:val="Normal"/>
    <w:next w:val="Normal"/>
    <w:link w:val="Heading3Char"/>
    <w:uiPriority w:val="9"/>
    <w:unhideWhenUsed/>
    <w:qFormat/>
    <w:rsid w:val="00446FBE"/>
    <w:pPr>
      <w:keepNext/>
      <w:keepLines/>
      <w:outlineLvl w:val="2"/>
    </w:pPr>
    <w:rPr>
      <w:rFonts w:asciiTheme="minorHAnsi" w:eastAsia="Calibri Light"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5"/>
    <w:qFormat/>
    <w:rPr>
      <w:rFonts w:ascii="Arial" w:eastAsia="Mangal" w:hAnsi="Arial"/>
      <w:sz w:val="32"/>
      <w:szCs w:val="32"/>
    </w:rPr>
  </w:style>
  <w:style w:type="character" w:styleId="Emphasis">
    <w:name w:val="Emphasis"/>
    <w:basedOn w:val="DefaultParagraphFont"/>
    <w:uiPriority w:val="18"/>
    <w:qFormat/>
    <w:rPr>
      <w:i/>
      <w:w w:val="100"/>
      <w:sz w:val="20"/>
      <w:szCs w:val="20"/>
      <w:shd w:val="clear" w:color="000000" w:fill="auto"/>
    </w:rPr>
  </w:style>
  <w:style w:type="paragraph" w:styleId="ListParagraph">
    <w:name w:val="List Paragraph"/>
    <w:basedOn w:val="Normal"/>
    <w:uiPriority w:val="26"/>
    <w:qFormat/>
    <w:pPr>
      <w:ind w:left="720"/>
    </w:pPr>
  </w:style>
  <w:style w:type="paragraph" w:styleId="TOCHeading">
    <w:name w:val="TOC Heading"/>
    <w:basedOn w:val="Heading1"/>
    <w:next w:val="Normal"/>
    <w:uiPriority w:val="39"/>
    <w:unhideWhenUsed/>
    <w:qFormat/>
    <w:rPr>
      <w:rFonts w:ascii="Calibri Light" w:hAnsi="Calibri Light"/>
      <w:b w:val="0"/>
      <w:color w:val="2F5496" w:themeColor="accent1" w:themeShade="BF"/>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character" w:customStyle="1" w:styleId="Heading1Char">
    <w:name w:val="Heading 1 Char"/>
    <w:basedOn w:val="DefaultParagraphFont"/>
    <w:link w:val="Heading1"/>
    <w:uiPriority w:val="9"/>
    <w:rsid w:val="009C3919"/>
    <w:rPr>
      <w:rFonts w:asciiTheme="minorHAnsi" w:eastAsia="Calibri Light" w:hAnsiTheme="minorHAnsi" w:cstheme="minorHAnsi"/>
      <w:b/>
      <w:bCs/>
      <w:sz w:val="32"/>
      <w:szCs w:val="32"/>
    </w:rPr>
  </w:style>
  <w:style w:type="paragraph" w:styleId="ListBullet">
    <w:name w:val="List Bullet"/>
    <w:basedOn w:val="Normal"/>
    <w:unhideWhenUsed/>
    <w:pPr>
      <w:numPr>
        <w:numId w:val="1"/>
      </w:numPr>
    </w:pPr>
  </w:style>
  <w:style w:type="character" w:customStyle="1" w:styleId="NoSpacingChar">
    <w:name w:val="No Spacing Char"/>
    <w:link w:val="NoSpacing"/>
    <w:rPr>
      <w:rFonts w:ascii="Arial" w:eastAsia="Mangal" w:hAnsi="Arial"/>
      <w:w w:val="100"/>
      <w:sz w:val="32"/>
      <w:szCs w:val="32"/>
      <w:shd w:val="clear" w:color="000000" w:fill="auto"/>
    </w:rPr>
  </w:style>
  <w:style w:type="character" w:styleId="Hyperlink">
    <w:name w:val="Hyperlink"/>
    <w:basedOn w:val="DefaultParagraphFont"/>
    <w:uiPriority w:val="99"/>
    <w:unhideWhenUsed/>
    <w:rPr>
      <w:color w:val="0563C1" w:themeColor="hyperlink"/>
      <w:w w:val="100"/>
      <w:sz w:val="20"/>
      <w:szCs w:val="20"/>
      <w:u w:val="single"/>
      <w:shd w:val="clear" w:color="000000" w:fill="auto"/>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character" w:customStyle="1" w:styleId="Heading2Char">
    <w:name w:val="Heading 2 Char"/>
    <w:basedOn w:val="DefaultParagraphFont"/>
    <w:link w:val="Heading2"/>
    <w:uiPriority w:val="9"/>
    <w:rsid w:val="005D2D3B"/>
    <w:rPr>
      <w:rFonts w:eastAsia="Calibri"/>
      <w:b/>
      <w:sz w:val="32"/>
      <w:szCs w:val="32"/>
    </w:rPr>
  </w:style>
  <w:style w:type="character" w:customStyle="1" w:styleId="Heading3Char">
    <w:name w:val="Heading 3 Char"/>
    <w:basedOn w:val="DefaultParagraphFont"/>
    <w:link w:val="Heading3"/>
    <w:uiPriority w:val="9"/>
    <w:rsid w:val="00446FBE"/>
    <w:rPr>
      <w:rFonts w:asciiTheme="minorHAnsi" w:eastAsia="Calibri Light" w:hAnsiTheme="minorHAnsi" w:cstheme="minorHAnsi"/>
      <w:sz w:val="32"/>
      <w:szCs w:val="32"/>
    </w:rPr>
  </w:style>
  <w:style w:type="character" w:styleId="CommentReference">
    <w:name w:val="annotation reference"/>
    <w:basedOn w:val="DefaultParagraphFont"/>
    <w:semiHidden/>
    <w:unhideWhenUsed/>
    <w:rPr>
      <w:w w:val="100"/>
      <w:sz w:val="16"/>
      <w:szCs w:val="16"/>
      <w:shd w:val="clear" w:color="000000"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000000" w:fill="auto"/>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w w:val="100"/>
      <w:sz w:val="20"/>
      <w:szCs w:val="20"/>
      <w:shd w:val="clear" w:color="000000" w:fill="auto"/>
    </w:rPr>
  </w:style>
  <w:style w:type="character" w:styleId="FootnoteReference">
    <w:name w:val="footnote reference"/>
    <w:basedOn w:val="DefaultParagraphFont"/>
    <w:semiHidden/>
    <w:unhideWhenUsed/>
    <w:rPr>
      <w:w w:val="100"/>
      <w:sz w:val="20"/>
      <w:szCs w:val="20"/>
      <w:shd w:val="clear" w:color="000000" w:fill="auto"/>
      <w:vertAlign w:val="superscript"/>
    </w:rPr>
  </w:style>
  <w:style w:type="character" w:styleId="FollowedHyperlink">
    <w:name w:val="FollowedHyperlink"/>
    <w:basedOn w:val="DefaultParagraphFont"/>
    <w:semiHidden/>
    <w:unhideWhenUsed/>
    <w:rPr>
      <w:color w:val="954F72" w:themeColor="followedHyperlink"/>
      <w:w w:val="100"/>
      <w:sz w:val="20"/>
      <w:szCs w:val="20"/>
      <w:u w:val="single"/>
      <w:shd w:val="clear" w:color="000000" w:fill="auto"/>
    </w:rPr>
  </w:style>
  <w:style w:type="paragraph" w:styleId="EndnoteText">
    <w:name w:val="endnote text"/>
    <w:basedOn w:val="Normal"/>
    <w:link w:val="EndnoteTextChar"/>
    <w:uiPriority w:val="99"/>
    <w:semiHidden/>
    <w:unhideWhenUsed/>
    <w:rsid w:val="003C7FDC"/>
    <w:rPr>
      <w:sz w:val="20"/>
      <w:szCs w:val="20"/>
    </w:rPr>
  </w:style>
  <w:style w:type="character" w:customStyle="1" w:styleId="EndnoteTextChar">
    <w:name w:val="Endnote Text Char"/>
    <w:basedOn w:val="DefaultParagraphFont"/>
    <w:link w:val="EndnoteText"/>
    <w:uiPriority w:val="99"/>
    <w:semiHidden/>
    <w:rsid w:val="003C7FDC"/>
    <w:rPr>
      <w:sz w:val="20"/>
      <w:szCs w:val="20"/>
    </w:rPr>
  </w:style>
  <w:style w:type="character" w:styleId="EndnoteReference">
    <w:name w:val="endnote reference"/>
    <w:basedOn w:val="DefaultParagraphFont"/>
    <w:uiPriority w:val="99"/>
    <w:semiHidden/>
    <w:unhideWhenUsed/>
    <w:rsid w:val="003C7FDC"/>
    <w:rPr>
      <w:vertAlign w:val="superscript"/>
    </w:rPr>
  </w:style>
  <w:style w:type="paragraph" w:styleId="TOC3">
    <w:name w:val="toc 3"/>
    <w:basedOn w:val="Normal"/>
    <w:next w:val="Normal"/>
    <w:autoRedefine/>
    <w:uiPriority w:val="39"/>
    <w:unhideWhenUsed/>
    <w:rsid w:val="00FC37AB"/>
    <w:pPr>
      <w:spacing w:after="100"/>
      <w:ind w:left="640"/>
    </w:pPr>
  </w:style>
  <w:style w:type="paragraph" w:styleId="Title">
    <w:name w:val="Title"/>
    <w:basedOn w:val="Normal"/>
    <w:next w:val="Normal"/>
    <w:link w:val="TitleChar"/>
    <w:uiPriority w:val="10"/>
    <w:qFormat/>
    <w:rsid w:val="001C236D"/>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1C236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a.org.au"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2" Type="http://schemas.openxmlformats.org/officeDocument/2006/relationships/hyperlink" Target="https://www.dss.gov.au/our-responsibilities/disability-and-carers/publications-articles/policy-research/national-disability-strategy-2010-2020" TargetMode="External"/><Relationship Id="rId1" Type="http://schemas.openxmlformats.org/officeDocument/2006/relationships/hyperlink" Target="https://www.safetyandquality.gov.au/publications-and-resources/resource-library/australian-charter-healthcare-rights-second-edition-a4-acces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5605E-8EEF-4F6B-B768-FB988BCAF842}">
  <ds:schemaRefs>
    <ds:schemaRef ds:uri="http://schemas.openxmlformats.org/officeDocument/2006/bibliography"/>
  </ds:schemaRefs>
</ds:datastoreItem>
</file>

<file path=customXml/itemProps2.xml><?xml version="1.0" encoding="utf-8"?>
<ds:datastoreItem xmlns:ds="http://schemas.openxmlformats.org/officeDocument/2006/customXml" ds:itemID="{9653318A-C09A-480E-903A-11863C252B46}"/>
</file>

<file path=customXml/itemProps3.xml><?xml version="1.0" encoding="utf-8"?>
<ds:datastoreItem xmlns:ds="http://schemas.openxmlformats.org/officeDocument/2006/customXml" ds:itemID="{8E403563-AC35-48F8-8A0D-AC96C9F03536}"/>
</file>

<file path=customXml/itemProps4.xml><?xml version="1.0" encoding="utf-8"?>
<ds:datastoreItem xmlns:ds="http://schemas.openxmlformats.org/officeDocument/2006/customXml" ds:itemID="{62B26936-B9D4-480B-8B03-4353A74C5220}"/>
</file>

<file path=docProps/app.xml><?xml version="1.0" encoding="utf-8"?>
<Properties xmlns="http://schemas.openxmlformats.org/officeDocument/2006/extended-properties" xmlns:vt="http://schemas.openxmlformats.org/officeDocument/2006/docPropsVTypes">
  <Template>Normal</Template>
  <TotalTime>0</TotalTime>
  <Pages>6</Pages>
  <Words>3761</Words>
  <Characters>21443</Characters>
  <Application>Microsoft Office Word</Application>
  <DocSecurity>4</DocSecurity>
  <Lines>178</Lines>
  <Paragraphs>50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Taylor</dc:creator>
  <cp:lastModifiedBy>Anna Briggs</cp:lastModifiedBy>
  <cp:revision>2</cp:revision>
  <cp:lastPrinted>2020-08-31T01:46:00Z</cp:lastPrinted>
  <dcterms:created xsi:type="dcterms:W3CDTF">2020-10-14T21:57:00Z</dcterms:created>
  <dcterms:modified xsi:type="dcterms:W3CDTF">2020-10-14T21:57:00Z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