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27A4" w14:textId="77777777" w:rsidR="00F31950" w:rsidRPr="006B4852" w:rsidRDefault="00F31950" w:rsidP="00F31950">
      <w:pPr>
        <w:pStyle w:val="Title"/>
        <w:ind w:left="-284"/>
      </w:pPr>
      <w:r w:rsidRPr="006B4852">
        <w:rPr>
          <w:noProof/>
        </w:rPr>
        <w:drawing>
          <wp:inline distT="0" distB="0" distL="0" distR="0" wp14:anchorId="3ED48EC3" wp14:editId="7B75B63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5D8DA2E8" w14:textId="77777777" w:rsidR="00F31950" w:rsidRPr="006B4852" w:rsidRDefault="00F31950" w:rsidP="00F31950">
      <w:pPr>
        <w:pStyle w:val="Date"/>
      </w:pPr>
      <w:bookmarkStart w:id="0" w:name="_Toc83292715"/>
      <w:r w:rsidRPr="00222201">
        <w:t>Ph</w:t>
      </w:r>
      <w:bookmarkEnd w:id="0"/>
      <w:r w:rsidRPr="00222201">
        <w:t xml:space="preserve"> </w:t>
      </w:r>
      <w:r w:rsidRPr="006B4852">
        <w:t xml:space="preserve">1800 033 660 | E </w:t>
      </w:r>
      <w:hyperlink r:id="rId12" w:history="1">
        <w:r w:rsidRPr="006B4852">
          <w:rPr>
            <w:rStyle w:val="Hyperlink"/>
          </w:rPr>
          <w:t>bca@bca.org.au</w:t>
        </w:r>
      </w:hyperlink>
      <w:r w:rsidRPr="006B4852">
        <w:rPr>
          <w:rStyle w:val="Hyperlink"/>
        </w:rPr>
        <w:t xml:space="preserve"> </w:t>
      </w:r>
      <w:r w:rsidRPr="006B4852">
        <w:t xml:space="preserve"> |  </w:t>
      </w:r>
      <w:r w:rsidRPr="00222201">
        <w:t>W</w:t>
      </w:r>
      <w:r w:rsidRPr="006B4852">
        <w:t xml:space="preserve"> </w:t>
      </w:r>
      <w:hyperlink r:id="rId13" w:tooltip="click to go to BCA website" w:history="1">
        <w:r w:rsidRPr="006B4852">
          <w:rPr>
            <w:rStyle w:val="Hyperlink"/>
          </w:rPr>
          <w:t>bca.org.au</w:t>
        </w:r>
      </w:hyperlink>
      <w:r w:rsidRPr="00222201">
        <w:rPr>
          <w:rStyle w:val="Hyperlink"/>
        </w:rPr>
        <w:t xml:space="preserve"> | </w:t>
      </w:r>
      <w:r w:rsidRPr="006B4852">
        <w:rPr>
          <w:rStyle w:val="Hyperlink"/>
        </w:rPr>
        <w:t>ABN</w:t>
      </w:r>
      <w:r w:rsidRPr="006B4852">
        <w:t xml:space="preserve"> 90 006 985 226</w:t>
      </w:r>
    </w:p>
    <w:p w14:paraId="1DAF8071" w14:textId="5B8363AE" w:rsidR="00F31950" w:rsidRDefault="00F31950" w:rsidP="00F31950">
      <w:pPr>
        <w:pStyle w:val="Heading1"/>
      </w:pPr>
      <w:bookmarkStart w:id="1" w:name="_Toc126862904"/>
      <w:r>
        <w:t>Response to the Consultation Paper: A New Act to Replace the Disability Services Act</w:t>
      </w:r>
      <w:bookmarkEnd w:id="1"/>
    </w:p>
    <w:p w14:paraId="70DF2093" w14:textId="77777777" w:rsidR="00F31950" w:rsidRDefault="00F31950" w:rsidP="00F31950">
      <w:pPr>
        <w:rPr>
          <w:color w:val="2C2A29"/>
          <w:sz w:val="26"/>
          <w:szCs w:val="26"/>
          <w:shd w:val="clear" w:color="auto" w:fill="FFFFFF"/>
        </w:rPr>
      </w:pPr>
    </w:p>
    <w:p w14:paraId="00A35746" w14:textId="77777777" w:rsidR="00F31950" w:rsidRPr="00F31950" w:rsidRDefault="00F31950" w:rsidP="00F31950">
      <w:pPr>
        <w:rPr>
          <w:sz w:val="26"/>
          <w:szCs w:val="26"/>
        </w:rPr>
      </w:pPr>
      <w:bookmarkStart w:id="2" w:name="_Toc59048282"/>
      <w:r w:rsidRPr="00F31950">
        <w:rPr>
          <w:color w:val="2C2A29"/>
          <w:sz w:val="26"/>
          <w:szCs w:val="26"/>
          <w:shd w:val="clear" w:color="auto" w:fill="FFFFFF"/>
        </w:rPr>
        <w:t xml:space="preserve">Lodged via: </w:t>
      </w:r>
      <w:proofErr w:type="gramStart"/>
      <w:r w:rsidRPr="00F31950">
        <w:rPr>
          <w:rFonts w:eastAsiaTheme="minorHAnsi"/>
          <w:color w:val="44546A" w:themeColor="text2"/>
          <w:sz w:val="26"/>
          <w:szCs w:val="26"/>
          <w:u w:val="single"/>
          <w:lang w:eastAsia="en-US"/>
        </w:rPr>
        <w:t>engage.dss.gov.au</w:t>
      </w:r>
      <w:proofErr w:type="gramEnd"/>
      <w:r w:rsidRPr="00F31950">
        <w:t xml:space="preserve"> </w:t>
      </w:r>
    </w:p>
    <w:p w14:paraId="1557C0E5" w14:textId="77777777" w:rsidR="00F31950" w:rsidRPr="00F31950" w:rsidRDefault="00F31950" w:rsidP="00F31950"/>
    <w:p w14:paraId="628FC7F7" w14:textId="77777777" w:rsidR="00F31950" w:rsidRPr="00F31950" w:rsidRDefault="00F31950" w:rsidP="00F31950">
      <w:r w:rsidRPr="00F31950">
        <w:t>Author: Corey Crawford, National Policy Officer</w:t>
      </w:r>
    </w:p>
    <w:p w14:paraId="40F72B9B" w14:textId="77777777" w:rsidR="00F31950" w:rsidRPr="00F31950" w:rsidRDefault="00000000" w:rsidP="00F31950">
      <w:hyperlink r:id="rId14" w:history="1">
        <w:r w:rsidR="00F31950" w:rsidRPr="00F31950">
          <w:rPr>
            <w:color w:val="44546A" w:themeColor="text2"/>
            <w:u w:val="single"/>
          </w:rPr>
          <w:t>corey.crawford@bca.org.au</w:t>
        </w:r>
      </w:hyperlink>
      <w:r w:rsidR="00F31950" w:rsidRPr="00F31950">
        <w:t xml:space="preserve"> </w:t>
      </w:r>
    </w:p>
    <w:p w14:paraId="6550A56F" w14:textId="0531DD2D" w:rsidR="00F31950" w:rsidRPr="00F31950" w:rsidRDefault="005F2E10" w:rsidP="00F31950">
      <w:r>
        <w:t>9</w:t>
      </w:r>
      <w:r w:rsidR="00232C3F">
        <w:t xml:space="preserve">th </w:t>
      </w:r>
      <w:r w:rsidR="00F31950" w:rsidRPr="00F31950">
        <w:t>February 2023</w:t>
      </w:r>
    </w:p>
    <w:p w14:paraId="1238C78D" w14:textId="77777777" w:rsidR="00F31950" w:rsidRDefault="00F31950" w:rsidP="00F31950">
      <w:pPr>
        <w:spacing w:before="0" w:after="240" w:line="300" w:lineRule="auto"/>
        <w:ind w:left="3744"/>
      </w:pPr>
      <w:r>
        <w:br w:type="page"/>
      </w:r>
    </w:p>
    <w:p w14:paraId="274C21E0" w14:textId="77777777" w:rsidR="00F31950" w:rsidRDefault="00F31950" w:rsidP="00222BA3">
      <w:pPr>
        <w:pStyle w:val="Heading2"/>
      </w:pPr>
      <w:bookmarkStart w:id="3" w:name="_Toc126862905"/>
      <w:r>
        <w:lastRenderedPageBreak/>
        <w:t>Contents</w:t>
      </w:r>
      <w:bookmarkEnd w:id="3"/>
    </w:p>
    <w:p w14:paraId="5DF4E5BD" w14:textId="3EC3218D" w:rsidR="00C82B5A" w:rsidRDefault="00F31950">
      <w:pPr>
        <w:pStyle w:val="TOC1"/>
        <w:tabs>
          <w:tab w:val="right" w:leader="dot" w:pos="1079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26862904" w:history="1">
        <w:r w:rsidR="00C82B5A" w:rsidRPr="00AA2A25">
          <w:rPr>
            <w:rStyle w:val="Hyperlink"/>
            <w:noProof/>
          </w:rPr>
          <w:t>Response to the Consultation Paper: A New Act to Replace the Disability Services Act</w:t>
        </w:r>
        <w:r w:rsidR="00C82B5A">
          <w:rPr>
            <w:noProof/>
            <w:webHidden/>
          </w:rPr>
          <w:tab/>
        </w:r>
        <w:r w:rsidR="00C82B5A">
          <w:rPr>
            <w:noProof/>
            <w:webHidden/>
          </w:rPr>
          <w:fldChar w:fldCharType="begin"/>
        </w:r>
        <w:r w:rsidR="00C82B5A">
          <w:rPr>
            <w:noProof/>
            <w:webHidden/>
          </w:rPr>
          <w:instrText xml:space="preserve"> PAGEREF _Toc126862904 \h </w:instrText>
        </w:r>
        <w:r w:rsidR="00C82B5A">
          <w:rPr>
            <w:noProof/>
            <w:webHidden/>
          </w:rPr>
        </w:r>
        <w:r w:rsidR="00C82B5A">
          <w:rPr>
            <w:noProof/>
            <w:webHidden/>
          </w:rPr>
          <w:fldChar w:fldCharType="separate"/>
        </w:r>
        <w:r w:rsidR="00C82B5A">
          <w:rPr>
            <w:noProof/>
            <w:webHidden/>
          </w:rPr>
          <w:t>1</w:t>
        </w:r>
        <w:r w:rsidR="00C82B5A">
          <w:rPr>
            <w:noProof/>
            <w:webHidden/>
          </w:rPr>
          <w:fldChar w:fldCharType="end"/>
        </w:r>
      </w:hyperlink>
    </w:p>
    <w:p w14:paraId="171E71CF" w14:textId="4CC76165" w:rsidR="00C82B5A"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6862905" w:history="1">
        <w:r w:rsidR="00C82B5A" w:rsidRPr="00AA2A25">
          <w:rPr>
            <w:rStyle w:val="Hyperlink"/>
            <w:noProof/>
          </w:rPr>
          <w:t>Contents</w:t>
        </w:r>
        <w:r w:rsidR="00C82B5A">
          <w:rPr>
            <w:noProof/>
            <w:webHidden/>
          </w:rPr>
          <w:tab/>
        </w:r>
        <w:r w:rsidR="00C82B5A">
          <w:rPr>
            <w:noProof/>
            <w:webHidden/>
          </w:rPr>
          <w:fldChar w:fldCharType="begin"/>
        </w:r>
        <w:r w:rsidR="00C82B5A">
          <w:rPr>
            <w:noProof/>
            <w:webHidden/>
          </w:rPr>
          <w:instrText xml:space="preserve"> PAGEREF _Toc126862905 \h </w:instrText>
        </w:r>
        <w:r w:rsidR="00C82B5A">
          <w:rPr>
            <w:noProof/>
            <w:webHidden/>
          </w:rPr>
        </w:r>
        <w:r w:rsidR="00C82B5A">
          <w:rPr>
            <w:noProof/>
            <w:webHidden/>
          </w:rPr>
          <w:fldChar w:fldCharType="separate"/>
        </w:r>
        <w:r w:rsidR="00C82B5A">
          <w:rPr>
            <w:noProof/>
            <w:webHidden/>
          </w:rPr>
          <w:t>2</w:t>
        </w:r>
        <w:r w:rsidR="00C82B5A">
          <w:rPr>
            <w:noProof/>
            <w:webHidden/>
          </w:rPr>
          <w:fldChar w:fldCharType="end"/>
        </w:r>
      </w:hyperlink>
    </w:p>
    <w:p w14:paraId="0600C621" w14:textId="7C654F28" w:rsidR="00C82B5A"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6862906" w:history="1">
        <w:r w:rsidR="00C82B5A" w:rsidRPr="00AA2A25">
          <w:rPr>
            <w:rStyle w:val="Hyperlink"/>
            <w:noProof/>
          </w:rPr>
          <w:t>1. Introduction</w:t>
        </w:r>
        <w:r w:rsidR="00C82B5A">
          <w:rPr>
            <w:noProof/>
            <w:webHidden/>
          </w:rPr>
          <w:tab/>
        </w:r>
        <w:r w:rsidR="00C82B5A">
          <w:rPr>
            <w:noProof/>
            <w:webHidden/>
          </w:rPr>
          <w:fldChar w:fldCharType="begin"/>
        </w:r>
        <w:r w:rsidR="00C82B5A">
          <w:rPr>
            <w:noProof/>
            <w:webHidden/>
          </w:rPr>
          <w:instrText xml:space="preserve"> PAGEREF _Toc126862906 \h </w:instrText>
        </w:r>
        <w:r w:rsidR="00C82B5A">
          <w:rPr>
            <w:noProof/>
            <w:webHidden/>
          </w:rPr>
        </w:r>
        <w:r w:rsidR="00C82B5A">
          <w:rPr>
            <w:noProof/>
            <w:webHidden/>
          </w:rPr>
          <w:fldChar w:fldCharType="separate"/>
        </w:r>
        <w:r w:rsidR="00C82B5A">
          <w:rPr>
            <w:noProof/>
            <w:webHidden/>
          </w:rPr>
          <w:t>3</w:t>
        </w:r>
        <w:r w:rsidR="00C82B5A">
          <w:rPr>
            <w:noProof/>
            <w:webHidden/>
          </w:rPr>
          <w:fldChar w:fldCharType="end"/>
        </w:r>
      </w:hyperlink>
    </w:p>
    <w:p w14:paraId="66BD8EBE" w14:textId="41A432B4"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07" w:history="1">
        <w:r w:rsidR="00C82B5A" w:rsidRPr="00AA2A25">
          <w:rPr>
            <w:rStyle w:val="Hyperlink"/>
            <w:noProof/>
          </w:rPr>
          <w:t>1.1 About Blind Citizens Australia (BCA)</w:t>
        </w:r>
        <w:r w:rsidR="00C82B5A">
          <w:rPr>
            <w:noProof/>
            <w:webHidden/>
          </w:rPr>
          <w:tab/>
        </w:r>
        <w:r w:rsidR="00C82B5A">
          <w:rPr>
            <w:noProof/>
            <w:webHidden/>
          </w:rPr>
          <w:fldChar w:fldCharType="begin"/>
        </w:r>
        <w:r w:rsidR="00C82B5A">
          <w:rPr>
            <w:noProof/>
            <w:webHidden/>
          </w:rPr>
          <w:instrText xml:space="preserve"> PAGEREF _Toc126862907 \h </w:instrText>
        </w:r>
        <w:r w:rsidR="00C82B5A">
          <w:rPr>
            <w:noProof/>
            <w:webHidden/>
          </w:rPr>
        </w:r>
        <w:r w:rsidR="00C82B5A">
          <w:rPr>
            <w:noProof/>
            <w:webHidden/>
          </w:rPr>
          <w:fldChar w:fldCharType="separate"/>
        </w:r>
        <w:r w:rsidR="00C82B5A">
          <w:rPr>
            <w:noProof/>
            <w:webHidden/>
          </w:rPr>
          <w:t>3</w:t>
        </w:r>
        <w:r w:rsidR="00C82B5A">
          <w:rPr>
            <w:noProof/>
            <w:webHidden/>
          </w:rPr>
          <w:fldChar w:fldCharType="end"/>
        </w:r>
      </w:hyperlink>
    </w:p>
    <w:p w14:paraId="1119F60E" w14:textId="2E086CE3"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08" w:history="1">
        <w:r w:rsidR="00C82B5A" w:rsidRPr="00AA2A25">
          <w:rPr>
            <w:rStyle w:val="Hyperlink"/>
            <w:noProof/>
          </w:rPr>
          <w:t>1.2 About people who are blind or vision impaired</w:t>
        </w:r>
        <w:r w:rsidR="00C82B5A">
          <w:rPr>
            <w:noProof/>
            <w:webHidden/>
          </w:rPr>
          <w:tab/>
        </w:r>
        <w:r w:rsidR="00C82B5A">
          <w:rPr>
            <w:noProof/>
            <w:webHidden/>
          </w:rPr>
          <w:fldChar w:fldCharType="begin"/>
        </w:r>
        <w:r w:rsidR="00C82B5A">
          <w:rPr>
            <w:noProof/>
            <w:webHidden/>
          </w:rPr>
          <w:instrText xml:space="preserve"> PAGEREF _Toc126862908 \h </w:instrText>
        </w:r>
        <w:r w:rsidR="00C82B5A">
          <w:rPr>
            <w:noProof/>
            <w:webHidden/>
          </w:rPr>
        </w:r>
        <w:r w:rsidR="00C82B5A">
          <w:rPr>
            <w:noProof/>
            <w:webHidden/>
          </w:rPr>
          <w:fldChar w:fldCharType="separate"/>
        </w:r>
        <w:r w:rsidR="00C82B5A">
          <w:rPr>
            <w:noProof/>
            <w:webHidden/>
          </w:rPr>
          <w:t>3</w:t>
        </w:r>
        <w:r w:rsidR="00C82B5A">
          <w:rPr>
            <w:noProof/>
            <w:webHidden/>
          </w:rPr>
          <w:fldChar w:fldCharType="end"/>
        </w:r>
      </w:hyperlink>
    </w:p>
    <w:p w14:paraId="2C012132" w14:textId="529D8B61" w:rsidR="00C82B5A"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6862909" w:history="1">
        <w:r w:rsidR="00C82B5A" w:rsidRPr="00AA2A25">
          <w:rPr>
            <w:rStyle w:val="Hyperlink"/>
            <w:noProof/>
          </w:rPr>
          <w:t>2. Submission Context</w:t>
        </w:r>
        <w:r w:rsidR="00C82B5A">
          <w:rPr>
            <w:noProof/>
            <w:webHidden/>
          </w:rPr>
          <w:tab/>
        </w:r>
        <w:r w:rsidR="00C82B5A">
          <w:rPr>
            <w:noProof/>
            <w:webHidden/>
          </w:rPr>
          <w:fldChar w:fldCharType="begin"/>
        </w:r>
        <w:r w:rsidR="00C82B5A">
          <w:rPr>
            <w:noProof/>
            <w:webHidden/>
          </w:rPr>
          <w:instrText xml:space="preserve"> PAGEREF _Toc126862909 \h </w:instrText>
        </w:r>
        <w:r w:rsidR="00C82B5A">
          <w:rPr>
            <w:noProof/>
            <w:webHidden/>
          </w:rPr>
        </w:r>
        <w:r w:rsidR="00C82B5A">
          <w:rPr>
            <w:noProof/>
            <w:webHidden/>
          </w:rPr>
          <w:fldChar w:fldCharType="separate"/>
        </w:r>
        <w:r w:rsidR="00C82B5A">
          <w:rPr>
            <w:noProof/>
            <w:webHidden/>
          </w:rPr>
          <w:t>3</w:t>
        </w:r>
        <w:r w:rsidR="00C82B5A">
          <w:rPr>
            <w:noProof/>
            <w:webHidden/>
          </w:rPr>
          <w:fldChar w:fldCharType="end"/>
        </w:r>
      </w:hyperlink>
    </w:p>
    <w:p w14:paraId="42635826" w14:textId="373763F3" w:rsidR="00C82B5A"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6862910" w:history="1">
        <w:r w:rsidR="00C82B5A" w:rsidRPr="00AA2A25">
          <w:rPr>
            <w:rStyle w:val="Hyperlink"/>
            <w:noProof/>
          </w:rPr>
          <w:t>3. Blind Citizens Australia’s Submission</w:t>
        </w:r>
        <w:r w:rsidR="00C82B5A">
          <w:rPr>
            <w:noProof/>
            <w:webHidden/>
          </w:rPr>
          <w:tab/>
        </w:r>
        <w:r w:rsidR="00C82B5A">
          <w:rPr>
            <w:noProof/>
            <w:webHidden/>
          </w:rPr>
          <w:fldChar w:fldCharType="begin"/>
        </w:r>
        <w:r w:rsidR="00C82B5A">
          <w:rPr>
            <w:noProof/>
            <w:webHidden/>
          </w:rPr>
          <w:instrText xml:space="preserve"> PAGEREF _Toc126862910 \h </w:instrText>
        </w:r>
        <w:r w:rsidR="00C82B5A">
          <w:rPr>
            <w:noProof/>
            <w:webHidden/>
          </w:rPr>
        </w:r>
        <w:r w:rsidR="00C82B5A">
          <w:rPr>
            <w:noProof/>
            <w:webHidden/>
          </w:rPr>
          <w:fldChar w:fldCharType="separate"/>
        </w:r>
        <w:r w:rsidR="00C82B5A">
          <w:rPr>
            <w:noProof/>
            <w:webHidden/>
          </w:rPr>
          <w:t>5</w:t>
        </w:r>
        <w:r w:rsidR="00C82B5A">
          <w:rPr>
            <w:noProof/>
            <w:webHidden/>
          </w:rPr>
          <w:fldChar w:fldCharType="end"/>
        </w:r>
      </w:hyperlink>
    </w:p>
    <w:p w14:paraId="7839939A" w14:textId="5B913257"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11" w:history="1">
        <w:r w:rsidR="00C82B5A" w:rsidRPr="00AA2A25">
          <w:rPr>
            <w:rStyle w:val="Hyperlink"/>
            <w:noProof/>
          </w:rPr>
          <w:t>3.1 – Question 1 – Do you agree with the proposed objects for the new Act? What other objects should be included in the new Act?</w:t>
        </w:r>
        <w:r w:rsidR="00C82B5A">
          <w:rPr>
            <w:noProof/>
            <w:webHidden/>
          </w:rPr>
          <w:tab/>
        </w:r>
        <w:r w:rsidR="00C82B5A">
          <w:rPr>
            <w:noProof/>
            <w:webHidden/>
          </w:rPr>
          <w:fldChar w:fldCharType="begin"/>
        </w:r>
        <w:r w:rsidR="00C82B5A">
          <w:rPr>
            <w:noProof/>
            <w:webHidden/>
          </w:rPr>
          <w:instrText xml:space="preserve"> PAGEREF _Toc126862911 \h </w:instrText>
        </w:r>
        <w:r w:rsidR="00C82B5A">
          <w:rPr>
            <w:noProof/>
            <w:webHidden/>
          </w:rPr>
        </w:r>
        <w:r w:rsidR="00C82B5A">
          <w:rPr>
            <w:noProof/>
            <w:webHidden/>
          </w:rPr>
          <w:fldChar w:fldCharType="separate"/>
        </w:r>
        <w:r w:rsidR="00C82B5A">
          <w:rPr>
            <w:noProof/>
            <w:webHidden/>
          </w:rPr>
          <w:t>5</w:t>
        </w:r>
        <w:r w:rsidR="00C82B5A">
          <w:rPr>
            <w:noProof/>
            <w:webHidden/>
          </w:rPr>
          <w:fldChar w:fldCharType="end"/>
        </w:r>
      </w:hyperlink>
    </w:p>
    <w:p w14:paraId="53E06711" w14:textId="7D5AC8F0"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12" w:history="1">
        <w:r w:rsidR="00C82B5A" w:rsidRPr="00AA2A25">
          <w:rPr>
            <w:rStyle w:val="Hyperlink"/>
            <w:noProof/>
          </w:rPr>
          <w:t>3.2 – Question 2 – Do you agree with the proposed approach to the target group? How do you think the target group should be defined?</w:t>
        </w:r>
        <w:r w:rsidR="00C82B5A">
          <w:rPr>
            <w:noProof/>
            <w:webHidden/>
          </w:rPr>
          <w:tab/>
        </w:r>
        <w:r w:rsidR="00C82B5A">
          <w:rPr>
            <w:noProof/>
            <w:webHidden/>
          </w:rPr>
          <w:fldChar w:fldCharType="begin"/>
        </w:r>
        <w:r w:rsidR="00C82B5A">
          <w:rPr>
            <w:noProof/>
            <w:webHidden/>
          </w:rPr>
          <w:instrText xml:space="preserve"> PAGEREF _Toc126862912 \h </w:instrText>
        </w:r>
        <w:r w:rsidR="00C82B5A">
          <w:rPr>
            <w:noProof/>
            <w:webHidden/>
          </w:rPr>
        </w:r>
        <w:r w:rsidR="00C82B5A">
          <w:rPr>
            <w:noProof/>
            <w:webHidden/>
          </w:rPr>
          <w:fldChar w:fldCharType="separate"/>
        </w:r>
        <w:r w:rsidR="00C82B5A">
          <w:rPr>
            <w:noProof/>
            <w:webHidden/>
          </w:rPr>
          <w:t>7</w:t>
        </w:r>
        <w:r w:rsidR="00C82B5A">
          <w:rPr>
            <w:noProof/>
            <w:webHidden/>
          </w:rPr>
          <w:fldChar w:fldCharType="end"/>
        </w:r>
      </w:hyperlink>
    </w:p>
    <w:p w14:paraId="62DED536" w14:textId="69217298"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13" w:history="1">
        <w:r w:rsidR="00C82B5A" w:rsidRPr="00AA2A25">
          <w:rPr>
            <w:rStyle w:val="Hyperlink"/>
            <w:noProof/>
          </w:rPr>
          <w:t>3.3 – Question 3 – Do you agree with our suggested principles for avoiding duplication and requiring coordination? What other principles do you think should apply?</w:t>
        </w:r>
        <w:r w:rsidR="00C82B5A">
          <w:rPr>
            <w:noProof/>
            <w:webHidden/>
          </w:rPr>
          <w:tab/>
        </w:r>
        <w:r w:rsidR="00C82B5A">
          <w:rPr>
            <w:noProof/>
            <w:webHidden/>
          </w:rPr>
          <w:fldChar w:fldCharType="begin"/>
        </w:r>
        <w:r w:rsidR="00C82B5A">
          <w:rPr>
            <w:noProof/>
            <w:webHidden/>
          </w:rPr>
          <w:instrText xml:space="preserve"> PAGEREF _Toc126862913 \h </w:instrText>
        </w:r>
        <w:r w:rsidR="00C82B5A">
          <w:rPr>
            <w:noProof/>
            <w:webHidden/>
          </w:rPr>
        </w:r>
        <w:r w:rsidR="00C82B5A">
          <w:rPr>
            <w:noProof/>
            <w:webHidden/>
          </w:rPr>
          <w:fldChar w:fldCharType="separate"/>
        </w:r>
        <w:r w:rsidR="00C82B5A">
          <w:rPr>
            <w:noProof/>
            <w:webHidden/>
          </w:rPr>
          <w:t>9</w:t>
        </w:r>
        <w:r w:rsidR="00C82B5A">
          <w:rPr>
            <w:noProof/>
            <w:webHidden/>
          </w:rPr>
          <w:fldChar w:fldCharType="end"/>
        </w:r>
      </w:hyperlink>
    </w:p>
    <w:p w14:paraId="19A650E3" w14:textId="4B6CA268"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14" w:history="1">
        <w:r w:rsidR="00C82B5A" w:rsidRPr="00AA2A25">
          <w:rPr>
            <w:rStyle w:val="Hyperlink"/>
            <w:noProof/>
          </w:rPr>
          <w:t>3.4 – Question 4 – Do you think the new Act should include a definition for disability? Do you have any additional comments?</w:t>
        </w:r>
        <w:r w:rsidR="00C82B5A">
          <w:rPr>
            <w:noProof/>
            <w:webHidden/>
          </w:rPr>
          <w:tab/>
        </w:r>
        <w:r w:rsidR="00C82B5A">
          <w:rPr>
            <w:noProof/>
            <w:webHidden/>
          </w:rPr>
          <w:fldChar w:fldCharType="begin"/>
        </w:r>
        <w:r w:rsidR="00C82B5A">
          <w:rPr>
            <w:noProof/>
            <w:webHidden/>
          </w:rPr>
          <w:instrText xml:space="preserve"> PAGEREF _Toc126862914 \h </w:instrText>
        </w:r>
        <w:r w:rsidR="00C82B5A">
          <w:rPr>
            <w:noProof/>
            <w:webHidden/>
          </w:rPr>
        </w:r>
        <w:r w:rsidR="00C82B5A">
          <w:rPr>
            <w:noProof/>
            <w:webHidden/>
          </w:rPr>
          <w:fldChar w:fldCharType="separate"/>
        </w:r>
        <w:r w:rsidR="00C82B5A">
          <w:rPr>
            <w:noProof/>
            <w:webHidden/>
          </w:rPr>
          <w:t>11</w:t>
        </w:r>
        <w:r w:rsidR="00C82B5A">
          <w:rPr>
            <w:noProof/>
            <w:webHidden/>
          </w:rPr>
          <w:fldChar w:fldCharType="end"/>
        </w:r>
      </w:hyperlink>
    </w:p>
    <w:p w14:paraId="1C79C6E5" w14:textId="46727B6A"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15" w:history="1">
        <w:r w:rsidR="00C82B5A" w:rsidRPr="00AA2A25">
          <w:rPr>
            <w:rStyle w:val="Hyperlink"/>
            <w:noProof/>
          </w:rPr>
          <w:t>3.5 – Question 5 – How do you think quality and safeguarding arrangements should be managed by the new Act?</w:t>
        </w:r>
        <w:r w:rsidR="00C82B5A">
          <w:rPr>
            <w:noProof/>
            <w:webHidden/>
          </w:rPr>
          <w:tab/>
        </w:r>
        <w:r w:rsidR="00C82B5A">
          <w:rPr>
            <w:noProof/>
            <w:webHidden/>
          </w:rPr>
          <w:fldChar w:fldCharType="begin"/>
        </w:r>
        <w:r w:rsidR="00C82B5A">
          <w:rPr>
            <w:noProof/>
            <w:webHidden/>
          </w:rPr>
          <w:instrText xml:space="preserve"> PAGEREF _Toc126862915 \h </w:instrText>
        </w:r>
        <w:r w:rsidR="00C82B5A">
          <w:rPr>
            <w:noProof/>
            <w:webHidden/>
          </w:rPr>
        </w:r>
        <w:r w:rsidR="00C82B5A">
          <w:rPr>
            <w:noProof/>
            <w:webHidden/>
          </w:rPr>
          <w:fldChar w:fldCharType="separate"/>
        </w:r>
        <w:r w:rsidR="00C82B5A">
          <w:rPr>
            <w:noProof/>
            <w:webHidden/>
          </w:rPr>
          <w:t>12</w:t>
        </w:r>
        <w:r w:rsidR="00C82B5A">
          <w:rPr>
            <w:noProof/>
            <w:webHidden/>
          </w:rPr>
          <w:fldChar w:fldCharType="end"/>
        </w:r>
      </w:hyperlink>
    </w:p>
    <w:p w14:paraId="06CFFC09" w14:textId="7AC4BDFE"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16" w:history="1">
        <w:r w:rsidR="00C82B5A" w:rsidRPr="00AA2A25">
          <w:rPr>
            <w:rStyle w:val="Hyperlink"/>
            <w:noProof/>
          </w:rPr>
          <w:t>3.6 – Question 6 – Do you agree with the supports and services listed above? What other kinds of supports and services should be included in the new Act?</w:t>
        </w:r>
        <w:r w:rsidR="00C82B5A">
          <w:rPr>
            <w:noProof/>
            <w:webHidden/>
          </w:rPr>
          <w:tab/>
        </w:r>
        <w:r w:rsidR="00C82B5A">
          <w:rPr>
            <w:noProof/>
            <w:webHidden/>
          </w:rPr>
          <w:fldChar w:fldCharType="begin"/>
        </w:r>
        <w:r w:rsidR="00C82B5A">
          <w:rPr>
            <w:noProof/>
            <w:webHidden/>
          </w:rPr>
          <w:instrText xml:space="preserve"> PAGEREF _Toc126862916 \h </w:instrText>
        </w:r>
        <w:r w:rsidR="00C82B5A">
          <w:rPr>
            <w:noProof/>
            <w:webHidden/>
          </w:rPr>
        </w:r>
        <w:r w:rsidR="00C82B5A">
          <w:rPr>
            <w:noProof/>
            <w:webHidden/>
          </w:rPr>
          <w:fldChar w:fldCharType="separate"/>
        </w:r>
        <w:r w:rsidR="00C82B5A">
          <w:rPr>
            <w:noProof/>
            <w:webHidden/>
          </w:rPr>
          <w:t>13</w:t>
        </w:r>
        <w:r w:rsidR="00C82B5A">
          <w:rPr>
            <w:noProof/>
            <w:webHidden/>
          </w:rPr>
          <w:fldChar w:fldCharType="end"/>
        </w:r>
      </w:hyperlink>
    </w:p>
    <w:p w14:paraId="7404ABA0" w14:textId="3495B2DE" w:rsidR="00C82B5A"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6862917" w:history="1">
        <w:r w:rsidR="00C82B5A" w:rsidRPr="00AA2A25">
          <w:rPr>
            <w:rStyle w:val="Hyperlink"/>
            <w:noProof/>
          </w:rPr>
          <w:t>3.7 – Question 7 – Do you consider it necessary to retain separate provisions for employment services and rehabilitation employment program, or could they be combined?</w:t>
        </w:r>
        <w:r w:rsidR="00C82B5A">
          <w:rPr>
            <w:noProof/>
            <w:webHidden/>
          </w:rPr>
          <w:tab/>
        </w:r>
        <w:r w:rsidR="00C82B5A">
          <w:rPr>
            <w:noProof/>
            <w:webHidden/>
          </w:rPr>
          <w:fldChar w:fldCharType="begin"/>
        </w:r>
        <w:r w:rsidR="00C82B5A">
          <w:rPr>
            <w:noProof/>
            <w:webHidden/>
          </w:rPr>
          <w:instrText xml:space="preserve"> PAGEREF _Toc126862917 \h </w:instrText>
        </w:r>
        <w:r w:rsidR="00C82B5A">
          <w:rPr>
            <w:noProof/>
            <w:webHidden/>
          </w:rPr>
        </w:r>
        <w:r w:rsidR="00C82B5A">
          <w:rPr>
            <w:noProof/>
            <w:webHidden/>
          </w:rPr>
          <w:fldChar w:fldCharType="separate"/>
        </w:r>
        <w:r w:rsidR="00C82B5A">
          <w:rPr>
            <w:noProof/>
            <w:webHidden/>
          </w:rPr>
          <w:t>18</w:t>
        </w:r>
        <w:r w:rsidR="00C82B5A">
          <w:rPr>
            <w:noProof/>
            <w:webHidden/>
          </w:rPr>
          <w:fldChar w:fldCharType="end"/>
        </w:r>
      </w:hyperlink>
    </w:p>
    <w:p w14:paraId="72390877" w14:textId="240962FB" w:rsidR="00C82B5A"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6862918" w:history="1">
        <w:r w:rsidR="00C82B5A" w:rsidRPr="00AA2A25">
          <w:rPr>
            <w:rStyle w:val="Hyperlink"/>
            <w:noProof/>
          </w:rPr>
          <w:t>4. Summary of Recommendations</w:t>
        </w:r>
        <w:r w:rsidR="00C82B5A">
          <w:rPr>
            <w:noProof/>
            <w:webHidden/>
          </w:rPr>
          <w:tab/>
        </w:r>
        <w:r w:rsidR="00C82B5A">
          <w:rPr>
            <w:noProof/>
            <w:webHidden/>
          </w:rPr>
          <w:fldChar w:fldCharType="begin"/>
        </w:r>
        <w:r w:rsidR="00C82B5A">
          <w:rPr>
            <w:noProof/>
            <w:webHidden/>
          </w:rPr>
          <w:instrText xml:space="preserve"> PAGEREF _Toc126862918 \h </w:instrText>
        </w:r>
        <w:r w:rsidR="00C82B5A">
          <w:rPr>
            <w:noProof/>
            <w:webHidden/>
          </w:rPr>
        </w:r>
        <w:r w:rsidR="00C82B5A">
          <w:rPr>
            <w:noProof/>
            <w:webHidden/>
          </w:rPr>
          <w:fldChar w:fldCharType="separate"/>
        </w:r>
        <w:r w:rsidR="00C82B5A">
          <w:rPr>
            <w:noProof/>
            <w:webHidden/>
          </w:rPr>
          <w:t>19</w:t>
        </w:r>
        <w:r w:rsidR="00C82B5A">
          <w:rPr>
            <w:noProof/>
            <w:webHidden/>
          </w:rPr>
          <w:fldChar w:fldCharType="end"/>
        </w:r>
      </w:hyperlink>
    </w:p>
    <w:p w14:paraId="736ECB8A" w14:textId="1106BA70" w:rsidR="00F31950" w:rsidRDefault="00F31950" w:rsidP="00F31950">
      <w:r>
        <w:fldChar w:fldCharType="end"/>
      </w:r>
    </w:p>
    <w:p w14:paraId="5942AB32" w14:textId="77777777" w:rsidR="00F31950" w:rsidRPr="001B58E6" w:rsidRDefault="00F31950" w:rsidP="00222BA3">
      <w:pPr>
        <w:pStyle w:val="Heading2"/>
      </w:pPr>
      <w:bookmarkStart w:id="4" w:name="_Toc126862906"/>
      <w:r w:rsidRPr="001B58E6">
        <w:lastRenderedPageBreak/>
        <w:t>1. Introduction</w:t>
      </w:r>
      <w:bookmarkEnd w:id="2"/>
      <w:bookmarkEnd w:id="4"/>
    </w:p>
    <w:p w14:paraId="6DAE932C" w14:textId="77777777" w:rsidR="00F31950" w:rsidRPr="001B58E6" w:rsidRDefault="00F31950" w:rsidP="001A23AB">
      <w:pPr>
        <w:pStyle w:val="Heading3"/>
      </w:pPr>
      <w:bookmarkStart w:id="5" w:name="_Toc59048283"/>
      <w:bookmarkStart w:id="6" w:name="_Toc126862907"/>
      <w:bookmarkStart w:id="7" w:name="_Toc43900325"/>
      <w:r w:rsidRPr="001B58E6">
        <w:t>1.1 About Blind Citizens Australia (BCA)</w:t>
      </w:r>
      <w:bookmarkEnd w:id="5"/>
      <w:bookmarkEnd w:id="6"/>
    </w:p>
    <w:p w14:paraId="5D510268" w14:textId="77777777" w:rsidR="00F31950" w:rsidRDefault="00F31950" w:rsidP="001A23AB">
      <w:bookmarkStart w:id="8" w:name="_Toc59048284"/>
      <w:bookmarkEnd w:id="7"/>
      <w:r w:rsidRPr="00DA7AD0">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w:t>
      </w:r>
      <w:r w:rsidRPr="001B58E6">
        <w:t xml:space="preserve">. </w:t>
      </w:r>
    </w:p>
    <w:p w14:paraId="07D640B4" w14:textId="77777777" w:rsidR="00F31950" w:rsidRPr="001B58E6" w:rsidRDefault="00F31950" w:rsidP="001A23AB">
      <w:pPr>
        <w:pStyle w:val="Heading3"/>
      </w:pPr>
      <w:bookmarkStart w:id="9" w:name="_Toc126862908"/>
      <w:r w:rsidRPr="001B58E6">
        <w:t xml:space="preserve">1.2 About people who are blind or vision </w:t>
      </w:r>
      <w:proofErr w:type="gramStart"/>
      <w:r w:rsidRPr="001B58E6">
        <w:t>impaired</w:t>
      </w:r>
      <w:bookmarkEnd w:id="8"/>
      <w:bookmarkEnd w:id="9"/>
      <w:proofErr w:type="gramEnd"/>
    </w:p>
    <w:p w14:paraId="417CE29A" w14:textId="77777777" w:rsidR="00F31950" w:rsidRPr="001B58E6" w:rsidRDefault="00F31950" w:rsidP="001A23AB">
      <w:r w:rsidRPr="001B58E6">
        <w:t xml:space="preserve">There are currently more than </w:t>
      </w:r>
      <w:r>
        <w:t>500</w:t>
      </w:r>
      <w:r w:rsidRPr="001B58E6">
        <w:t>,000 people who are blind or vision impaired in Australi</w:t>
      </w:r>
      <w:r>
        <w:t>a</w:t>
      </w:r>
      <w:r w:rsidRPr="001B58E6">
        <w:t xml:space="preserve"> with estimates that this will rise to 564,000 by 2030. According to Vision Initiative, around 80% of vision loss in Australia is caused by conditions that become more common as people age</w:t>
      </w:r>
      <w:r>
        <w:t>.</w:t>
      </w:r>
      <w:r>
        <w:rPr>
          <w:rStyle w:val="EndnoteReference"/>
        </w:rPr>
        <w:endnoteReference w:id="1"/>
      </w:r>
    </w:p>
    <w:p w14:paraId="6F0E0409" w14:textId="77777777" w:rsidR="00F31950" w:rsidRPr="001B58E6" w:rsidRDefault="00F31950" w:rsidP="001A23AB">
      <w:r w:rsidRPr="001B58E6">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07BDC229" w14:textId="77777777" w:rsidR="00F31950" w:rsidRPr="001B58E6" w:rsidRDefault="00F31950" w:rsidP="00222BA3">
      <w:pPr>
        <w:pStyle w:val="Heading2"/>
      </w:pPr>
      <w:bookmarkStart w:id="10" w:name="_Toc59048285"/>
      <w:bookmarkStart w:id="11" w:name="_Toc126862909"/>
      <w:r w:rsidRPr="001B58E6">
        <w:t xml:space="preserve">2. </w:t>
      </w:r>
      <w:bookmarkEnd w:id="10"/>
      <w:r>
        <w:t>Submission Context</w:t>
      </w:r>
      <w:bookmarkEnd w:id="11"/>
    </w:p>
    <w:p w14:paraId="049A2291" w14:textId="5D3175AA" w:rsidR="00F31950" w:rsidRPr="00F31950" w:rsidRDefault="00F31950" w:rsidP="001A23AB">
      <w:r w:rsidRPr="0008652C">
        <w:t>BCA welcomes the opportunity to make a submission to the</w:t>
      </w:r>
      <w:r>
        <w:t xml:space="preserve"> </w:t>
      </w:r>
      <w:r w:rsidR="00811D61">
        <w:t>DSS</w:t>
      </w:r>
      <w:r w:rsidR="001E3C30">
        <w:t>’</w:t>
      </w:r>
      <w:r w:rsidR="00B1289E">
        <w:t>s</w:t>
      </w:r>
      <w:r w:rsidR="00811D61">
        <w:t xml:space="preserve"> </w:t>
      </w:r>
      <w:r>
        <w:t xml:space="preserve">Consultation Paper for the new and improved Disability Services Act. </w:t>
      </w:r>
      <w:r w:rsidRPr="00F31950">
        <w:t xml:space="preserve">This submission is based on existing legislation and </w:t>
      </w:r>
      <w:r w:rsidRPr="00F31950">
        <w:lastRenderedPageBreak/>
        <w:t>frameworks, noting gaps in the fulfilment of requirements laid out in existing documentation. The pertinent acts and legislation are:</w:t>
      </w:r>
    </w:p>
    <w:p w14:paraId="282CD09F" w14:textId="77777777" w:rsidR="00F31950" w:rsidRPr="00F31950" w:rsidRDefault="00F31950" w:rsidP="001A23AB">
      <w:pPr>
        <w:numPr>
          <w:ilvl w:val="0"/>
          <w:numId w:val="2"/>
        </w:numPr>
        <w:spacing w:before="0"/>
        <w:contextualSpacing/>
      </w:pPr>
      <w:r w:rsidRPr="00F31950">
        <w:rPr>
          <w:rFonts w:eastAsia="Times New Roman"/>
          <w:lang w:eastAsia="en-AU"/>
        </w:rPr>
        <w:t>The Disability Services Act 1986 (Cth) (the Act)</w:t>
      </w:r>
    </w:p>
    <w:p w14:paraId="5A4C233A" w14:textId="77777777" w:rsidR="00F31950" w:rsidRPr="00F31950" w:rsidRDefault="00F31950" w:rsidP="001A23AB">
      <w:pPr>
        <w:numPr>
          <w:ilvl w:val="0"/>
          <w:numId w:val="2"/>
        </w:numPr>
        <w:spacing w:before="0"/>
        <w:contextualSpacing/>
      </w:pPr>
      <w:r w:rsidRPr="00F31950">
        <w:rPr>
          <w:rFonts w:eastAsia="Times New Roman"/>
          <w:lang w:eastAsia="en-AU"/>
        </w:rPr>
        <w:t>United Nations Convention on the Rights of Persons with Disabilities (</w:t>
      </w:r>
      <w:bookmarkStart w:id="12" w:name="_Hlk125992386"/>
      <w:r w:rsidRPr="00F31950">
        <w:rPr>
          <w:rFonts w:eastAsia="Times New Roman"/>
          <w:lang w:eastAsia="en-AU"/>
        </w:rPr>
        <w:t>UNCRPD</w:t>
      </w:r>
      <w:bookmarkEnd w:id="12"/>
      <w:r w:rsidRPr="00F31950">
        <w:rPr>
          <w:rFonts w:eastAsia="Times New Roman"/>
          <w:lang w:eastAsia="en-AU"/>
        </w:rPr>
        <w:t>)</w:t>
      </w:r>
    </w:p>
    <w:p w14:paraId="35F03C24" w14:textId="77777777" w:rsidR="00F31950" w:rsidRPr="00F31950" w:rsidRDefault="00F31950" w:rsidP="001A23AB">
      <w:pPr>
        <w:numPr>
          <w:ilvl w:val="0"/>
          <w:numId w:val="2"/>
        </w:numPr>
        <w:spacing w:before="0"/>
        <w:contextualSpacing/>
      </w:pPr>
      <w:r w:rsidRPr="00F31950">
        <w:rPr>
          <w:rFonts w:eastAsia="Times New Roman"/>
          <w:lang w:eastAsia="en-AU"/>
        </w:rPr>
        <w:t>The Disability Discrimination Act 1992 (Cth)</w:t>
      </w:r>
    </w:p>
    <w:p w14:paraId="5C400346" w14:textId="4541CD91" w:rsidR="00F31950" w:rsidRPr="00F31950" w:rsidRDefault="00F31950" w:rsidP="001A23AB">
      <w:pPr>
        <w:numPr>
          <w:ilvl w:val="0"/>
          <w:numId w:val="2"/>
        </w:numPr>
        <w:spacing w:before="0"/>
        <w:contextualSpacing/>
      </w:pPr>
      <w:r w:rsidRPr="00F31950">
        <w:rPr>
          <w:rFonts w:eastAsia="Times New Roman"/>
          <w:lang w:eastAsia="en-AU"/>
        </w:rPr>
        <w:t>The National Disability Strategy 2021</w:t>
      </w:r>
      <w:r w:rsidR="009F4683">
        <w:rPr>
          <w:rFonts w:eastAsia="Times New Roman"/>
          <w:lang w:eastAsia="en-AU"/>
        </w:rPr>
        <w:t>–</w:t>
      </w:r>
      <w:r w:rsidRPr="00F31950">
        <w:rPr>
          <w:rFonts w:eastAsia="Times New Roman"/>
          <w:lang w:eastAsia="en-AU"/>
        </w:rPr>
        <w:t>2031 (the Strategy, which coordinates the implementation of the UNCRPD)</w:t>
      </w:r>
    </w:p>
    <w:p w14:paraId="1ECA783D" w14:textId="0DB74390" w:rsidR="00F31950" w:rsidRPr="00F31950" w:rsidRDefault="00F31950" w:rsidP="001A23AB">
      <w:pPr>
        <w:numPr>
          <w:ilvl w:val="0"/>
          <w:numId w:val="2"/>
        </w:numPr>
        <w:spacing w:before="0"/>
        <w:contextualSpacing/>
      </w:pPr>
      <w:r w:rsidRPr="00F31950">
        <w:rPr>
          <w:rFonts w:eastAsia="Times New Roman"/>
          <w:lang w:eastAsia="en-AU"/>
        </w:rPr>
        <w:t>The National Disability Insurance Scheme Act 2013 (Cth) (the NDIS Act)</w:t>
      </w:r>
    </w:p>
    <w:p w14:paraId="5F3E1582" w14:textId="7F66468C" w:rsidR="00F31950" w:rsidRPr="00F31950" w:rsidRDefault="00F31950" w:rsidP="001A23AB">
      <w:r w:rsidRPr="00F31950">
        <w:t>Australia’s formal commitment to the UNCRPD and the development of the Strategy have driven greater engagement by people with disability in determining how they live and are supported.</w:t>
      </w:r>
      <w:r>
        <w:t xml:space="preserve"> </w:t>
      </w:r>
      <w:r w:rsidRPr="00F31950">
        <w:t xml:space="preserve">The National Disability Insurance Scheme (NDIS) is the most significant example of this altered approach. </w:t>
      </w:r>
    </w:p>
    <w:p w14:paraId="0AA5FC1C" w14:textId="3D286322" w:rsidR="00F31950" w:rsidRPr="00F31950" w:rsidRDefault="00F31950" w:rsidP="001A23AB">
      <w:pPr>
        <w:rPr>
          <w:rFonts w:eastAsiaTheme="minorHAnsi"/>
          <w:szCs w:val="24"/>
          <w:lang w:eastAsia="en-US"/>
        </w:rPr>
      </w:pPr>
      <w:r w:rsidRPr="00F31950">
        <w:t xml:space="preserve">Having commenced its rollout in 2013, the NDIS can provide life-changing supports for people with disability, including people who are blind or vision impaired, and aged </w:t>
      </w:r>
      <w:r w:rsidR="00B54469">
        <w:t>up to</w:t>
      </w:r>
      <w:r w:rsidRPr="00F31950">
        <w:t xml:space="preserve"> 65.</w:t>
      </w:r>
      <w:r>
        <w:t xml:space="preserve"> </w:t>
      </w:r>
      <w:r w:rsidRPr="00F31950">
        <w:t>According to the NDIS’</w:t>
      </w:r>
      <w:r w:rsidR="00B1289E">
        <w:t>s</w:t>
      </w:r>
      <w:r w:rsidRPr="00F31950">
        <w:t xml:space="preserve"> own statistics from 2022, </w:t>
      </w:r>
      <w:r w:rsidRPr="00F31950">
        <w:rPr>
          <w:rFonts w:eastAsiaTheme="minorHAnsi"/>
          <w:szCs w:val="24"/>
          <w:lang w:eastAsia="en-US"/>
        </w:rPr>
        <w:t>only 518,000 of the estimated 4.4 million Australians living with disability, or about 12 per cent, are on the NDIS.</w:t>
      </w:r>
      <w:r w:rsidRPr="00F31950">
        <w:rPr>
          <w:vertAlign w:val="superscript"/>
          <w:lang w:eastAsia="en-US"/>
        </w:rPr>
        <w:endnoteReference w:id="2"/>
      </w:r>
    </w:p>
    <w:p w14:paraId="5ED0B186" w14:textId="24E3E944" w:rsidR="00F31950" w:rsidRDefault="00F31950" w:rsidP="005D385C">
      <w:pPr>
        <w:rPr>
          <w:rFonts w:eastAsiaTheme="minorHAnsi"/>
          <w:szCs w:val="24"/>
          <w:lang w:eastAsia="en-US"/>
        </w:rPr>
      </w:pPr>
      <w:r w:rsidRPr="00F31950">
        <w:rPr>
          <w:rFonts w:eastAsiaTheme="minorHAnsi"/>
          <w:szCs w:val="24"/>
          <w:lang w:eastAsia="en-US"/>
        </w:rPr>
        <w:t>There are more than 500,000 people in Australia who are blind or vision impaired. Altogether, only around two per cent of NDIS participants are blind or vision impaired.</w:t>
      </w:r>
      <w:r w:rsidRPr="00F31950">
        <w:rPr>
          <w:rFonts w:eastAsiaTheme="minorHAnsi"/>
          <w:szCs w:val="24"/>
          <w:vertAlign w:val="superscript"/>
          <w:lang w:eastAsia="en-US"/>
        </w:rPr>
        <w:endnoteReference w:id="3"/>
      </w:r>
      <w:r>
        <w:rPr>
          <w:rFonts w:eastAsiaTheme="minorHAnsi"/>
          <w:szCs w:val="24"/>
          <w:lang w:eastAsia="en-US"/>
        </w:rPr>
        <w:t xml:space="preserve"> </w:t>
      </w:r>
      <w:r w:rsidR="009B2A60">
        <w:rPr>
          <w:rFonts w:eastAsiaTheme="minorHAnsi"/>
          <w:szCs w:val="24"/>
          <w:lang w:eastAsia="en-US"/>
        </w:rPr>
        <w:t xml:space="preserve">Some </w:t>
      </w:r>
      <w:r w:rsidR="009F386A">
        <w:rPr>
          <w:rFonts w:eastAsiaTheme="minorHAnsi"/>
          <w:szCs w:val="24"/>
          <w:lang w:eastAsia="en-US"/>
        </w:rPr>
        <w:t xml:space="preserve">well-resourced </w:t>
      </w:r>
      <w:r w:rsidR="009B2A60">
        <w:rPr>
          <w:rFonts w:eastAsiaTheme="minorHAnsi"/>
          <w:szCs w:val="24"/>
          <w:lang w:eastAsia="en-US"/>
        </w:rPr>
        <w:t xml:space="preserve">blindness service providers </w:t>
      </w:r>
      <w:r w:rsidR="009F386A">
        <w:rPr>
          <w:rFonts w:eastAsiaTheme="minorHAnsi"/>
          <w:szCs w:val="24"/>
          <w:lang w:eastAsia="en-US"/>
        </w:rPr>
        <w:t xml:space="preserve">can offer </w:t>
      </w:r>
      <w:r w:rsidR="005D385C">
        <w:rPr>
          <w:rFonts w:eastAsiaTheme="minorHAnsi"/>
          <w:szCs w:val="24"/>
          <w:lang w:eastAsia="en-US"/>
        </w:rPr>
        <w:t xml:space="preserve">supports and services </w:t>
      </w:r>
      <w:r w:rsidR="00AE12A8">
        <w:rPr>
          <w:rFonts w:eastAsiaTheme="minorHAnsi"/>
          <w:szCs w:val="24"/>
          <w:lang w:eastAsia="en-US"/>
        </w:rPr>
        <w:t>to</w:t>
      </w:r>
      <w:r w:rsidR="005D385C">
        <w:rPr>
          <w:rFonts w:eastAsiaTheme="minorHAnsi"/>
          <w:szCs w:val="24"/>
          <w:lang w:eastAsia="en-US"/>
        </w:rPr>
        <w:t xml:space="preserve"> </w:t>
      </w:r>
      <w:r w:rsidR="00581CB2">
        <w:rPr>
          <w:rFonts w:eastAsiaTheme="minorHAnsi"/>
          <w:szCs w:val="24"/>
          <w:lang w:eastAsia="en-US"/>
        </w:rPr>
        <w:t xml:space="preserve">individuals </w:t>
      </w:r>
      <w:r w:rsidR="00C34920">
        <w:rPr>
          <w:rFonts w:eastAsiaTheme="minorHAnsi"/>
          <w:szCs w:val="24"/>
          <w:lang w:eastAsia="en-US"/>
        </w:rPr>
        <w:t xml:space="preserve">who are </w:t>
      </w:r>
      <w:r w:rsidRPr="00F31950">
        <w:rPr>
          <w:rFonts w:eastAsiaTheme="minorHAnsi"/>
          <w:szCs w:val="24"/>
          <w:lang w:eastAsia="en-US"/>
        </w:rPr>
        <w:t>ineligible for the NDIS or the My Aged Care program (for those aged over 65)</w:t>
      </w:r>
      <w:r w:rsidR="00D424DC">
        <w:rPr>
          <w:rFonts w:eastAsiaTheme="minorHAnsi"/>
          <w:szCs w:val="24"/>
          <w:lang w:eastAsia="en-US"/>
        </w:rPr>
        <w:t>.</w:t>
      </w:r>
      <w:r w:rsidR="00EC7CCD">
        <w:rPr>
          <w:rFonts w:eastAsiaTheme="minorHAnsi"/>
          <w:szCs w:val="24"/>
          <w:lang w:eastAsia="en-US"/>
        </w:rPr>
        <w:t xml:space="preserve"> </w:t>
      </w:r>
      <w:r w:rsidR="001844CE">
        <w:rPr>
          <w:rFonts w:eastAsiaTheme="minorHAnsi"/>
          <w:szCs w:val="24"/>
          <w:lang w:eastAsia="en-US"/>
        </w:rPr>
        <w:t>Ineligible p</w:t>
      </w:r>
      <w:r w:rsidR="000D64C6">
        <w:rPr>
          <w:rFonts w:eastAsiaTheme="minorHAnsi"/>
          <w:szCs w:val="24"/>
          <w:lang w:eastAsia="en-US"/>
        </w:rPr>
        <w:t xml:space="preserve">eople </w:t>
      </w:r>
      <w:r w:rsidR="00EC7CCD">
        <w:rPr>
          <w:rFonts w:eastAsiaTheme="minorHAnsi"/>
          <w:szCs w:val="24"/>
          <w:lang w:eastAsia="en-US"/>
        </w:rPr>
        <w:t xml:space="preserve">relying on </w:t>
      </w:r>
      <w:r w:rsidR="000D4272">
        <w:rPr>
          <w:rFonts w:eastAsiaTheme="minorHAnsi"/>
          <w:szCs w:val="24"/>
          <w:lang w:eastAsia="en-US"/>
        </w:rPr>
        <w:t>less well-resourced providers</w:t>
      </w:r>
      <w:r w:rsidR="00EC7CCD">
        <w:rPr>
          <w:rFonts w:eastAsiaTheme="minorHAnsi"/>
          <w:szCs w:val="24"/>
          <w:lang w:eastAsia="en-US"/>
        </w:rPr>
        <w:t xml:space="preserve">, however, </w:t>
      </w:r>
      <w:r w:rsidR="00274D98">
        <w:rPr>
          <w:rFonts w:eastAsiaTheme="minorHAnsi"/>
          <w:szCs w:val="24"/>
          <w:lang w:eastAsia="en-US"/>
        </w:rPr>
        <w:t xml:space="preserve">are often </w:t>
      </w:r>
      <w:r w:rsidR="001844CE">
        <w:rPr>
          <w:rFonts w:eastAsiaTheme="minorHAnsi"/>
          <w:szCs w:val="24"/>
          <w:lang w:eastAsia="en-US"/>
        </w:rPr>
        <w:t xml:space="preserve">required to </w:t>
      </w:r>
      <w:r w:rsidR="000D4272">
        <w:rPr>
          <w:rFonts w:eastAsiaTheme="minorHAnsi"/>
          <w:szCs w:val="24"/>
          <w:lang w:eastAsia="en-US"/>
        </w:rPr>
        <w:t xml:space="preserve">self-fund their </w:t>
      </w:r>
      <w:r w:rsidR="0020063D">
        <w:rPr>
          <w:rFonts w:eastAsiaTheme="minorHAnsi"/>
          <w:szCs w:val="24"/>
          <w:lang w:eastAsia="en-US"/>
        </w:rPr>
        <w:t>equipment and services.</w:t>
      </w:r>
      <w:r w:rsidRPr="00F31950">
        <w:rPr>
          <w:rFonts w:eastAsiaTheme="minorHAnsi"/>
          <w:szCs w:val="24"/>
          <w:vertAlign w:val="superscript"/>
          <w:lang w:eastAsia="en-US"/>
        </w:rPr>
        <w:endnoteReference w:id="4"/>
      </w:r>
    </w:p>
    <w:p w14:paraId="26AE1CF2" w14:textId="54AAED79" w:rsidR="00B64135" w:rsidRPr="00F31950" w:rsidRDefault="00B64135" w:rsidP="00B64135">
      <w:pPr>
        <w:rPr>
          <w:rFonts w:eastAsiaTheme="minorHAnsi"/>
          <w:szCs w:val="24"/>
          <w:lang w:eastAsia="en-US"/>
        </w:rPr>
      </w:pPr>
      <w:r>
        <w:rPr>
          <w:rFonts w:eastAsiaTheme="minorHAnsi"/>
          <w:szCs w:val="24"/>
          <w:lang w:eastAsia="en-US"/>
        </w:rPr>
        <w:t>Through consultation with members, BCA has produced a resource for service providers, in which we state our expectation that</w:t>
      </w:r>
      <w:r w:rsidRPr="00F31950">
        <w:rPr>
          <w:rFonts w:eastAsiaTheme="minorHAnsi"/>
          <w:szCs w:val="24"/>
          <w:lang w:eastAsia="en-US"/>
        </w:rPr>
        <w:t xml:space="preserve"> ‘No blind or vision impaired person will be out of pocket or denied a service they need because of their blindness or vision impairment.’</w:t>
      </w:r>
      <w:r w:rsidRPr="00F31950">
        <w:rPr>
          <w:rFonts w:eastAsiaTheme="minorHAnsi"/>
          <w:szCs w:val="24"/>
          <w:vertAlign w:val="superscript"/>
          <w:lang w:eastAsia="en-US"/>
        </w:rPr>
        <w:endnoteReference w:id="5"/>
      </w:r>
      <w:r>
        <w:rPr>
          <w:rFonts w:eastAsiaTheme="minorHAnsi"/>
          <w:szCs w:val="24"/>
          <w:lang w:eastAsia="en-US"/>
        </w:rPr>
        <w:t xml:space="preserve"> Australia’s disability sector is clearly failing to meet that </w:t>
      </w:r>
      <w:proofErr w:type="gramStart"/>
      <w:r>
        <w:rPr>
          <w:rFonts w:eastAsiaTheme="minorHAnsi"/>
          <w:szCs w:val="24"/>
          <w:lang w:eastAsia="en-US"/>
        </w:rPr>
        <w:t>expectation, and</w:t>
      </w:r>
      <w:proofErr w:type="gramEnd"/>
      <w:r>
        <w:rPr>
          <w:rFonts w:eastAsiaTheme="minorHAnsi"/>
          <w:szCs w:val="24"/>
          <w:lang w:eastAsia="en-US"/>
        </w:rPr>
        <w:t xml:space="preserve"> is currently resulting in a </w:t>
      </w:r>
      <w:r w:rsidRPr="00F31950">
        <w:rPr>
          <w:rFonts w:eastAsiaTheme="minorHAnsi"/>
          <w:szCs w:val="24"/>
          <w:lang w:eastAsia="en-US"/>
        </w:rPr>
        <w:t>system of ‘haves and have nots’, as BCA forewarned.</w:t>
      </w:r>
      <w:r w:rsidRPr="00F31950">
        <w:rPr>
          <w:rFonts w:eastAsiaTheme="minorHAnsi"/>
          <w:szCs w:val="24"/>
          <w:vertAlign w:val="superscript"/>
          <w:lang w:eastAsia="en-US"/>
        </w:rPr>
        <w:endnoteReference w:id="6"/>
      </w:r>
    </w:p>
    <w:p w14:paraId="57575F99" w14:textId="77777777" w:rsidR="00F31950" w:rsidRPr="00F31950" w:rsidRDefault="00F31950" w:rsidP="001A23AB">
      <w:pPr>
        <w:rPr>
          <w:rFonts w:eastAsiaTheme="minorHAnsi"/>
          <w:szCs w:val="24"/>
          <w:lang w:eastAsia="en-US"/>
        </w:rPr>
      </w:pPr>
      <w:r w:rsidRPr="00F31950">
        <w:rPr>
          <w:rFonts w:eastAsiaTheme="minorHAnsi"/>
          <w:szCs w:val="24"/>
          <w:lang w:eastAsia="en-US"/>
        </w:rPr>
        <w:t xml:space="preserve">This submission addresses each of the seven sets of questions put forward in the Consultation Paper for the new and improved Disability Services Act, which will </w:t>
      </w:r>
      <w:r w:rsidRPr="00F31950">
        <w:rPr>
          <w:szCs w:val="24"/>
        </w:rPr>
        <w:t>provide a basis for continued services and supports outside the NDIS for people with disability.</w:t>
      </w:r>
    </w:p>
    <w:p w14:paraId="4DFB4207" w14:textId="77777777" w:rsidR="00F31950" w:rsidRPr="00F31950" w:rsidRDefault="00F31950" w:rsidP="001A23AB">
      <w:r w:rsidRPr="00F31950">
        <w:t>Our response is based on extensive consultations with members and other people who are blind or vision impaired, and our ongoing advocacy work in the sector.</w:t>
      </w:r>
    </w:p>
    <w:p w14:paraId="290C8A0D" w14:textId="77777777" w:rsidR="00F31950" w:rsidRPr="001B58E6" w:rsidRDefault="00F31950" w:rsidP="00222BA3">
      <w:pPr>
        <w:pStyle w:val="Heading2"/>
      </w:pPr>
      <w:bookmarkStart w:id="13" w:name="_Toc59048287"/>
      <w:bookmarkStart w:id="14" w:name="_Toc126862910"/>
      <w:r>
        <w:lastRenderedPageBreak/>
        <w:t>3</w:t>
      </w:r>
      <w:r w:rsidRPr="001B58E6">
        <w:t>.</w:t>
      </w:r>
      <w:bookmarkEnd w:id="13"/>
      <w:r>
        <w:t xml:space="preserve"> Blind Citizens Australia’s Submission</w:t>
      </w:r>
      <w:bookmarkEnd w:id="14"/>
    </w:p>
    <w:p w14:paraId="6118E4F8" w14:textId="6625F5D2" w:rsidR="00F31950" w:rsidRDefault="00F31950" w:rsidP="00F5507B">
      <w:pPr>
        <w:pStyle w:val="Heading3"/>
      </w:pPr>
      <w:bookmarkStart w:id="15" w:name="_Toc126862911"/>
      <w:r>
        <w:t xml:space="preserve">3.1 </w:t>
      </w:r>
      <w:r w:rsidR="008A1CC8">
        <w:t xml:space="preserve">– </w:t>
      </w:r>
      <w:r>
        <w:t>Question 1 – Do you agree with the proposed objects for the new Act? What other objects should be included in the new Act?</w:t>
      </w:r>
      <w:bookmarkEnd w:id="15"/>
      <w:r>
        <w:t xml:space="preserve"> </w:t>
      </w:r>
    </w:p>
    <w:p w14:paraId="164E1ADD" w14:textId="74A49732" w:rsidR="00AE5334" w:rsidRPr="00296C5E" w:rsidRDefault="000B3F1A" w:rsidP="00296C5E">
      <w:pPr>
        <w:keepNext/>
        <w:keepLines/>
        <w:spacing w:before="360"/>
        <w:contextualSpacing/>
        <w:outlineLvl w:val="3"/>
        <w:rPr>
          <w:rFonts w:eastAsia="MS Gothic" w:cs="Times New Roman"/>
          <w:bCs/>
          <w:iCs/>
          <w:color w:val="4F2260"/>
          <w:sz w:val="28"/>
          <w:szCs w:val="24"/>
        </w:rPr>
      </w:pPr>
      <w:r w:rsidRPr="000B3F1A">
        <w:rPr>
          <w:rFonts w:eastAsia="MS Gothic" w:cs="Times New Roman"/>
          <w:bCs/>
          <w:iCs/>
          <w:color w:val="4F2260"/>
          <w:sz w:val="28"/>
          <w:szCs w:val="24"/>
        </w:rPr>
        <w:t>Object (a)</w:t>
      </w:r>
      <w:r w:rsidR="00296C5E">
        <w:rPr>
          <w:rFonts w:eastAsia="MS Gothic" w:cs="Times New Roman"/>
          <w:bCs/>
          <w:iCs/>
          <w:color w:val="4F2260"/>
          <w:sz w:val="28"/>
          <w:szCs w:val="24"/>
        </w:rPr>
        <w:br/>
      </w:r>
      <w:r w:rsidRPr="000B3F1A">
        <w:rPr>
          <w:rFonts w:eastAsiaTheme="minorHAnsi"/>
          <w:szCs w:val="24"/>
          <w:lang w:eastAsia="en-US"/>
        </w:rPr>
        <w:t xml:space="preserve">The objects set out the general aims or principles of the legislation. </w:t>
      </w:r>
    </w:p>
    <w:p w14:paraId="5AE90639" w14:textId="77777777" w:rsidR="00AE5334" w:rsidRDefault="000B3F1A" w:rsidP="00CD00B7">
      <w:pPr>
        <w:rPr>
          <w:rFonts w:eastAsiaTheme="minorHAnsi"/>
          <w:szCs w:val="24"/>
          <w:lang w:eastAsia="en-US"/>
        </w:rPr>
      </w:pPr>
      <w:r w:rsidRPr="000B3F1A">
        <w:rPr>
          <w:rFonts w:eastAsiaTheme="minorHAnsi"/>
          <w:szCs w:val="24"/>
          <w:lang w:eastAsia="en-US"/>
        </w:rPr>
        <w:t>Object (a) will, ‘in conjunction with other laws, give effect to Australia’s obligations under the Convention on the Rights of Persons with Disabilities [UNCRPD] done at New York on 13 December 2006.’</w:t>
      </w:r>
    </w:p>
    <w:p w14:paraId="310F2401" w14:textId="5C05E424" w:rsidR="00D12307" w:rsidRDefault="00137CBA" w:rsidP="00534A74">
      <w:pPr>
        <w:rPr>
          <w:rFonts w:eastAsiaTheme="minorHAnsi"/>
          <w:szCs w:val="24"/>
          <w:lang w:eastAsia="en-US"/>
        </w:rPr>
      </w:pPr>
      <w:r>
        <w:rPr>
          <w:rFonts w:eastAsiaTheme="minorHAnsi"/>
          <w:szCs w:val="24"/>
          <w:lang w:eastAsia="en-US"/>
        </w:rPr>
        <w:t xml:space="preserve">Much has changed in the disability services sector since the Act’s </w:t>
      </w:r>
      <w:r w:rsidR="00075AB0">
        <w:rPr>
          <w:rFonts w:eastAsiaTheme="minorHAnsi"/>
          <w:szCs w:val="24"/>
          <w:lang w:eastAsia="en-US"/>
        </w:rPr>
        <w:t>introduction</w:t>
      </w:r>
      <w:r>
        <w:rPr>
          <w:rFonts w:eastAsiaTheme="minorHAnsi"/>
          <w:szCs w:val="24"/>
          <w:lang w:eastAsia="en-US"/>
        </w:rPr>
        <w:t xml:space="preserve"> in</w:t>
      </w:r>
      <w:r w:rsidR="00075AB0">
        <w:rPr>
          <w:rFonts w:eastAsiaTheme="minorHAnsi"/>
          <w:szCs w:val="24"/>
          <w:lang w:eastAsia="en-US"/>
        </w:rPr>
        <w:t xml:space="preserve"> </w:t>
      </w:r>
      <w:r>
        <w:rPr>
          <w:rFonts w:eastAsiaTheme="minorHAnsi"/>
          <w:szCs w:val="24"/>
          <w:lang w:eastAsia="en-US"/>
        </w:rPr>
        <w:t>1986. The Disability Discrimination Act was</w:t>
      </w:r>
      <w:r w:rsidR="00075AB0">
        <w:rPr>
          <w:rFonts w:eastAsiaTheme="minorHAnsi"/>
          <w:szCs w:val="24"/>
          <w:lang w:eastAsia="en-US"/>
        </w:rPr>
        <w:t xml:space="preserve"> passed</w:t>
      </w:r>
      <w:r w:rsidR="00FB00A6">
        <w:rPr>
          <w:rFonts w:eastAsiaTheme="minorHAnsi"/>
          <w:szCs w:val="24"/>
          <w:lang w:eastAsia="en-US"/>
        </w:rPr>
        <w:t>,</w:t>
      </w:r>
      <w:r>
        <w:rPr>
          <w:rFonts w:eastAsiaTheme="minorHAnsi"/>
          <w:szCs w:val="24"/>
          <w:lang w:eastAsia="en-US"/>
        </w:rPr>
        <w:t xml:space="preserve"> and Australia </w:t>
      </w:r>
      <w:r w:rsidR="00883423">
        <w:rPr>
          <w:rFonts w:eastAsiaTheme="minorHAnsi"/>
          <w:szCs w:val="24"/>
          <w:lang w:eastAsia="en-US"/>
        </w:rPr>
        <w:t xml:space="preserve">signed and </w:t>
      </w:r>
      <w:r>
        <w:rPr>
          <w:rFonts w:eastAsiaTheme="minorHAnsi"/>
          <w:szCs w:val="24"/>
          <w:lang w:eastAsia="en-US"/>
        </w:rPr>
        <w:t>ratified the UNCRPD. Object (a) brings the new Act in line with</w:t>
      </w:r>
      <w:r w:rsidR="00FB00A6">
        <w:rPr>
          <w:rFonts w:eastAsiaTheme="minorHAnsi"/>
          <w:szCs w:val="24"/>
          <w:lang w:eastAsia="en-US"/>
        </w:rPr>
        <w:t xml:space="preserve"> </w:t>
      </w:r>
      <w:r w:rsidR="000567DF">
        <w:rPr>
          <w:rFonts w:eastAsiaTheme="minorHAnsi"/>
          <w:szCs w:val="24"/>
          <w:lang w:eastAsia="en-US"/>
        </w:rPr>
        <w:t>these national and international instruments</w:t>
      </w:r>
      <w:r w:rsidR="00D30C8C">
        <w:rPr>
          <w:rFonts w:eastAsiaTheme="minorHAnsi"/>
          <w:szCs w:val="24"/>
          <w:lang w:eastAsia="en-US"/>
        </w:rPr>
        <w:t xml:space="preserve">. </w:t>
      </w:r>
      <w:r w:rsidR="000B3F1A" w:rsidRPr="000B3F1A">
        <w:rPr>
          <w:rFonts w:eastAsiaTheme="minorHAnsi"/>
          <w:szCs w:val="24"/>
          <w:lang w:eastAsia="en-US"/>
        </w:rPr>
        <w:t>BCA has supported members when they have been denied such rights, and so supports the inclusion of this first object.</w:t>
      </w:r>
      <w:r w:rsidR="000B3F1A" w:rsidRPr="000B3F1A">
        <w:rPr>
          <w:rFonts w:eastAsiaTheme="minorHAnsi"/>
          <w:szCs w:val="24"/>
          <w:vertAlign w:val="superscript"/>
          <w:lang w:eastAsia="en-US"/>
        </w:rPr>
        <w:endnoteReference w:id="7"/>
      </w:r>
    </w:p>
    <w:p w14:paraId="725BD94A" w14:textId="793F018E" w:rsidR="00534A74" w:rsidRDefault="00534A74" w:rsidP="00534A74">
      <w:pPr>
        <w:rPr>
          <w:rFonts w:eastAsiaTheme="minorHAnsi"/>
          <w:szCs w:val="24"/>
          <w:lang w:eastAsia="en-US"/>
        </w:rPr>
      </w:pPr>
    </w:p>
    <w:p w14:paraId="69682D15" w14:textId="526CED96" w:rsidR="00534A74" w:rsidRPr="00296C5E" w:rsidRDefault="00534A74" w:rsidP="00296C5E">
      <w:pPr>
        <w:keepNext/>
        <w:keepLines/>
        <w:spacing w:before="360"/>
        <w:contextualSpacing/>
        <w:outlineLvl w:val="3"/>
        <w:rPr>
          <w:rFonts w:eastAsia="MS Gothic" w:cs="Times New Roman"/>
          <w:bCs/>
          <w:iCs/>
          <w:color w:val="4F2260"/>
          <w:sz w:val="28"/>
          <w:szCs w:val="24"/>
        </w:rPr>
      </w:pPr>
      <w:r w:rsidRPr="000B3F1A">
        <w:rPr>
          <w:rFonts w:eastAsia="MS Gothic" w:cs="Times New Roman"/>
          <w:bCs/>
          <w:iCs/>
          <w:color w:val="4F2260"/>
          <w:sz w:val="28"/>
          <w:szCs w:val="24"/>
        </w:rPr>
        <w:t>Objects (b) and (c)</w:t>
      </w:r>
      <w:r w:rsidR="00296C5E">
        <w:rPr>
          <w:rFonts w:eastAsia="MS Gothic" w:cs="Times New Roman"/>
          <w:bCs/>
          <w:iCs/>
          <w:color w:val="4F2260"/>
          <w:sz w:val="28"/>
          <w:szCs w:val="24"/>
        </w:rPr>
        <w:br/>
      </w:r>
      <w:r w:rsidRPr="000B3F1A">
        <w:rPr>
          <w:rFonts w:eastAsiaTheme="minorHAnsi"/>
          <w:szCs w:val="24"/>
          <w:lang w:eastAsia="en-US"/>
        </w:rPr>
        <w:t>Objects (b) and (c) explain the need to support and increase the ‘social and economic participation’ of people with disability.</w:t>
      </w:r>
    </w:p>
    <w:p w14:paraId="0A91BE83" w14:textId="39F86E37" w:rsidR="00C0431A" w:rsidRDefault="00534A74" w:rsidP="009C2A96">
      <w:pPr>
        <w:rPr>
          <w:rFonts w:eastAsiaTheme="minorHAnsi"/>
          <w:szCs w:val="24"/>
          <w:lang w:eastAsia="en-US"/>
        </w:rPr>
      </w:pPr>
      <w:r w:rsidRPr="000B3F1A">
        <w:rPr>
          <w:rFonts w:eastAsiaTheme="minorHAnsi"/>
          <w:szCs w:val="24"/>
          <w:lang w:eastAsia="en-US"/>
        </w:rPr>
        <w:t>As articulated in</w:t>
      </w:r>
      <w:r w:rsidR="007376BA">
        <w:rPr>
          <w:rFonts w:eastAsiaTheme="minorHAnsi"/>
          <w:szCs w:val="24"/>
          <w:lang w:eastAsia="en-US"/>
        </w:rPr>
        <w:t xml:space="preserve"> our</w:t>
      </w:r>
      <w:r w:rsidRPr="000B3F1A">
        <w:rPr>
          <w:rFonts w:eastAsiaTheme="minorHAnsi"/>
          <w:szCs w:val="24"/>
          <w:lang w:eastAsia="en-US"/>
        </w:rPr>
        <w:t xml:space="preserve"> response to the </w:t>
      </w:r>
      <w:r w:rsidR="001B06D1">
        <w:rPr>
          <w:rFonts w:eastAsiaTheme="minorHAnsi"/>
          <w:szCs w:val="24"/>
          <w:lang w:eastAsia="en-US"/>
        </w:rPr>
        <w:t xml:space="preserve">Treasury’s </w:t>
      </w:r>
      <w:r w:rsidRPr="000B3F1A">
        <w:rPr>
          <w:rFonts w:eastAsiaTheme="minorHAnsi"/>
          <w:szCs w:val="24"/>
          <w:lang w:eastAsia="en-US"/>
        </w:rPr>
        <w:t>Employment White Paper, BCA supports this.</w:t>
      </w:r>
      <w:r w:rsidRPr="000B3F1A">
        <w:rPr>
          <w:rFonts w:eastAsiaTheme="minorHAnsi"/>
          <w:szCs w:val="24"/>
          <w:vertAlign w:val="superscript"/>
          <w:lang w:eastAsia="en-US"/>
        </w:rPr>
        <w:endnoteReference w:id="8"/>
      </w:r>
      <w:r w:rsidR="00C0431A">
        <w:rPr>
          <w:rFonts w:eastAsiaTheme="minorHAnsi"/>
          <w:szCs w:val="24"/>
          <w:lang w:eastAsia="en-US"/>
        </w:rPr>
        <w:t xml:space="preserve"> Access to appropriate employment </w:t>
      </w:r>
      <w:r w:rsidR="006A1091">
        <w:rPr>
          <w:rFonts w:eastAsiaTheme="minorHAnsi"/>
          <w:szCs w:val="24"/>
          <w:lang w:eastAsia="en-US"/>
        </w:rPr>
        <w:t xml:space="preserve">enables people with disability to have more control over their lives, </w:t>
      </w:r>
      <w:r w:rsidR="00DF1029">
        <w:rPr>
          <w:rFonts w:eastAsiaTheme="minorHAnsi"/>
          <w:szCs w:val="24"/>
          <w:lang w:eastAsia="en-US"/>
        </w:rPr>
        <w:t xml:space="preserve">gain </w:t>
      </w:r>
      <w:r w:rsidR="00E06F9C">
        <w:rPr>
          <w:rFonts w:eastAsiaTheme="minorHAnsi"/>
          <w:szCs w:val="24"/>
          <w:lang w:eastAsia="en-US"/>
        </w:rPr>
        <w:t>financial independen</w:t>
      </w:r>
      <w:r w:rsidR="00DF1029">
        <w:rPr>
          <w:rFonts w:eastAsiaTheme="minorHAnsi"/>
          <w:szCs w:val="24"/>
          <w:lang w:eastAsia="en-US"/>
        </w:rPr>
        <w:t>ce</w:t>
      </w:r>
      <w:r w:rsidR="00E06F9C">
        <w:rPr>
          <w:rFonts w:eastAsiaTheme="minorHAnsi"/>
          <w:szCs w:val="24"/>
          <w:lang w:eastAsia="en-US"/>
        </w:rPr>
        <w:t xml:space="preserve">, </w:t>
      </w:r>
      <w:r w:rsidR="00DF1029">
        <w:rPr>
          <w:rFonts w:eastAsiaTheme="minorHAnsi"/>
          <w:szCs w:val="24"/>
          <w:lang w:eastAsia="en-US"/>
        </w:rPr>
        <w:t>enjoy</w:t>
      </w:r>
      <w:r w:rsidR="00E06F9C">
        <w:rPr>
          <w:rFonts w:eastAsiaTheme="minorHAnsi"/>
          <w:szCs w:val="24"/>
          <w:lang w:eastAsia="en-US"/>
        </w:rPr>
        <w:t xml:space="preserve"> a better standard of living, and at</w:t>
      </w:r>
      <w:r w:rsidR="004312AE">
        <w:rPr>
          <w:rFonts w:eastAsiaTheme="minorHAnsi"/>
          <w:szCs w:val="24"/>
          <w:lang w:eastAsia="en-US"/>
        </w:rPr>
        <w:t xml:space="preserve">tain </w:t>
      </w:r>
      <w:r w:rsidR="009C2A96">
        <w:rPr>
          <w:rFonts w:eastAsiaTheme="minorHAnsi"/>
          <w:szCs w:val="24"/>
          <w:lang w:eastAsia="en-US"/>
        </w:rPr>
        <w:t xml:space="preserve">better mental and physical health outcomes. </w:t>
      </w:r>
    </w:p>
    <w:p w14:paraId="72E71031" w14:textId="67AA399D" w:rsidR="007A4F4E" w:rsidRDefault="00237B63" w:rsidP="009C2A96">
      <w:r>
        <w:rPr>
          <w:rFonts w:eastAsiaTheme="minorHAnsi"/>
          <w:szCs w:val="24"/>
          <w:lang w:eastAsia="en-US"/>
        </w:rPr>
        <w:t xml:space="preserve">However, people with disability face barriers to employment such as </w:t>
      </w:r>
      <w:r w:rsidR="001A3712">
        <w:rPr>
          <w:rFonts w:eastAsiaTheme="minorHAnsi"/>
          <w:szCs w:val="24"/>
          <w:lang w:eastAsia="en-US"/>
        </w:rPr>
        <w:t>negative assumptions, attitudes and misconceptions held by employers and the wider community about the</w:t>
      </w:r>
      <w:r w:rsidR="00F46450">
        <w:rPr>
          <w:rFonts w:eastAsiaTheme="minorHAnsi"/>
          <w:szCs w:val="24"/>
          <w:lang w:eastAsia="en-US"/>
        </w:rPr>
        <w:t>ir</w:t>
      </w:r>
      <w:r w:rsidR="001A3712">
        <w:rPr>
          <w:rFonts w:eastAsiaTheme="minorHAnsi"/>
          <w:szCs w:val="24"/>
          <w:lang w:eastAsia="en-US"/>
        </w:rPr>
        <w:t xml:space="preserve"> productivity and </w:t>
      </w:r>
      <w:r w:rsidR="00F46450">
        <w:rPr>
          <w:rFonts w:eastAsiaTheme="minorHAnsi"/>
          <w:szCs w:val="24"/>
          <w:lang w:eastAsia="en-US"/>
        </w:rPr>
        <w:t>capabilities. This results in</w:t>
      </w:r>
      <w:r w:rsidR="00E51189">
        <w:rPr>
          <w:rFonts w:eastAsiaTheme="minorHAnsi"/>
          <w:szCs w:val="24"/>
          <w:lang w:eastAsia="en-US"/>
        </w:rPr>
        <w:t xml:space="preserve"> people with disability</w:t>
      </w:r>
      <w:r w:rsidR="009033F1">
        <w:rPr>
          <w:rFonts w:eastAsiaTheme="minorHAnsi"/>
          <w:szCs w:val="24"/>
          <w:lang w:eastAsia="en-US"/>
        </w:rPr>
        <w:t xml:space="preserve"> being excluded from </w:t>
      </w:r>
      <w:r w:rsidR="00E51189">
        <w:rPr>
          <w:rFonts w:eastAsiaTheme="minorHAnsi"/>
          <w:szCs w:val="24"/>
          <w:lang w:eastAsia="en-US"/>
        </w:rPr>
        <w:t>job opportunities</w:t>
      </w:r>
      <w:r w:rsidR="009033F1">
        <w:rPr>
          <w:rFonts w:eastAsiaTheme="minorHAnsi"/>
          <w:szCs w:val="24"/>
          <w:lang w:eastAsia="en-US"/>
        </w:rPr>
        <w:t xml:space="preserve"> and </w:t>
      </w:r>
      <w:r w:rsidR="0063191C">
        <w:rPr>
          <w:rFonts w:eastAsiaTheme="minorHAnsi"/>
          <w:szCs w:val="24"/>
          <w:lang w:eastAsia="en-US"/>
        </w:rPr>
        <w:t>overlooked for promotions</w:t>
      </w:r>
      <w:r w:rsidR="009033F1">
        <w:rPr>
          <w:rFonts w:eastAsiaTheme="minorHAnsi"/>
          <w:szCs w:val="24"/>
          <w:lang w:eastAsia="en-US"/>
        </w:rPr>
        <w:t xml:space="preserve">. </w:t>
      </w:r>
      <w:r w:rsidR="00056ECC">
        <w:rPr>
          <w:rFonts w:eastAsiaTheme="minorHAnsi"/>
          <w:szCs w:val="24"/>
          <w:lang w:eastAsia="en-US"/>
        </w:rPr>
        <w:t xml:space="preserve">BCA welcomes </w:t>
      </w:r>
      <w:r w:rsidR="00C619E0">
        <w:rPr>
          <w:rFonts w:eastAsiaTheme="minorHAnsi"/>
          <w:szCs w:val="24"/>
          <w:lang w:eastAsia="en-US"/>
        </w:rPr>
        <w:t xml:space="preserve">the DSS’s </w:t>
      </w:r>
      <w:r w:rsidR="00213AF2">
        <w:rPr>
          <w:rFonts w:eastAsiaTheme="minorHAnsi"/>
          <w:szCs w:val="24"/>
          <w:lang w:eastAsia="en-US"/>
        </w:rPr>
        <w:t>commitment to addressing this area.</w:t>
      </w:r>
    </w:p>
    <w:p w14:paraId="62E0937B" w14:textId="335ADA2A" w:rsidR="00A410D4" w:rsidRPr="00A410D4" w:rsidRDefault="00BC01EA" w:rsidP="00296C5E">
      <w:pPr>
        <w:keepNext/>
        <w:keepLines/>
        <w:spacing w:before="360"/>
        <w:contextualSpacing/>
        <w:outlineLvl w:val="3"/>
        <w:rPr>
          <w:rFonts w:eastAsiaTheme="minorHAnsi"/>
          <w:szCs w:val="24"/>
          <w:lang w:eastAsia="en-US"/>
        </w:rPr>
      </w:pPr>
      <w:bookmarkStart w:id="16" w:name="_Hlk126065601"/>
      <w:r w:rsidRPr="000B3F1A">
        <w:rPr>
          <w:rFonts w:eastAsia="MS Gothic" w:cs="Times New Roman"/>
          <w:bCs/>
          <w:iCs/>
          <w:color w:val="4F2260"/>
          <w:sz w:val="28"/>
          <w:szCs w:val="24"/>
        </w:rPr>
        <w:lastRenderedPageBreak/>
        <w:t>Object (d)</w:t>
      </w:r>
      <w:bookmarkStart w:id="17" w:name="_Hlk126016045"/>
      <w:bookmarkEnd w:id="16"/>
      <w:r w:rsidR="00296C5E">
        <w:rPr>
          <w:rFonts w:eastAsia="MS Gothic" w:cs="Times New Roman"/>
          <w:bCs/>
          <w:iCs/>
          <w:color w:val="4F2260"/>
          <w:sz w:val="28"/>
          <w:szCs w:val="24"/>
        </w:rPr>
        <w:br/>
      </w:r>
      <w:r w:rsidR="00534A74" w:rsidRPr="000B3F1A">
        <w:rPr>
          <w:rFonts w:eastAsiaTheme="minorHAnsi"/>
          <w:szCs w:val="24"/>
          <w:lang w:eastAsia="en-US"/>
        </w:rPr>
        <w:t>BCA agrees with Object (d) that supports and services should be ‘planned, developed, implemented and reviewed in conjunction with people with disability’ and that those supports and services ‘are effective, innovative, and high quality.’</w:t>
      </w:r>
    </w:p>
    <w:p w14:paraId="507FF1A5" w14:textId="23B4445D" w:rsidR="005D022B" w:rsidRDefault="005D022B" w:rsidP="00271399">
      <w:pPr>
        <w:rPr>
          <w:rFonts w:eastAsiaTheme="minorHAnsi"/>
          <w:szCs w:val="24"/>
          <w:lang w:eastAsia="en-US"/>
        </w:rPr>
      </w:pPr>
      <w:r>
        <w:rPr>
          <w:rFonts w:eastAsiaTheme="minorHAnsi"/>
          <w:szCs w:val="24"/>
          <w:lang w:eastAsia="en-US"/>
        </w:rPr>
        <w:t xml:space="preserve">‘Nothing about us </w:t>
      </w:r>
      <w:r w:rsidR="006A37B8">
        <w:rPr>
          <w:rFonts w:eastAsiaTheme="minorHAnsi"/>
          <w:szCs w:val="24"/>
          <w:lang w:eastAsia="en-US"/>
        </w:rPr>
        <w:t>without us’ is a common refrain</w:t>
      </w:r>
      <w:r w:rsidR="00762649">
        <w:rPr>
          <w:rFonts w:eastAsiaTheme="minorHAnsi"/>
          <w:szCs w:val="24"/>
          <w:lang w:eastAsia="en-US"/>
        </w:rPr>
        <w:t xml:space="preserve"> in the disability sector</w:t>
      </w:r>
      <w:r w:rsidR="00A5227B">
        <w:rPr>
          <w:rFonts w:eastAsiaTheme="minorHAnsi"/>
          <w:szCs w:val="24"/>
          <w:lang w:eastAsia="en-US"/>
        </w:rPr>
        <w:t xml:space="preserve">. BCA firmly believes that no </w:t>
      </w:r>
      <w:r w:rsidR="000758CE">
        <w:rPr>
          <w:rFonts w:eastAsiaTheme="minorHAnsi"/>
          <w:szCs w:val="24"/>
          <w:lang w:eastAsia="en-US"/>
        </w:rPr>
        <w:t xml:space="preserve">policy or decision about a group should be made </w:t>
      </w:r>
      <w:r w:rsidR="00B33D12">
        <w:rPr>
          <w:rFonts w:eastAsiaTheme="minorHAnsi"/>
          <w:szCs w:val="24"/>
          <w:lang w:eastAsia="en-US"/>
        </w:rPr>
        <w:t>without significant consultation with that group.</w:t>
      </w:r>
      <w:r w:rsidR="006A37B8">
        <w:rPr>
          <w:rFonts w:eastAsiaTheme="minorHAnsi"/>
          <w:szCs w:val="24"/>
          <w:lang w:eastAsia="en-US"/>
        </w:rPr>
        <w:t xml:space="preserve"> </w:t>
      </w:r>
    </w:p>
    <w:p w14:paraId="7A15317D" w14:textId="71CCEC6E" w:rsidR="00271399" w:rsidRDefault="005D022B" w:rsidP="00271399">
      <w:pPr>
        <w:rPr>
          <w:rFonts w:eastAsiaTheme="minorHAnsi"/>
          <w:szCs w:val="24"/>
          <w:lang w:eastAsia="en-US"/>
        </w:rPr>
      </w:pPr>
      <w:r>
        <w:rPr>
          <w:rFonts w:eastAsiaTheme="minorHAnsi"/>
          <w:szCs w:val="24"/>
          <w:lang w:eastAsia="en-US"/>
        </w:rPr>
        <w:t>W</w:t>
      </w:r>
      <w:r w:rsidR="00534A74" w:rsidRPr="000B3F1A">
        <w:rPr>
          <w:rFonts w:eastAsiaTheme="minorHAnsi"/>
          <w:szCs w:val="24"/>
          <w:lang w:eastAsia="en-US"/>
        </w:rPr>
        <w:t>hilst not a service provider itself, BCA has formalised partnership agreements with several specialist blindness service providers. BCA’s mission statement calls for ‘high quality and accessible services which meet our needs.’</w:t>
      </w:r>
    </w:p>
    <w:bookmarkEnd w:id="17"/>
    <w:p w14:paraId="41A7E3A8" w14:textId="77777777" w:rsidR="00271399" w:rsidRDefault="00534A74" w:rsidP="00271399">
      <w:pPr>
        <w:rPr>
          <w:rFonts w:eastAsiaTheme="minorHAnsi"/>
          <w:szCs w:val="24"/>
          <w:lang w:eastAsia="en-US"/>
        </w:rPr>
      </w:pPr>
      <w:r w:rsidRPr="000B3F1A">
        <w:rPr>
          <w:rFonts w:eastAsiaTheme="minorHAnsi"/>
          <w:szCs w:val="24"/>
          <w:lang w:eastAsia="en-US"/>
        </w:rPr>
        <w:t>BCA also strongly believes in the power of lived experience to improve the knowledge of business, the organisational culture, and the quality of services offered by service providers. BCA's own board is comprised entirely of people who are blind or vision impaired.</w:t>
      </w:r>
    </w:p>
    <w:p w14:paraId="3F2F2DF2" w14:textId="16B59371" w:rsidR="00215EFA" w:rsidRDefault="00534A74" w:rsidP="008C5C26">
      <w:pPr>
        <w:rPr>
          <w:rFonts w:eastAsiaTheme="minorHAnsi"/>
          <w:szCs w:val="24"/>
          <w:lang w:eastAsia="en-US"/>
        </w:rPr>
      </w:pPr>
      <w:r w:rsidRPr="000B3F1A">
        <w:rPr>
          <w:rFonts w:eastAsiaTheme="minorHAnsi"/>
          <w:szCs w:val="24"/>
          <w:lang w:eastAsia="en-US"/>
        </w:rPr>
        <w:t>Accordingly, BCA recommends that a majority of directors or members of a management committee of a service provider have lived experience of blindness or vision impairment, and that at least one director or member should be totally blind. Board and committee members without lived experience should receive an induction informing them about the lives of a diverse range of people who are blind or vision impaired.</w:t>
      </w:r>
      <w:r w:rsidR="00D2497B">
        <w:rPr>
          <w:rFonts w:eastAsiaTheme="minorHAnsi"/>
          <w:szCs w:val="24"/>
          <w:lang w:eastAsia="en-US"/>
        </w:rPr>
        <w:br/>
      </w:r>
      <w:r w:rsidR="008C5C26">
        <w:rPr>
          <w:rFonts w:eastAsiaTheme="minorHAnsi"/>
          <w:szCs w:val="24"/>
          <w:lang w:eastAsia="en-US"/>
        </w:rPr>
        <w:br/>
      </w:r>
      <w:r w:rsidR="00D2497B" w:rsidRPr="000B3F1A">
        <w:rPr>
          <w:rFonts w:eastAsia="MS Gothic" w:cs="Times New Roman"/>
          <w:bCs/>
          <w:iCs/>
          <w:color w:val="4F2260"/>
          <w:sz w:val="28"/>
          <w:szCs w:val="24"/>
        </w:rPr>
        <w:t>Object (e)</w:t>
      </w:r>
      <w:r w:rsidR="00296C5E">
        <w:rPr>
          <w:rFonts w:eastAsia="MS Gothic" w:cs="Times New Roman"/>
          <w:bCs/>
          <w:iCs/>
          <w:color w:val="4F2260"/>
          <w:sz w:val="28"/>
          <w:szCs w:val="24"/>
        </w:rPr>
        <w:br/>
      </w:r>
      <w:r w:rsidR="000B3F1A" w:rsidRPr="000B3F1A">
        <w:rPr>
          <w:rFonts w:eastAsiaTheme="minorHAnsi"/>
          <w:szCs w:val="24"/>
          <w:lang w:eastAsia="en-US"/>
        </w:rPr>
        <w:t>Object (e) aims to ‘increase public awareness, understanding and acceptance of people with disability.’ This accords with BCA’s mission ‘t</w:t>
      </w:r>
      <w:r w:rsidR="000B3F1A" w:rsidRPr="000B3F1A">
        <w:rPr>
          <w:rFonts w:eastAsiaTheme="minorHAnsi"/>
          <w:szCs w:val="24"/>
          <w:shd w:val="clear" w:color="auto" w:fill="FFFFFF"/>
          <w:lang w:eastAsia="en-US"/>
        </w:rPr>
        <w:t>o inform, connect, and empower Australians who are blind or vision impaired and the broader community.’</w:t>
      </w:r>
      <w:r w:rsidR="000B3F1A" w:rsidRPr="000B3F1A">
        <w:rPr>
          <w:rFonts w:eastAsiaTheme="minorHAnsi"/>
          <w:szCs w:val="24"/>
          <w:lang w:eastAsia="en-US"/>
        </w:rPr>
        <w:t xml:space="preserve"> </w:t>
      </w:r>
      <w:r w:rsidR="00296C5E">
        <w:rPr>
          <w:rFonts w:eastAsiaTheme="minorHAnsi"/>
          <w:szCs w:val="24"/>
          <w:lang w:eastAsia="en-US"/>
        </w:rPr>
        <w:br/>
      </w:r>
      <w:r w:rsidR="00296C5E">
        <w:rPr>
          <w:rFonts w:eastAsiaTheme="minorHAnsi"/>
          <w:szCs w:val="24"/>
          <w:lang w:eastAsia="en-US"/>
        </w:rPr>
        <w:br/>
      </w:r>
      <w:r w:rsidR="00296C5E">
        <w:rPr>
          <w:rFonts w:eastAsia="MS Gothic" w:cs="Times New Roman"/>
          <w:bCs/>
          <w:iCs/>
          <w:color w:val="4F2260"/>
          <w:sz w:val="28"/>
          <w:szCs w:val="24"/>
        </w:rPr>
        <w:t>A Glaring Omission</w:t>
      </w:r>
      <w:r w:rsidR="00C948F2">
        <w:rPr>
          <w:rFonts w:eastAsia="MS Gothic" w:cs="Times New Roman"/>
          <w:bCs/>
          <w:iCs/>
          <w:color w:val="4F2260"/>
          <w:sz w:val="28"/>
          <w:szCs w:val="24"/>
        </w:rPr>
        <w:br/>
      </w:r>
      <w:r w:rsidR="00C40197">
        <w:rPr>
          <w:rFonts w:eastAsiaTheme="minorHAnsi"/>
          <w:szCs w:val="24"/>
          <w:lang w:eastAsia="en-US"/>
        </w:rPr>
        <w:t xml:space="preserve">Assistive technology (AT) </w:t>
      </w:r>
      <w:r w:rsidR="00E36345">
        <w:rPr>
          <w:rFonts w:eastAsiaTheme="minorHAnsi"/>
          <w:szCs w:val="24"/>
          <w:lang w:eastAsia="en-US"/>
        </w:rPr>
        <w:t xml:space="preserve">refers to products which enable </w:t>
      </w:r>
      <w:r w:rsidR="002B062F">
        <w:rPr>
          <w:rFonts w:eastAsiaTheme="minorHAnsi"/>
          <w:szCs w:val="24"/>
          <w:lang w:eastAsia="en-US"/>
        </w:rPr>
        <w:t xml:space="preserve">activities and participation, and the services which support their application and use. </w:t>
      </w:r>
      <w:r w:rsidR="009D23C2">
        <w:rPr>
          <w:rFonts w:eastAsiaTheme="minorHAnsi"/>
          <w:szCs w:val="24"/>
          <w:lang w:eastAsia="en-US"/>
        </w:rPr>
        <w:t>AT involve</w:t>
      </w:r>
      <w:r w:rsidR="00583EC3">
        <w:rPr>
          <w:rFonts w:eastAsiaTheme="minorHAnsi"/>
          <w:szCs w:val="24"/>
          <w:lang w:eastAsia="en-US"/>
        </w:rPr>
        <w:t>s</w:t>
      </w:r>
      <w:r w:rsidR="009D23C2">
        <w:rPr>
          <w:rFonts w:eastAsiaTheme="minorHAnsi"/>
          <w:szCs w:val="24"/>
          <w:lang w:eastAsia="en-US"/>
        </w:rPr>
        <w:t xml:space="preserve"> </w:t>
      </w:r>
      <w:r w:rsidR="00F44B36">
        <w:rPr>
          <w:rFonts w:eastAsiaTheme="minorHAnsi"/>
          <w:szCs w:val="24"/>
          <w:lang w:eastAsia="en-US"/>
        </w:rPr>
        <w:t xml:space="preserve">the use of </w:t>
      </w:r>
      <w:r w:rsidR="00B47001">
        <w:rPr>
          <w:rFonts w:eastAsiaTheme="minorHAnsi"/>
          <w:szCs w:val="24"/>
          <w:lang w:eastAsia="en-US"/>
        </w:rPr>
        <w:t xml:space="preserve">specifically produced or generally available products </w:t>
      </w:r>
      <w:r w:rsidR="004B5AAC">
        <w:rPr>
          <w:rFonts w:eastAsiaTheme="minorHAnsi"/>
          <w:szCs w:val="24"/>
          <w:lang w:eastAsia="en-US"/>
        </w:rPr>
        <w:t>to fill the capability gap for people with disability</w:t>
      </w:r>
      <w:r w:rsidR="00F42F1E">
        <w:rPr>
          <w:rFonts w:eastAsiaTheme="minorHAnsi"/>
          <w:szCs w:val="24"/>
          <w:lang w:eastAsia="en-US"/>
        </w:rPr>
        <w:t xml:space="preserve"> and/or people who are ageing.</w:t>
      </w:r>
      <w:r w:rsidR="00E31A6B">
        <w:rPr>
          <w:rStyle w:val="EndnoteReference"/>
          <w:rFonts w:eastAsiaTheme="minorHAnsi"/>
          <w:szCs w:val="24"/>
          <w:lang w:eastAsia="en-US"/>
        </w:rPr>
        <w:endnoteReference w:id="9"/>
      </w:r>
    </w:p>
    <w:p w14:paraId="65EAE28E" w14:textId="77777777" w:rsidR="008C5C26" w:rsidRDefault="008C5C26" w:rsidP="00C948F2">
      <w:pPr>
        <w:keepNext/>
        <w:keepLines/>
        <w:spacing w:before="360"/>
        <w:contextualSpacing/>
        <w:outlineLvl w:val="3"/>
        <w:rPr>
          <w:rFonts w:eastAsiaTheme="minorHAnsi"/>
          <w:szCs w:val="24"/>
          <w:lang w:eastAsia="en-US"/>
        </w:rPr>
      </w:pPr>
    </w:p>
    <w:p w14:paraId="0D6830B5" w14:textId="2D24BFB1" w:rsidR="008206D7" w:rsidRPr="00C948F2" w:rsidRDefault="00E36345" w:rsidP="00C948F2">
      <w:pPr>
        <w:keepNext/>
        <w:keepLines/>
        <w:spacing w:before="360"/>
        <w:contextualSpacing/>
        <w:outlineLvl w:val="3"/>
        <w:rPr>
          <w:rFonts w:eastAsia="MS Gothic" w:cs="Times New Roman"/>
          <w:bCs/>
          <w:iCs/>
          <w:color w:val="4F2260"/>
          <w:sz w:val="28"/>
          <w:szCs w:val="24"/>
        </w:rPr>
      </w:pPr>
      <w:r>
        <w:rPr>
          <w:rFonts w:eastAsiaTheme="minorHAnsi"/>
          <w:szCs w:val="24"/>
          <w:lang w:eastAsia="en-US"/>
        </w:rPr>
        <w:t xml:space="preserve">AT </w:t>
      </w:r>
      <w:r w:rsidR="001E6F46">
        <w:rPr>
          <w:rFonts w:eastAsiaTheme="minorHAnsi"/>
          <w:szCs w:val="24"/>
          <w:lang w:eastAsia="en-US"/>
        </w:rPr>
        <w:t>has a key role in enabling each and every one of the proposed objects</w:t>
      </w:r>
      <w:r w:rsidR="00F97295">
        <w:rPr>
          <w:rFonts w:eastAsiaTheme="minorHAnsi"/>
          <w:szCs w:val="24"/>
          <w:lang w:eastAsia="en-US"/>
        </w:rPr>
        <w:t xml:space="preserve">, and yet the term is not mentioned in the Consultation Paper. </w:t>
      </w:r>
      <w:r w:rsidR="005C79ED">
        <w:rPr>
          <w:rFonts w:eastAsiaTheme="minorHAnsi"/>
          <w:szCs w:val="24"/>
          <w:lang w:eastAsia="en-US"/>
        </w:rPr>
        <w:t xml:space="preserve">BCA </w:t>
      </w:r>
      <w:r w:rsidR="003700F7">
        <w:rPr>
          <w:rFonts w:eastAsiaTheme="minorHAnsi"/>
          <w:szCs w:val="24"/>
          <w:lang w:eastAsia="en-US"/>
        </w:rPr>
        <w:t>strongly recommends that AT be specifically mentioned i</w:t>
      </w:r>
      <w:r w:rsidR="00521D0F">
        <w:rPr>
          <w:rFonts w:eastAsiaTheme="minorHAnsi"/>
          <w:szCs w:val="24"/>
          <w:lang w:eastAsia="en-US"/>
        </w:rPr>
        <w:t xml:space="preserve">n the new Act. </w:t>
      </w:r>
    </w:p>
    <w:p w14:paraId="7F4EF628" w14:textId="56A53FD3" w:rsidR="000B3F1A" w:rsidRPr="000B3F1A" w:rsidRDefault="000B3F1A" w:rsidP="000234C0">
      <w:pPr>
        <w:ind w:firstLine="360"/>
        <w:rPr>
          <w:rFonts w:eastAsiaTheme="minorHAnsi"/>
          <w:szCs w:val="24"/>
          <w:lang w:eastAsia="en-US"/>
        </w:rPr>
      </w:pPr>
      <w:r w:rsidRPr="000B3F1A">
        <w:rPr>
          <w:b/>
          <w:bCs/>
        </w:rPr>
        <w:t>Recommendations:</w:t>
      </w:r>
    </w:p>
    <w:p w14:paraId="134650E6" w14:textId="51C7400C" w:rsidR="000B3F1A" w:rsidRDefault="00A2499D" w:rsidP="00F13FD9">
      <w:pPr>
        <w:numPr>
          <w:ilvl w:val="0"/>
          <w:numId w:val="3"/>
        </w:numPr>
        <w:tabs>
          <w:tab w:val="left" w:pos="0"/>
        </w:tabs>
        <w:spacing w:before="0"/>
        <w:contextualSpacing/>
        <w:rPr>
          <w:rFonts w:eastAsia="Times New Roman"/>
          <w:lang w:eastAsia="en-AU"/>
        </w:rPr>
      </w:pPr>
      <w:r>
        <w:rPr>
          <w:rFonts w:eastAsia="Times New Roman"/>
          <w:lang w:eastAsia="en-AU"/>
        </w:rPr>
        <w:t xml:space="preserve">Include the </w:t>
      </w:r>
      <w:r w:rsidR="001275CF">
        <w:rPr>
          <w:rFonts w:eastAsia="Times New Roman"/>
          <w:lang w:eastAsia="en-AU"/>
        </w:rPr>
        <w:t xml:space="preserve">proposed </w:t>
      </w:r>
      <w:r w:rsidR="00BD2C7A">
        <w:rPr>
          <w:rFonts w:eastAsia="Times New Roman"/>
          <w:lang w:eastAsia="en-AU"/>
        </w:rPr>
        <w:t xml:space="preserve">objects </w:t>
      </w:r>
      <w:r w:rsidR="00AC1F98">
        <w:rPr>
          <w:rFonts w:eastAsia="Times New Roman"/>
          <w:lang w:eastAsia="en-AU"/>
        </w:rPr>
        <w:t>in</w:t>
      </w:r>
      <w:r w:rsidR="00BD2C7A">
        <w:rPr>
          <w:rFonts w:eastAsia="Times New Roman"/>
          <w:lang w:eastAsia="en-AU"/>
        </w:rPr>
        <w:t xml:space="preserve"> the new Act. </w:t>
      </w:r>
      <w:r w:rsidR="000B3F1A" w:rsidRPr="000B3F1A">
        <w:rPr>
          <w:rFonts w:eastAsia="Times New Roman"/>
          <w:lang w:eastAsia="en-AU"/>
        </w:rPr>
        <w:t xml:space="preserve"> </w:t>
      </w:r>
    </w:p>
    <w:p w14:paraId="2B395DDB" w14:textId="1C3288FE" w:rsidR="007F46F6" w:rsidRDefault="003700F7" w:rsidP="00F13FD9">
      <w:pPr>
        <w:numPr>
          <w:ilvl w:val="0"/>
          <w:numId w:val="3"/>
        </w:numPr>
        <w:tabs>
          <w:tab w:val="left" w:pos="0"/>
        </w:tabs>
        <w:spacing w:before="0"/>
        <w:contextualSpacing/>
        <w:rPr>
          <w:rFonts w:eastAsia="Times New Roman"/>
          <w:lang w:eastAsia="en-AU"/>
        </w:rPr>
      </w:pPr>
      <w:bookmarkStart w:id="18" w:name="_Hlk126251386"/>
      <w:r>
        <w:rPr>
          <w:rFonts w:eastAsia="Times New Roman"/>
          <w:lang w:eastAsia="en-AU"/>
        </w:rPr>
        <w:t xml:space="preserve">Specifically mention </w:t>
      </w:r>
      <w:r w:rsidR="002249B2">
        <w:rPr>
          <w:rFonts w:eastAsia="Times New Roman"/>
          <w:lang w:eastAsia="en-AU"/>
        </w:rPr>
        <w:t xml:space="preserve">AT </w:t>
      </w:r>
      <w:r w:rsidR="007813FC">
        <w:rPr>
          <w:rFonts w:eastAsia="Times New Roman"/>
          <w:lang w:eastAsia="en-AU"/>
        </w:rPr>
        <w:t xml:space="preserve">as an enabler of </w:t>
      </w:r>
      <w:r w:rsidR="00481A22">
        <w:rPr>
          <w:rFonts w:eastAsia="Times New Roman"/>
          <w:lang w:eastAsia="en-AU"/>
        </w:rPr>
        <w:t>e</w:t>
      </w:r>
      <w:r w:rsidR="004C1635">
        <w:rPr>
          <w:rFonts w:eastAsia="Times New Roman"/>
          <w:lang w:eastAsia="en-AU"/>
        </w:rPr>
        <w:t xml:space="preserve">ach and every </w:t>
      </w:r>
      <w:r w:rsidR="00481A22">
        <w:rPr>
          <w:rFonts w:eastAsia="Times New Roman"/>
          <w:lang w:eastAsia="en-AU"/>
        </w:rPr>
        <w:t>one of the proposed objects.</w:t>
      </w:r>
    </w:p>
    <w:bookmarkEnd w:id="18"/>
    <w:p w14:paraId="1B0FD886" w14:textId="77777777" w:rsidR="00A41B63" w:rsidRDefault="00A41B63" w:rsidP="00A41B63">
      <w:pPr>
        <w:tabs>
          <w:tab w:val="left" w:pos="0"/>
        </w:tabs>
        <w:spacing w:before="0" w:line="259" w:lineRule="auto"/>
        <w:contextualSpacing/>
        <w:rPr>
          <w:rFonts w:eastAsia="Times New Roman"/>
          <w:lang w:eastAsia="en-AU"/>
        </w:rPr>
      </w:pPr>
    </w:p>
    <w:p w14:paraId="4082FA2A" w14:textId="305442CB" w:rsidR="007D0DE1" w:rsidRPr="005B5B28" w:rsidRDefault="00F31950" w:rsidP="008A1CC8">
      <w:pPr>
        <w:pStyle w:val="Heading3"/>
      </w:pPr>
      <w:bookmarkStart w:id="19" w:name="_Toc126862912"/>
      <w:r>
        <w:t xml:space="preserve">3.2 </w:t>
      </w:r>
      <w:r w:rsidR="008A1CC8">
        <w:t xml:space="preserve">– </w:t>
      </w:r>
      <w:r w:rsidR="007D0DE1" w:rsidRPr="005B5B28">
        <w:t>Question 2 – Do you agree with the proposed approach to the target group? How do you think the target group should be defined?</w:t>
      </w:r>
      <w:bookmarkEnd w:id="19"/>
      <w:r w:rsidR="007D0DE1" w:rsidRPr="005B5B28">
        <w:t xml:space="preserve"> </w:t>
      </w:r>
    </w:p>
    <w:p w14:paraId="119153C7" w14:textId="56DDFF4F" w:rsidR="00574267" w:rsidRPr="00296C5E" w:rsidRDefault="007D0DE1" w:rsidP="00045FF6">
      <w:pPr>
        <w:keepNext/>
        <w:keepLines/>
        <w:spacing w:before="40"/>
        <w:contextualSpacing/>
        <w:outlineLvl w:val="3"/>
      </w:pPr>
      <w:bookmarkStart w:id="20" w:name="_Hlk126071499"/>
      <w:r w:rsidRPr="005B5B28">
        <w:rPr>
          <w:rFonts w:eastAsia="MS Gothic" w:cs="Times New Roman"/>
          <w:bCs/>
          <w:iCs/>
          <w:color w:val="4F2260"/>
          <w:sz w:val="28"/>
          <w:szCs w:val="24"/>
        </w:rPr>
        <w:t>A More Inclusive Approach</w:t>
      </w:r>
      <w:bookmarkEnd w:id="20"/>
      <w:r w:rsidR="00296C5E">
        <w:br/>
      </w:r>
      <w:r w:rsidR="00502A5D" w:rsidRPr="00502A5D">
        <w:rPr>
          <w:rFonts w:eastAsiaTheme="minorHAnsi"/>
          <w:szCs w:val="24"/>
          <w:lang w:eastAsia="en-US"/>
        </w:rPr>
        <w:t>The language used in the current Act to describe people with disability is outdated and</w:t>
      </w:r>
      <w:r w:rsidR="00DE773A">
        <w:rPr>
          <w:rFonts w:eastAsiaTheme="minorHAnsi"/>
          <w:szCs w:val="24"/>
          <w:lang w:eastAsia="en-US"/>
        </w:rPr>
        <w:t xml:space="preserve"> influenced by the </w:t>
      </w:r>
      <w:r w:rsidR="00502A5D" w:rsidRPr="00502A5D">
        <w:rPr>
          <w:rFonts w:eastAsiaTheme="minorHAnsi"/>
          <w:szCs w:val="24"/>
          <w:lang w:eastAsia="en-US"/>
        </w:rPr>
        <w:t>medical mode</w:t>
      </w:r>
      <w:r w:rsidR="00DE773A">
        <w:rPr>
          <w:rFonts w:eastAsiaTheme="minorHAnsi"/>
          <w:szCs w:val="24"/>
          <w:lang w:eastAsia="en-US"/>
        </w:rPr>
        <w:t>l</w:t>
      </w:r>
      <w:r w:rsidR="00502A5D" w:rsidRPr="00502A5D">
        <w:rPr>
          <w:rFonts w:eastAsiaTheme="minorHAnsi"/>
          <w:szCs w:val="24"/>
          <w:lang w:eastAsia="en-US"/>
        </w:rPr>
        <w:t xml:space="preserve"> of disability. </w:t>
      </w:r>
      <w:bookmarkStart w:id="21" w:name="_Hlk126857673"/>
      <w:r w:rsidR="00502A5D" w:rsidRPr="00502A5D">
        <w:rPr>
          <w:rFonts w:eastAsiaTheme="minorHAnsi"/>
          <w:szCs w:val="24"/>
          <w:lang w:eastAsia="en-US"/>
        </w:rPr>
        <w:t>BCA strongly believes that</w:t>
      </w:r>
      <w:r w:rsidR="00872C8C">
        <w:rPr>
          <w:rFonts w:eastAsiaTheme="minorHAnsi"/>
          <w:szCs w:val="24"/>
          <w:lang w:eastAsia="en-US"/>
        </w:rPr>
        <w:t xml:space="preserve"> any legislation pertaining to </w:t>
      </w:r>
      <w:r w:rsidR="003D6BE3">
        <w:rPr>
          <w:rFonts w:eastAsiaTheme="minorHAnsi"/>
          <w:szCs w:val="24"/>
          <w:lang w:eastAsia="en-US"/>
        </w:rPr>
        <w:t xml:space="preserve">people with disability should be grounded </w:t>
      </w:r>
      <w:r w:rsidR="00045FF6">
        <w:rPr>
          <w:rFonts w:eastAsiaTheme="minorHAnsi"/>
          <w:szCs w:val="24"/>
          <w:lang w:eastAsia="en-US"/>
        </w:rPr>
        <w:t xml:space="preserve">in </w:t>
      </w:r>
      <w:r w:rsidR="00502A5D" w:rsidRPr="00502A5D">
        <w:rPr>
          <w:rFonts w:eastAsiaTheme="minorHAnsi"/>
          <w:szCs w:val="24"/>
          <w:lang w:eastAsia="en-US"/>
        </w:rPr>
        <w:t>the social model of disability (which emerged during the 1980s) and the human rights model of disability (which emerged following the finalisation of the</w:t>
      </w:r>
      <w:r w:rsidR="00502A5D" w:rsidRPr="00502A5D">
        <w:t xml:space="preserve"> UNCRPD in 2006</w:t>
      </w:r>
      <w:r w:rsidR="00502A5D" w:rsidRPr="00502A5D">
        <w:rPr>
          <w:rFonts w:eastAsiaTheme="minorHAnsi"/>
          <w:szCs w:val="24"/>
          <w:lang w:eastAsia="en-US"/>
        </w:rPr>
        <w:t>).</w:t>
      </w:r>
    </w:p>
    <w:p w14:paraId="5A6F6A35" w14:textId="318A7827" w:rsidR="0013365E" w:rsidRDefault="00502A5D" w:rsidP="00574267">
      <w:pPr>
        <w:rPr>
          <w:rFonts w:eastAsiaTheme="minorHAnsi"/>
          <w:szCs w:val="24"/>
          <w:lang w:eastAsia="en-US"/>
        </w:rPr>
      </w:pPr>
      <w:r w:rsidRPr="00502A5D">
        <w:rPr>
          <w:rFonts w:eastAsiaTheme="minorHAnsi"/>
          <w:szCs w:val="24"/>
          <w:lang w:eastAsia="en-US"/>
        </w:rPr>
        <w:t xml:space="preserve">As explained in the Consultation Paper, to incorporate contemporary and inclusive language, </w:t>
      </w:r>
      <w:bookmarkEnd w:id="21"/>
      <w:r w:rsidR="00FF0432" w:rsidRPr="00502A5D">
        <w:rPr>
          <w:rFonts w:eastAsiaTheme="minorHAnsi"/>
          <w:szCs w:val="24"/>
          <w:lang w:eastAsia="en-US"/>
        </w:rPr>
        <w:t xml:space="preserve">the new Act ‘could define the target group for supports and services as people with disability who are experiencing one or more of the following barriers to full and effective participation in society: (a) attitudinal barriers, (b) environmental barriers, (c) institutional barriers, and (d) communication </w:t>
      </w:r>
      <w:r w:rsidR="006F4EB2" w:rsidRPr="00502A5D">
        <w:rPr>
          <w:rFonts w:eastAsiaTheme="minorHAnsi"/>
          <w:szCs w:val="24"/>
          <w:lang w:eastAsia="en-US"/>
        </w:rPr>
        <w:t>barriers</w:t>
      </w:r>
      <w:r w:rsidR="00FF0432" w:rsidRPr="00502A5D">
        <w:rPr>
          <w:rFonts w:eastAsiaTheme="minorHAnsi"/>
          <w:szCs w:val="24"/>
          <w:lang w:eastAsia="en-US"/>
        </w:rPr>
        <w:t>.</w:t>
      </w:r>
      <w:r w:rsidR="006F4EB2">
        <w:rPr>
          <w:rFonts w:eastAsiaTheme="minorHAnsi"/>
          <w:szCs w:val="24"/>
          <w:lang w:eastAsia="en-US"/>
        </w:rPr>
        <w:t>’</w:t>
      </w:r>
      <w:r w:rsidR="00770322">
        <w:rPr>
          <w:rFonts w:eastAsiaTheme="minorHAnsi"/>
          <w:szCs w:val="24"/>
          <w:lang w:eastAsia="en-US"/>
        </w:rPr>
        <w:t xml:space="preserve"> </w:t>
      </w:r>
      <w:r w:rsidR="0013365E">
        <w:rPr>
          <w:rFonts w:eastAsiaTheme="minorHAnsi"/>
          <w:szCs w:val="24"/>
          <w:lang w:eastAsia="en-US"/>
        </w:rPr>
        <w:t xml:space="preserve">BCA notes that assistive technology </w:t>
      </w:r>
      <w:r w:rsidR="00014BFA">
        <w:rPr>
          <w:rFonts w:eastAsiaTheme="minorHAnsi"/>
          <w:szCs w:val="24"/>
          <w:lang w:eastAsia="en-US"/>
        </w:rPr>
        <w:t xml:space="preserve">is instrumental in addressing each of these barriers. </w:t>
      </w:r>
      <w:r w:rsidR="0013365E">
        <w:rPr>
          <w:rFonts w:eastAsiaTheme="minorHAnsi"/>
          <w:szCs w:val="24"/>
          <w:lang w:eastAsia="en-US"/>
        </w:rPr>
        <w:t xml:space="preserve"> </w:t>
      </w:r>
    </w:p>
    <w:p w14:paraId="1DE19583" w14:textId="6B4F40A2" w:rsidR="00574267" w:rsidRDefault="00502A5D" w:rsidP="00574267">
      <w:pPr>
        <w:rPr>
          <w:rFonts w:eastAsiaTheme="minorHAnsi"/>
          <w:szCs w:val="24"/>
          <w:lang w:eastAsia="en-US"/>
        </w:rPr>
      </w:pPr>
      <w:r w:rsidRPr="00502A5D">
        <w:rPr>
          <w:rFonts w:eastAsiaTheme="minorHAnsi"/>
          <w:szCs w:val="24"/>
          <w:lang w:eastAsia="en-US"/>
        </w:rPr>
        <w:t>BCA’s submission to the Disability Royal Commission on Promoting Inclusion: Civic Participation detailed the systemic barriers to civic participation confronted by people who are blind or vision impaired.</w:t>
      </w:r>
      <w:r w:rsidRPr="00502A5D">
        <w:rPr>
          <w:rFonts w:eastAsiaTheme="minorHAnsi"/>
          <w:szCs w:val="24"/>
          <w:vertAlign w:val="superscript"/>
          <w:lang w:eastAsia="en-US"/>
        </w:rPr>
        <w:endnoteReference w:id="10"/>
      </w:r>
      <w:r w:rsidRPr="00502A5D">
        <w:rPr>
          <w:rFonts w:eastAsiaTheme="minorHAnsi"/>
          <w:szCs w:val="24"/>
          <w:lang w:eastAsia="en-US"/>
        </w:rPr>
        <w:t xml:space="preserve"> That people who are blind or vision impaired are routinely denied a service because they are accompanied by a dog guide, typically unable to serve on a jury, and not guaranteed the right to cast a secret, independent and verifiable vote at local, state and federal elections is indicative of their entrenched and ongoing societal exclusion.</w:t>
      </w:r>
    </w:p>
    <w:p w14:paraId="3855D3F7" w14:textId="46E28AED" w:rsidR="00574267" w:rsidRDefault="00502A5D" w:rsidP="00574267">
      <w:pPr>
        <w:rPr>
          <w:rFonts w:eastAsiaTheme="minorHAnsi"/>
          <w:szCs w:val="24"/>
          <w:lang w:eastAsia="en-US"/>
        </w:rPr>
      </w:pPr>
      <w:r w:rsidRPr="00502A5D">
        <w:rPr>
          <w:rFonts w:eastAsiaTheme="minorHAnsi"/>
          <w:szCs w:val="24"/>
          <w:lang w:eastAsia="en-US"/>
        </w:rPr>
        <w:t>Such barriers must be identified before they can be dismantled, and so BCA welcomes the proposed approach to the target group.</w:t>
      </w:r>
      <w:r w:rsidR="00760731">
        <w:rPr>
          <w:rFonts w:eastAsiaTheme="minorHAnsi"/>
          <w:szCs w:val="24"/>
          <w:lang w:eastAsia="en-US"/>
        </w:rPr>
        <w:br/>
      </w:r>
    </w:p>
    <w:p w14:paraId="41DEDD0B" w14:textId="65CCB7D4" w:rsidR="00B52679" w:rsidRPr="00296C5E" w:rsidRDefault="00760731" w:rsidP="00296C5E">
      <w:pPr>
        <w:keepNext/>
        <w:keepLines/>
        <w:spacing w:before="40"/>
        <w:contextualSpacing/>
        <w:outlineLvl w:val="3"/>
      </w:pPr>
      <w:bookmarkStart w:id="22" w:name="_Hlk126596558"/>
      <w:r w:rsidRPr="005B5B28">
        <w:rPr>
          <w:rFonts w:eastAsia="MS Gothic" w:cs="Times New Roman"/>
          <w:bCs/>
          <w:iCs/>
          <w:color w:val="4F2260"/>
          <w:sz w:val="28"/>
          <w:szCs w:val="24"/>
        </w:rPr>
        <w:lastRenderedPageBreak/>
        <w:t xml:space="preserve">A </w:t>
      </w:r>
      <w:r>
        <w:rPr>
          <w:rFonts w:eastAsia="MS Gothic" w:cs="Times New Roman"/>
          <w:bCs/>
          <w:iCs/>
          <w:color w:val="4F2260"/>
          <w:sz w:val="28"/>
          <w:szCs w:val="24"/>
        </w:rPr>
        <w:t>New Name</w:t>
      </w:r>
      <w:bookmarkEnd w:id="22"/>
      <w:r w:rsidR="00296C5E">
        <w:br/>
      </w:r>
      <w:r w:rsidR="000631A2">
        <w:rPr>
          <w:rFonts w:eastAsiaTheme="minorHAnsi"/>
          <w:szCs w:val="24"/>
          <w:lang w:eastAsia="en-US"/>
        </w:rPr>
        <w:t xml:space="preserve">The new Act </w:t>
      </w:r>
      <w:r w:rsidR="00FB2F9A">
        <w:rPr>
          <w:rFonts w:eastAsiaTheme="minorHAnsi"/>
          <w:szCs w:val="24"/>
          <w:lang w:eastAsia="en-US"/>
        </w:rPr>
        <w:t>provides an opportunity to place disability rights a</w:t>
      </w:r>
      <w:r w:rsidR="00A36990">
        <w:rPr>
          <w:rFonts w:eastAsiaTheme="minorHAnsi"/>
          <w:szCs w:val="24"/>
          <w:lang w:eastAsia="en-US"/>
        </w:rPr>
        <w:t xml:space="preserve">nd </w:t>
      </w:r>
      <w:r w:rsidR="00FB2F9A">
        <w:rPr>
          <w:rFonts w:eastAsiaTheme="minorHAnsi"/>
          <w:szCs w:val="24"/>
          <w:lang w:eastAsia="en-US"/>
        </w:rPr>
        <w:t>inclusion at the heart of government decision-making.</w:t>
      </w:r>
      <w:r w:rsidR="00FB421B">
        <w:rPr>
          <w:rFonts w:eastAsiaTheme="minorHAnsi"/>
          <w:szCs w:val="24"/>
          <w:lang w:eastAsia="en-US"/>
        </w:rPr>
        <w:t xml:space="preserve"> Naming the new </w:t>
      </w:r>
      <w:proofErr w:type="gramStart"/>
      <w:r w:rsidR="00FB421B">
        <w:rPr>
          <w:rFonts w:eastAsiaTheme="minorHAnsi"/>
          <w:szCs w:val="24"/>
          <w:lang w:eastAsia="en-US"/>
        </w:rPr>
        <w:t>Act</w:t>
      </w:r>
      <w:proofErr w:type="gramEnd"/>
      <w:r w:rsidR="00FB421B">
        <w:rPr>
          <w:rFonts w:eastAsiaTheme="minorHAnsi"/>
          <w:szCs w:val="24"/>
          <w:lang w:eastAsia="en-US"/>
        </w:rPr>
        <w:t xml:space="preserve"> </w:t>
      </w:r>
      <w:r w:rsidR="00E81C6C">
        <w:rPr>
          <w:rFonts w:eastAsiaTheme="minorHAnsi"/>
          <w:szCs w:val="24"/>
          <w:lang w:eastAsia="en-US"/>
        </w:rPr>
        <w:t xml:space="preserve">the ‘Disability Rights and Inclusion Act’ instead of the ‘Disability Services Act’ </w:t>
      </w:r>
      <w:r w:rsidR="0050440A">
        <w:rPr>
          <w:rFonts w:eastAsiaTheme="minorHAnsi"/>
          <w:szCs w:val="24"/>
          <w:lang w:eastAsia="en-US"/>
        </w:rPr>
        <w:t>would set the tone and ambitions for the next iteration of federal disability legislation</w:t>
      </w:r>
      <w:r w:rsidR="009536DF">
        <w:rPr>
          <w:rFonts w:eastAsiaTheme="minorHAnsi"/>
          <w:szCs w:val="24"/>
          <w:lang w:eastAsia="en-US"/>
        </w:rPr>
        <w:t xml:space="preserve">. </w:t>
      </w:r>
    </w:p>
    <w:p w14:paraId="48A36E6D" w14:textId="0187F84A" w:rsidR="000631A2" w:rsidRDefault="00A97F53" w:rsidP="00B83435">
      <w:r>
        <w:rPr>
          <w:rFonts w:eastAsiaTheme="minorHAnsi"/>
          <w:szCs w:val="24"/>
          <w:lang w:eastAsia="en-US"/>
        </w:rPr>
        <w:t>Renaming the legislation would</w:t>
      </w:r>
      <w:r w:rsidR="006D56A4">
        <w:rPr>
          <w:rFonts w:eastAsiaTheme="minorHAnsi"/>
          <w:szCs w:val="24"/>
          <w:lang w:eastAsia="en-US"/>
        </w:rPr>
        <w:t xml:space="preserve"> signal </w:t>
      </w:r>
      <w:r w:rsidR="006D56A4">
        <w:t>an unequivocal commitment to operationalising major human rights frameworks, particularly the UNCPRD, and would indicate an overarching commitment to drive inclusion of people with disability in all aspects of mainstream life – as distinct from inclusion only in disability settings.</w:t>
      </w:r>
      <w:r w:rsidR="00AF4AB1">
        <w:t xml:space="preserve"> </w:t>
      </w:r>
      <w:r w:rsidR="00B13DC3">
        <w:t xml:space="preserve">In so doing, the </w:t>
      </w:r>
      <w:r w:rsidR="00760731">
        <w:t xml:space="preserve">DSS would follow in the footsteps of </w:t>
      </w:r>
      <w:r w:rsidR="00763403">
        <w:t xml:space="preserve">New South Wales, </w:t>
      </w:r>
      <w:r w:rsidR="000441E3">
        <w:t>South Australia and Victoria</w:t>
      </w:r>
      <w:r w:rsidR="00E76EA9">
        <w:t xml:space="preserve"> </w:t>
      </w:r>
      <w:r w:rsidR="004764AB">
        <w:t xml:space="preserve">in their recent reviews of </w:t>
      </w:r>
      <w:r w:rsidR="00DC24E1">
        <w:t>their respective Disability Acts</w:t>
      </w:r>
      <w:r w:rsidR="00760731">
        <w:t>.</w:t>
      </w:r>
      <w:r w:rsidR="00040EC6">
        <w:t xml:space="preserve"> </w:t>
      </w:r>
      <w:r w:rsidR="00760731">
        <w:br/>
      </w:r>
    </w:p>
    <w:p w14:paraId="5343F97D" w14:textId="2FB53E7E" w:rsidR="00574267" w:rsidRPr="00296C5E" w:rsidRDefault="00E946C3" w:rsidP="00366B50">
      <w:pPr>
        <w:keepNext/>
        <w:keepLines/>
        <w:spacing w:before="40"/>
        <w:contextualSpacing/>
        <w:outlineLvl w:val="3"/>
        <w:rPr>
          <w:rFonts w:eastAsia="MS Gothic" w:cs="Times New Roman"/>
          <w:bCs/>
          <w:iCs/>
          <w:color w:val="4F2260"/>
          <w:sz w:val="28"/>
          <w:szCs w:val="24"/>
        </w:rPr>
      </w:pPr>
      <w:r>
        <w:rPr>
          <w:rFonts w:eastAsia="MS Gothic" w:cs="Times New Roman"/>
          <w:bCs/>
          <w:iCs/>
          <w:color w:val="4F2260"/>
          <w:sz w:val="28"/>
          <w:szCs w:val="24"/>
        </w:rPr>
        <w:t>Recognising Multiple Forms of Disad</w:t>
      </w:r>
      <w:r w:rsidR="00366B50">
        <w:rPr>
          <w:rFonts w:eastAsia="MS Gothic" w:cs="Times New Roman"/>
          <w:bCs/>
          <w:iCs/>
          <w:color w:val="4F2260"/>
          <w:sz w:val="28"/>
          <w:szCs w:val="24"/>
        </w:rPr>
        <w:t>vantage and Discrimination</w:t>
      </w:r>
      <w:r w:rsidR="00296C5E">
        <w:rPr>
          <w:rFonts w:eastAsia="MS Gothic" w:cs="Times New Roman"/>
          <w:bCs/>
          <w:iCs/>
          <w:color w:val="4F2260"/>
          <w:sz w:val="28"/>
          <w:szCs w:val="24"/>
        </w:rPr>
        <w:br/>
      </w:r>
      <w:r w:rsidR="00502A5D" w:rsidRPr="00502A5D">
        <w:rPr>
          <w:rFonts w:eastAsiaTheme="minorHAnsi"/>
          <w:szCs w:val="24"/>
          <w:lang w:eastAsia="en-US"/>
        </w:rPr>
        <w:t>According to the Consultation Paper, the new Act could also ‘identify people with particular identities or characteristics who, due to multiple and overlapping forms of disadvantage or discrimination, may experience greater barriers to full and effective participation’, including ‘First Nations people, LGBTIQA+ people, and people from culturally and linguistically diverse backgrounds.’ BCA would again welcome this approach.</w:t>
      </w:r>
    </w:p>
    <w:p w14:paraId="0A5A1E9E" w14:textId="548AC184" w:rsidR="00574267" w:rsidRDefault="00331168" w:rsidP="00574267">
      <w:pPr>
        <w:rPr>
          <w:rFonts w:eastAsiaTheme="minorHAnsi"/>
          <w:szCs w:val="24"/>
          <w:lang w:eastAsia="en-US"/>
        </w:rPr>
      </w:pPr>
      <w:r>
        <w:rPr>
          <w:rFonts w:eastAsiaTheme="minorHAnsi"/>
          <w:szCs w:val="24"/>
          <w:lang w:eastAsia="en-US"/>
        </w:rPr>
        <w:t xml:space="preserve">As </w:t>
      </w:r>
      <w:r w:rsidR="009F1705">
        <w:rPr>
          <w:rFonts w:eastAsiaTheme="minorHAnsi"/>
          <w:szCs w:val="24"/>
          <w:lang w:eastAsia="en-US"/>
        </w:rPr>
        <w:t xml:space="preserve">we </w:t>
      </w:r>
      <w:r>
        <w:rPr>
          <w:rFonts w:eastAsiaTheme="minorHAnsi"/>
          <w:szCs w:val="24"/>
          <w:lang w:eastAsia="en-US"/>
        </w:rPr>
        <w:t xml:space="preserve">noted in </w:t>
      </w:r>
      <w:r w:rsidR="00502A5D" w:rsidRPr="00502A5D">
        <w:rPr>
          <w:rFonts w:eastAsiaTheme="minorHAnsi"/>
          <w:szCs w:val="24"/>
          <w:lang w:eastAsia="en-US"/>
        </w:rPr>
        <w:t xml:space="preserve">response to the Treasury’s Employment White Paper in 2022, BCA recommended that intersectionality be ‘considered when undertaking diversity and inclusion </w:t>
      </w:r>
      <w:proofErr w:type="gramStart"/>
      <w:r w:rsidR="00502A5D" w:rsidRPr="00502A5D">
        <w:rPr>
          <w:rFonts w:eastAsiaTheme="minorHAnsi"/>
          <w:szCs w:val="24"/>
          <w:lang w:eastAsia="en-US"/>
        </w:rPr>
        <w:t>training, and</w:t>
      </w:r>
      <w:proofErr w:type="gramEnd"/>
      <w:r w:rsidR="00502A5D" w:rsidRPr="00502A5D">
        <w:rPr>
          <w:rFonts w:eastAsiaTheme="minorHAnsi"/>
          <w:szCs w:val="24"/>
          <w:lang w:eastAsia="en-US"/>
        </w:rPr>
        <w:t xml:space="preserve"> introducing diversity and inclusion measures into workplaces. This includes measures that appropriately support First Nations people, people with disabilities, people identifying as LGBTIQ, people from CALD backgrounds, and women.’</w:t>
      </w:r>
    </w:p>
    <w:p w14:paraId="4C31A9F4" w14:textId="782B74DF" w:rsidR="00502A5D" w:rsidRPr="00502A5D" w:rsidRDefault="003A62CE" w:rsidP="00574267">
      <w:pPr>
        <w:rPr>
          <w:rFonts w:eastAsiaTheme="minorHAnsi"/>
          <w:szCs w:val="24"/>
          <w:lang w:eastAsia="en-US"/>
        </w:rPr>
      </w:pPr>
      <w:r>
        <w:rPr>
          <w:rFonts w:eastAsiaTheme="minorHAnsi"/>
          <w:szCs w:val="24"/>
          <w:lang w:eastAsia="en-US"/>
        </w:rPr>
        <w:t xml:space="preserve">Similarly, </w:t>
      </w:r>
      <w:r w:rsidR="00502A5D" w:rsidRPr="00502A5D">
        <w:rPr>
          <w:rFonts w:eastAsiaTheme="minorHAnsi"/>
          <w:szCs w:val="24"/>
          <w:lang w:eastAsia="en-US"/>
        </w:rPr>
        <w:t>BCA’s Disability Royal Commission submission on Promoting Inclusion: Civic Participation strongly encouraged blindness service providers and disability organisations to model best practice in relation to diversity on their boards: ‘There are very few current leaders with disability who are women and, beyond this, people with disability of diverse cultural and linguistic backgrounds and with a range of sexual and gender identities must take their places in senior positions.’</w:t>
      </w:r>
    </w:p>
    <w:p w14:paraId="003D6E36" w14:textId="77777777" w:rsidR="003479B1" w:rsidRDefault="00502A5D" w:rsidP="00502A5D">
      <w:pPr>
        <w:ind w:left="360"/>
        <w:rPr>
          <w:b/>
          <w:bCs/>
        </w:rPr>
      </w:pPr>
      <w:r w:rsidRPr="00502A5D">
        <w:rPr>
          <w:b/>
          <w:bCs/>
        </w:rPr>
        <w:t>Recommendations:</w:t>
      </w:r>
    </w:p>
    <w:p w14:paraId="3BAB8E7B" w14:textId="461011C4" w:rsidR="001F1F49" w:rsidRDefault="001F1F49" w:rsidP="00B364E6">
      <w:pPr>
        <w:pStyle w:val="ListParagraph"/>
      </w:pPr>
      <w:bookmarkStart w:id="23" w:name="_Hlk126256817"/>
      <w:r>
        <w:t xml:space="preserve">Recognise that </w:t>
      </w:r>
      <w:r w:rsidR="003202F4">
        <w:t>AT</w:t>
      </w:r>
      <w:r>
        <w:t xml:space="preserve"> is instrumental in </w:t>
      </w:r>
      <w:r w:rsidR="00570CF0">
        <w:t xml:space="preserve">addressing each of the four barriers to full and effective participation in society. </w:t>
      </w:r>
    </w:p>
    <w:bookmarkEnd w:id="23"/>
    <w:p w14:paraId="1F438568" w14:textId="69109185" w:rsidR="000D5EFC" w:rsidRDefault="00BB6310" w:rsidP="00B364E6">
      <w:pPr>
        <w:pStyle w:val="ListParagraph"/>
      </w:pPr>
      <w:r>
        <w:t xml:space="preserve">Use inclusive and </w:t>
      </w:r>
      <w:r w:rsidR="00F13FD9">
        <w:t>c</w:t>
      </w:r>
      <w:r w:rsidR="00EA61D3" w:rsidRPr="00194ED0">
        <w:t>ontemporary language</w:t>
      </w:r>
      <w:r w:rsidR="00F13FD9">
        <w:t xml:space="preserve"> when describing people with disability in the new Act.</w:t>
      </w:r>
    </w:p>
    <w:p w14:paraId="1758A39F" w14:textId="5EAFE98E" w:rsidR="00B364E6" w:rsidRDefault="00B364E6" w:rsidP="00B364E6">
      <w:pPr>
        <w:pStyle w:val="ListParagraph"/>
      </w:pPr>
      <w:bookmarkStart w:id="24" w:name="_Hlk126600898"/>
      <w:r>
        <w:lastRenderedPageBreak/>
        <w:t>Follow the examples set by New South Wales, South Australia and Victoria in naming the new legislation the ‘Disability</w:t>
      </w:r>
      <w:r w:rsidR="00AF4AB1">
        <w:t xml:space="preserve"> Rights and</w:t>
      </w:r>
      <w:r>
        <w:t xml:space="preserve"> Inclusion Act’ rather than the ‘Disability Services Act’.</w:t>
      </w:r>
    </w:p>
    <w:bookmarkEnd w:id="24"/>
    <w:p w14:paraId="14C6E78A" w14:textId="77777777" w:rsidR="00B364E6" w:rsidRDefault="00B364E6" w:rsidP="00B364E6">
      <w:pPr>
        <w:pStyle w:val="ListParagraph"/>
      </w:pPr>
      <w:r>
        <w:t xml:space="preserve">Specifically recognise people with identities or characteristics who may experience multiple forms of disadvantage and discrimination. </w:t>
      </w:r>
    </w:p>
    <w:p w14:paraId="1F4D15B6" w14:textId="7202C99B" w:rsidR="00F31950" w:rsidRDefault="00F31950" w:rsidP="001A23AB">
      <w:pPr>
        <w:pStyle w:val="Heading3"/>
      </w:pPr>
      <w:bookmarkStart w:id="25" w:name="_Toc126862913"/>
      <w:r>
        <w:t>3.3</w:t>
      </w:r>
      <w:r w:rsidR="006C38BF">
        <w:t xml:space="preserve"> – Question 3 – </w:t>
      </w:r>
      <w:r w:rsidR="00E7515A">
        <w:t xml:space="preserve">Do you agree with our suggested principles for </w:t>
      </w:r>
      <w:r w:rsidR="008F2BD3">
        <w:t>avoiding duplication and requiring coordination? What other principles do you think should apply?</w:t>
      </w:r>
      <w:bookmarkEnd w:id="25"/>
    </w:p>
    <w:p w14:paraId="625E8DD3" w14:textId="44776896" w:rsidR="00BC439E" w:rsidRPr="00296C5E" w:rsidRDefault="00197EF9" w:rsidP="00296C5E">
      <w:pPr>
        <w:keepNext/>
        <w:keepLines/>
        <w:spacing w:before="40"/>
        <w:contextualSpacing/>
        <w:outlineLvl w:val="3"/>
      </w:pPr>
      <w:bookmarkStart w:id="26" w:name="_Hlk126016389"/>
      <w:r>
        <w:rPr>
          <w:rFonts w:eastAsia="MS Gothic" w:cs="Times New Roman"/>
          <w:bCs/>
          <w:iCs/>
          <w:color w:val="4F2260"/>
          <w:sz w:val="28"/>
          <w:szCs w:val="24"/>
        </w:rPr>
        <w:t xml:space="preserve">The </w:t>
      </w:r>
      <w:r w:rsidR="00FF0432">
        <w:rPr>
          <w:rFonts w:eastAsia="MS Gothic" w:cs="Times New Roman"/>
          <w:bCs/>
          <w:iCs/>
          <w:color w:val="4F2260"/>
          <w:sz w:val="28"/>
          <w:szCs w:val="24"/>
        </w:rPr>
        <w:t xml:space="preserve">Urgent </w:t>
      </w:r>
      <w:r>
        <w:rPr>
          <w:rFonts w:eastAsia="MS Gothic" w:cs="Times New Roman"/>
          <w:bCs/>
          <w:iCs/>
          <w:color w:val="4F2260"/>
          <w:sz w:val="28"/>
          <w:szCs w:val="24"/>
        </w:rPr>
        <w:t xml:space="preserve">Need for Support </w:t>
      </w:r>
      <w:r w:rsidR="00A06BE8">
        <w:rPr>
          <w:rFonts w:eastAsia="MS Gothic" w:cs="Times New Roman"/>
          <w:bCs/>
          <w:iCs/>
          <w:color w:val="4F2260"/>
          <w:sz w:val="28"/>
          <w:szCs w:val="24"/>
        </w:rPr>
        <w:t>for Those Outside</w:t>
      </w:r>
      <w:r>
        <w:rPr>
          <w:rFonts w:eastAsia="MS Gothic" w:cs="Times New Roman"/>
          <w:bCs/>
          <w:iCs/>
          <w:color w:val="4F2260"/>
          <w:sz w:val="28"/>
          <w:szCs w:val="24"/>
        </w:rPr>
        <w:t xml:space="preserve"> the </w:t>
      </w:r>
      <w:r w:rsidR="00A06BE8">
        <w:rPr>
          <w:rFonts w:eastAsia="MS Gothic" w:cs="Times New Roman"/>
          <w:bCs/>
          <w:iCs/>
          <w:color w:val="4F2260"/>
          <w:sz w:val="28"/>
          <w:szCs w:val="24"/>
        </w:rPr>
        <w:t>NDIS</w:t>
      </w:r>
      <w:r w:rsidR="00296C5E">
        <w:br/>
      </w:r>
      <w:r w:rsidR="0089782B" w:rsidRPr="0089782B">
        <w:rPr>
          <w:rFonts w:eastAsiaTheme="minorHAnsi"/>
          <w:szCs w:val="24"/>
          <w:lang w:eastAsia="en-US"/>
        </w:rPr>
        <w:t xml:space="preserve">According to the Consultation Paper, </w:t>
      </w:r>
      <w:r w:rsidR="00BC439E">
        <w:rPr>
          <w:rFonts w:eastAsiaTheme="minorHAnsi"/>
          <w:szCs w:val="24"/>
          <w:lang w:eastAsia="en-US"/>
        </w:rPr>
        <w:t xml:space="preserve">the </w:t>
      </w:r>
      <w:r w:rsidR="00AA09B9">
        <w:rPr>
          <w:rFonts w:eastAsiaTheme="minorHAnsi"/>
          <w:szCs w:val="24"/>
          <w:lang w:eastAsia="en-US"/>
        </w:rPr>
        <w:t>n</w:t>
      </w:r>
      <w:r w:rsidR="00BC439E">
        <w:rPr>
          <w:rFonts w:eastAsiaTheme="minorHAnsi"/>
          <w:szCs w:val="24"/>
          <w:lang w:eastAsia="en-US"/>
        </w:rPr>
        <w:t xml:space="preserve">ew Act </w:t>
      </w:r>
      <w:r w:rsidR="004F16B1">
        <w:rPr>
          <w:rFonts w:eastAsiaTheme="minorHAnsi"/>
          <w:szCs w:val="24"/>
          <w:lang w:eastAsia="en-US"/>
        </w:rPr>
        <w:t xml:space="preserve">should </w:t>
      </w:r>
      <w:r w:rsidR="00BC439E">
        <w:rPr>
          <w:rFonts w:eastAsiaTheme="minorHAnsi"/>
          <w:szCs w:val="24"/>
          <w:lang w:eastAsia="en-US"/>
        </w:rPr>
        <w:t xml:space="preserve">increase </w:t>
      </w:r>
      <w:r w:rsidR="00D13D60">
        <w:rPr>
          <w:rFonts w:eastAsiaTheme="minorHAnsi"/>
          <w:szCs w:val="24"/>
          <w:lang w:eastAsia="en-US"/>
        </w:rPr>
        <w:t xml:space="preserve">coordination between </w:t>
      </w:r>
      <w:r w:rsidR="005726BC">
        <w:rPr>
          <w:rFonts w:eastAsiaTheme="minorHAnsi"/>
          <w:szCs w:val="24"/>
          <w:lang w:eastAsia="en-US"/>
        </w:rPr>
        <w:t xml:space="preserve">agencies and </w:t>
      </w:r>
      <w:r w:rsidR="00334C01">
        <w:rPr>
          <w:rFonts w:eastAsiaTheme="minorHAnsi"/>
          <w:szCs w:val="24"/>
          <w:lang w:eastAsia="en-US"/>
        </w:rPr>
        <w:t xml:space="preserve">service </w:t>
      </w:r>
      <w:proofErr w:type="gramStart"/>
      <w:r w:rsidR="00334C01">
        <w:rPr>
          <w:rFonts w:eastAsiaTheme="minorHAnsi"/>
          <w:szCs w:val="24"/>
          <w:lang w:eastAsia="en-US"/>
        </w:rPr>
        <w:t>providers</w:t>
      </w:r>
      <w:r w:rsidR="005726BC">
        <w:rPr>
          <w:rFonts w:eastAsiaTheme="minorHAnsi"/>
          <w:szCs w:val="24"/>
          <w:lang w:eastAsia="en-US"/>
        </w:rPr>
        <w:t>,</w:t>
      </w:r>
      <w:r w:rsidR="00334C01">
        <w:rPr>
          <w:rFonts w:eastAsiaTheme="minorHAnsi"/>
          <w:szCs w:val="24"/>
          <w:lang w:eastAsia="en-US"/>
        </w:rPr>
        <w:t xml:space="preserve"> </w:t>
      </w:r>
      <w:r w:rsidR="00D13D60">
        <w:rPr>
          <w:rFonts w:eastAsiaTheme="minorHAnsi"/>
          <w:szCs w:val="24"/>
          <w:lang w:eastAsia="en-US"/>
        </w:rPr>
        <w:t>and</w:t>
      </w:r>
      <w:proofErr w:type="gramEnd"/>
      <w:r w:rsidR="00D13D60">
        <w:rPr>
          <w:rFonts w:eastAsiaTheme="minorHAnsi"/>
          <w:szCs w:val="24"/>
          <w:lang w:eastAsia="en-US"/>
        </w:rPr>
        <w:t xml:space="preserve"> </w:t>
      </w:r>
      <w:r w:rsidR="00334C01">
        <w:rPr>
          <w:rFonts w:eastAsiaTheme="minorHAnsi"/>
          <w:szCs w:val="24"/>
          <w:lang w:eastAsia="en-US"/>
        </w:rPr>
        <w:t xml:space="preserve">avoid </w:t>
      </w:r>
      <w:r w:rsidR="007C5EF2">
        <w:rPr>
          <w:rFonts w:eastAsiaTheme="minorHAnsi"/>
          <w:szCs w:val="24"/>
          <w:lang w:eastAsia="en-US"/>
        </w:rPr>
        <w:t xml:space="preserve">the </w:t>
      </w:r>
      <w:r w:rsidR="00D13D60">
        <w:rPr>
          <w:rFonts w:eastAsiaTheme="minorHAnsi"/>
          <w:szCs w:val="24"/>
          <w:lang w:eastAsia="en-US"/>
        </w:rPr>
        <w:t>duplication o</w:t>
      </w:r>
      <w:r w:rsidR="000418CE">
        <w:rPr>
          <w:rFonts w:eastAsiaTheme="minorHAnsi"/>
          <w:szCs w:val="24"/>
          <w:lang w:eastAsia="en-US"/>
        </w:rPr>
        <w:t>r su</w:t>
      </w:r>
      <w:r w:rsidR="003820B5">
        <w:rPr>
          <w:rFonts w:eastAsiaTheme="minorHAnsi"/>
          <w:szCs w:val="24"/>
          <w:lang w:eastAsia="en-US"/>
        </w:rPr>
        <w:t xml:space="preserve">bstitution of services provided </w:t>
      </w:r>
      <w:r w:rsidR="007C5EF2">
        <w:rPr>
          <w:rFonts w:eastAsiaTheme="minorHAnsi"/>
          <w:szCs w:val="24"/>
          <w:lang w:eastAsia="en-US"/>
        </w:rPr>
        <w:t xml:space="preserve">by the NDIS </w:t>
      </w:r>
      <w:r w:rsidR="00722F1A">
        <w:rPr>
          <w:rFonts w:eastAsiaTheme="minorHAnsi"/>
          <w:szCs w:val="24"/>
          <w:lang w:eastAsia="en-US"/>
        </w:rPr>
        <w:t>or state</w:t>
      </w:r>
      <w:r w:rsidR="001530CB">
        <w:rPr>
          <w:rFonts w:eastAsiaTheme="minorHAnsi"/>
          <w:szCs w:val="24"/>
          <w:lang w:eastAsia="en-US"/>
        </w:rPr>
        <w:t xml:space="preserve"> and</w:t>
      </w:r>
      <w:r w:rsidR="00722F1A">
        <w:rPr>
          <w:rFonts w:eastAsiaTheme="minorHAnsi"/>
          <w:szCs w:val="24"/>
          <w:lang w:eastAsia="en-US"/>
        </w:rPr>
        <w:t xml:space="preserve"> territory programs. </w:t>
      </w:r>
      <w:r w:rsidR="003820B5">
        <w:rPr>
          <w:rFonts w:eastAsiaTheme="minorHAnsi"/>
          <w:szCs w:val="24"/>
          <w:lang w:eastAsia="en-US"/>
        </w:rPr>
        <w:t xml:space="preserve"> </w:t>
      </w:r>
      <w:r w:rsidR="00334C01">
        <w:rPr>
          <w:rFonts w:eastAsiaTheme="minorHAnsi"/>
          <w:szCs w:val="24"/>
          <w:lang w:eastAsia="en-US"/>
        </w:rPr>
        <w:t xml:space="preserve"> </w:t>
      </w:r>
      <w:r w:rsidR="00D13D60">
        <w:rPr>
          <w:rFonts w:eastAsiaTheme="minorHAnsi"/>
          <w:szCs w:val="24"/>
          <w:lang w:eastAsia="en-US"/>
        </w:rPr>
        <w:t xml:space="preserve"> </w:t>
      </w:r>
    </w:p>
    <w:p w14:paraId="2567EDDB" w14:textId="1D251864" w:rsidR="00AB6B63" w:rsidRDefault="00113B54" w:rsidP="00AB6B63">
      <w:pPr>
        <w:rPr>
          <w:rFonts w:eastAsia="Times New Roman"/>
          <w:szCs w:val="24"/>
          <w:lang w:eastAsia="en-AU"/>
        </w:rPr>
      </w:pPr>
      <w:r>
        <w:rPr>
          <w:rFonts w:eastAsiaTheme="minorHAnsi"/>
          <w:szCs w:val="24"/>
          <w:lang w:eastAsia="en-US"/>
        </w:rPr>
        <w:t xml:space="preserve">However, while </w:t>
      </w:r>
      <w:r w:rsidR="00D14796">
        <w:rPr>
          <w:rFonts w:eastAsiaTheme="minorHAnsi"/>
          <w:szCs w:val="24"/>
          <w:lang w:eastAsia="en-US"/>
        </w:rPr>
        <w:t xml:space="preserve">BCA </w:t>
      </w:r>
      <w:r w:rsidR="00AF1138" w:rsidRPr="00AF1138">
        <w:rPr>
          <w:rFonts w:eastAsia="Times New Roman"/>
          <w:szCs w:val="24"/>
          <w:lang w:eastAsia="en-AU"/>
        </w:rPr>
        <w:t>acknowledges that the efficient allocation of resources is essential for effective and sustainable social policy programs</w:t>
      </w:r>
      <w:r w:rsidR="0050398B">
        <w:rPr>
          <w:rFonts w:eastAsia="Times New Roman"/>
          <w:szCs w:val="24"/>
          <w:lang w:eastAsia="en-AU"/>
        </w:rPr>
        <w:t>, we note that for many people</w:t>
      </w:r>
      <w:r w:rsidR="007C533C">
        <w:rPr>
          <w:rFonts w:eastAsia="Times New Roman"/>
          <w:szCs w:val="24"/>
          <w:lang w:eastAsia="en-AU"/>
        </w:rPr>
        <w:t xml:space="preserve"> </w:t>
      </w:r>
      <w:r w:rsidR="00A41845" w:rsidRPr="00A40423">
        <w:rPr>
          <w:rFonts w:eastAsia="Times New Roman"/>
          <w:szCs w:val="24"/>
          <w:lang w:eastAsia="en-AU"/>
        </w:rPr>
        <w:t xml:space="preserve">who are blind or vision impaired, a lack of services and supports </w:t>
      </w:r>
      <w:r w:rsidR="000A30A3">
        <w:rPr>
          <w:rFonts w:eastAsia="Times New Roman"/>
          <w:szCs w:val="24"/>
          <w:lang w:eastAsia="en-AU"/>
        </w:rPr>
        <w:t xml:space="preserve">and emerging thin markets </w:t>
      </w:r>
      <w:r w:rsidR="00A41845" w:rsidRPr="00A40423">
        <w:rPr>
          <w:rFonts w:eastAsia="Times New Roman"/>
          <w:szCs w:val="24"/>
          <w:lang w:eastAsia="en-AU"/>
        </w:rPr>
        <w:t>present much greater challenge</w:t>
      </w:r>
      <w:r w:rsidR="00F65E04">
        <w:rPr>
          <w:rFonts w:eastAsia="Times New Roman"/>
          <w:szCs w:val="24"/>
          <w:lang w:eastAsia="en-AU"/>
        </w:rPr>
        <w:t>s</w:t>
      </w:r>
      <w:r w:rsidR="00A41845" w:rsidRPr="00A40423">
        <w:rPr>
          <w:rFonts w:eastAsia="Times New Roman"/>
          <w:szCs w:val="24"/>
          <w:lang w:eastAsia="en-AU"/>
        </w:rPr>
        <w:t xml:space="preserve"> than </w:t>
      </w:r>
      <w:r w:rsidR="00E33621">
        <w:rPr>
          <w:rFonts w:eastAsia="Times New Roman"/>
          <w:szCs w:val="24"/>
          <w:lang w:eastAsia="en-AU"/>
        </w:rPr>
        <w:t xml:space="preserve">a </w:t>
      </w:r>
      <w:r w:rsidR="0090268E">
        <w:rPr>
          <w:rFonts w:eastAsia="Times New Roman"/>
          <w:szCs w:val="24"/>
          <w:lang w:eastAsia="en-AU"/>
        </w:rPr>
        <w:t xml:space="preserve">theoretical </w:t>
      </w:r>
      <w:r w:rsidR="00A41845" w:rsidRPr="00A40423">
        <w:rPr>
          <w:rFonts w:eastAsia="Times New Roman"/>
          <w:szCs w:val="24"/>
          <w:lang w:eastAsia="en-AU"/>
        </w:rPr>
        <w:t>duplication or substitution</w:t>
      </w:r>
      <w:r w:rsidR="007C533C">
        <w:rPr>
          <w:rFonts w:eastAsia="Times New Roman"/>
          <w:szCs w:val="24"/>
          <w:lang w:eastAsia="en-AU"/>
        </w:rPr>
        <w:t xml:space="preserve"> of these services.</w:t>
      </w:r>
    </w:p>
    <w:p w14:paraId="1C579320" w14:textId="56A0AE20" w:rsidR="00AB6B63" w:rsidRPr="00A41845" w:rsidRDefault="00AB6B63" w:rsidP="00AB6B63">
      <w:pPr>
        <w:rPr>
          <w:rFonts w:eastAsia="Times New Roman"/>
          <w:szCs w:val="24"/>
          <w:lang w:eastAsia="en-AU"/>
        </w:rPr>
      </w:pPr>
      <w:r>
        <w:rPr>
          <w:rFonts w:eastAsia="Times New Roman"/>
          <w:szCs w:val="24"/>
          <w:lang w:eastAsia="en-AU"/>
        </w:rPr>
        <w:t xml:space="preserve">For someone </w:t>
      </w:r>
      <w:r w:rsidRPr="00A41845">
        <w:rPr>
          <w:rFonts w:eastAsiaTheme="minorHAnsi"/>
          <w:szCs w:val="24"/>
          <w:lang w:eastAsia="en-US"/>
        </w:rPr>
        <w:t>to be eligible for the NDIS based on vision loss, they must be permanently blind in both eyes. They must be diagnosed and assessed by an ophthalmologist (an optometrist report is not sufficient for NDIS purposes) as having:</w:t>
      </w:r>
    </w:p>
    <w:p w14:paraId="3731B05F" w14:textId="77777777" w:rsidR="00C031BD" w:rsidRDefault="00AB6B63" w:rsidP="00B364E6">
      <w:pPr>
        <w:pStyle w:val="ListParagraph"/>
        <w:numPr>
          <w:ilvl w:val="0"/>
          <w:numId w:val="9"/>
        </w:numPr>
      </w:pPr>
      <w:r w:rsidRPr="00C031BD">
        <w:t xml:space="preserve">Corrected visual acuity (extent to which an object can be brought into focus) on the Snellen Scale of less than or equal to 6/60 in both eyes; </w:t>
      </w:r>
      <w:proofErr w:type="gramStart"/>
      <w:r w:rsidRPr="00C031BD">
        <w:t>or</w:t>
      </w:r>
      <w:proofErr w:type="gramEnd"/>
    </w:p>
    <w:p w14:paraId="37D6E2F1" w14:textId="77777777" w:rsidR="00C031BD" w:rsidRDefault="00AB6B63" w:rsidP="00B364E6">
      <w:pPr>
        <w:pStyle w:val="ListParagraph"/>
        <w:numPr>
          <w:ilvl w:val="0"/>
          <w:numId w:val="9"/>
        </w:numPr>
      </w:pPr>
      <w:r w:rsidRPr="00C031BD">
        <w:t>Constriction to within 10 degrees or less of arc of central fixation in the better eye, irrespective of corrected visual acuity (i.e., visual fields are reduced to a measured arc of 10 degrees or less); or</w:t>
      </w:r>
    </w:p>
    <w:p w14:paraId="12429FEB" w14:textId="77777777" w:rsidR="00C031BD" w:rsidRDefault="00AB6B63" w:rsidP="00B364E6">
      <w:pPr>
        <w:pStyle w:val="ListParagraph"/>
        <w:numPr>
          <w:ilvl w:val="0"/>
          <w:numId w:val="9"/>
        </w:numPr>
      </w:pPr>
      <w:r w:rsidRPr="00C031BD">
        <w:t>A combination of visual defects resulting in the same degree of vision impairment as that occurring in the above points.</w:t>
      </w:r>
    </w:p>
    <w:p w14:paraId="1877F6B8" w14:textId="1961C0A6" w:rsidR="00AB6B63" w:rsidRPr="00C031BD" w:rsidRDefault="00AB6B63" w:rsidP="00B364E6">
      <w:pPr>
        <w:pStyle w:val="ListParagraph"/>
        <w:numPr>
          <w:ilvl w:val="0"/>
          <w:numId w:val="9"/>
        </w:numPr>
      </w:pPr>
      <w:r w:rsidRPr="00C031BD">
        <w:t xml:space="preserve">To be considered eligible based on deafblindness, the diagnosis must be confirmed by </w:t>
      </w:r>
      <w:r w:rsidR="00746B0D">
        <w:t xml:space="preserve">an </w:t>
      </w:r>
      <w:r w:rsidRPr="00C031BD">
        <w:t xml:space="preserve">ophthalmologist and </w:t>
      </w:r>
      <w:r w:rsidR="00746B0D">
        <w:t xml:space="preserve">an </w:t>
      </w:r>
      <w:r w:rsidRPr="00C031BD">
        <w:t>audiologist and assessed as resulting in permanent and severe to total impairment of visual function and hearing.</w:t>
      </w:r>
      <w:r w:rsidRPr="00A41845">
        <w:rPr>
          <w:vertAlign w:val="superscript"/>
        </w:rPr>
        <w:endnoteReference w:id="11"/>
      </w:r>
    </w:p>
    <w:p w14:paraId="63580DF2" w14:textId="7B3E834F" w:rsidR="00906604" w:rsidRDefault="00AB6B63" w:rsidP="008C7B28">
      <w:pPr>
        <w:rPr>
          <w:rFonts w:eastAsiaTheme="minorHAnsi"/>
          <w:szCs w:val="24"/>
          <w:lang w:eastAsia="en-US"/>
        </w:rPr>
      </w:pPr>
      <w:r>
        <w:rPr>
          <w:rFonts w:eastAsia="Times New Roman"/>
          <w:szCs w:val="24"/>
          <w:lang w:eastAsia="en-AU"/>
        </w:rPr>
        <w:lastRenderedPageBreak/>
        <w:t xml:space="preserve">Consequently, </w:t>
      </w:r>
      <w:r w:rsidRPr="00A41845">
        <w:rPr>
          <w:rFonts w:eastAsiaTheme="minorHAnsi"/>
          <w:szCs w:val="24"/>
          <w:lang w:eastAsia="en-US"/>
        </w:rPr>
        <w:t>only around two per cent of NDIS participants are blind or vision impaired.</w:t>
      </w:r>
      <w:r>
        <w:rPr>
          <w:rFonts w:eastAsia="Times New Roman"/>
          <w:szCs w:val="24"/>
          <w:lang w:eastAsia="en-AU"/>
        </w:rPr>
        <w:t xml:space="preserve"> </w:t>
      </w:r>
      <w:r w:rsidR="00551A7A">
        <w:rPr>
          <w:rFonts w:eastAsia="Times New Roman"/>
          <w:szCs w:val="24"/>
          <w:lang w:eastAsia="en-AU"/>
        </w:rPr>
        <w:t xml:space="preserve">Many </w:t>
      </w:r>
      <w:r w:rsidR="00834BF1">
        <w:rPr>
          <w:rFonts w:eastAsia="Times New Roman"/>
          <w:szCs w:val="24"/>
          <w:lang w:eastAsia="en-AU"/>
        </w:rPr>
        <w:t>people</w:t>
      </w:r>
      <w:r w:rsidRPr="00A41845">
        <w:rPr>
          <w:rFonts w:eastAsiaTheme="minorHAnsi"/>
          <w:szCs w:val="24"/>
          <w:lang w:eastAsia="en-US"/>
        </w:rPr>
        <w:t xml:space="preserve"> who are ineligible for the NDIS or the My Aged Care program (for those aged over 65) are required to self-fund their equipment and services.</w:t>
      </w:r>
      <w:r w:rsidR="002E3CCE">
        <w:rPr>
          <w:rFonts w:eastAsiaTheme="minorHAnsi"/>
          <w:szCs w:val="24"/>
          <w:lang w:eastAsia="en-US"/>
        </w:rPr>
        <w:t xml:space="preserve"> </w:t>
      </w:r>
      <w:r w:rsidR="00CC6962" w:rsidRPr="00597D73">
        <w:rPr>
          <w:rFonts w:eastAsiaTheme="minorHAnsi"/>
          <w:szCs w:val="24"/>
          <w:lang w:eastAsia="en-US"/>
        </w:rPr>
        <w:t>This</w:t>
      </w:r>
      <w:r w:rsidR="0035325B">
        <w:rPr>
          <w:rFonts w:eastAsiaTheme="minorHAnsi"/>
          <w:szCs w:val="24"/>
          <w:lang w:eastAsia="en-US"/>
        </w:rPr>
        <w:t xml:space="preserve"> clearly</w:t>
      </w:r>
      <w:r w:rsidR="00CC6962" w:rsidRPr="00597D73">
        <w:rPr>
          <w:rFonts w:eastAsiaTheme="minorHAnsi"/>
          <w:szCs w:val="24"/>
          <w:lang w:eastAsia="en-US"/>
        </w:rPr>
        <w:t xml:space="preserve"> fails to meet BCA’s expectation that ‘No blind or vision impaired person will be out of pocket or denied a service they need because of their blindness or vision impairment.’</w:t>
      </w:r>
    </w:p>
    <w:p w14:paraId="5F3A3948" w14:textId="4FF1DE4B" w:rsidR="0095267F" w:rsidRDefault="00834BF1" w:rsidP="008C7B28">
      <w:pPr>
        <w:rPr>
          <w:rFonts w:eastAsiaTheme="minorHAnsi"/>
          <w:szCs w:val="24"/>
          <w:lang w:eastAsia="en-US"/>
        </w:rPr>
      </w:pPr>
      <w:r>
        <w:rPr>
          <w:rFonts w:eastAsiaTheme="minorHAnsi"/>
          <w:szCs w:val="24"/>
          <w:lang w:eastAsia="en-US"/>
        </w:rPr>
        <w:t xml:space="preserve">In our </w:t>
      </w:r>
      <w:r w:rsidR="005D4C39">
        <w:rPr>
          <w:rFonts w:eastAsiaTheme="minorHAnsi"/>
          <w:szCs w:val="24"/>
          <w:lang w:eastAsia="en-US"/>
        </w:rPr>
        <w:t xml:space="preserve">submission to the Aged Care Royal Commission, BCA </w:t>
      </w:r>
      <w:r w:rsidR="00F9054C">
        <w:rPr>
          <w:rFonts w:eastAsiaTheme="minorHAnsi"/>
          <w:szCs w:val="24"/>
          <w:lang w:eastAsia="en-US"/>
        </w:rPr>
        <w:t xml:space="preserve">noted </w:t>
      </w:r>
      <w:r w:rsidR="00183A6A">
        <w:rPr>
          <w:rFonts w:eastAsiaTheme="minorHAnsi"/>
          <w:szCs w:val="24"/>
          <w:lang w:eastAsia="en-US"/>
        </w:rPr>
        <w:t>the</w:t>
      </w:r>
      <w:r w:rsidR="00F9054C">
        <w:rPr>
          <w:rFonts w:eastAsiaTheme="minorHAnsi"/>
          <w:szCs w:val="24"/>
          <w:lang w:eastAsia="en-US"/>
        </w:rPr>
        <w:t xml:space="preserve"> inequity between the </w:t>
      </w:r>
      <w:r w:rsidR="009E41BE">
        <w:rPr>
          <w:rFonts w:eastAsiaTheme="minorHAnsi"/>
          <w:szCs w:val="24"/>
          <w:lang w:eastAsia="en-US"/>
        </w:rPr>
        <w:t>a</w:t>
      </w:r>
      <w:r w:rsidR="00927D83">
        <w:rPr>
          <w:rFonts w:eastAsiaTheme="minorHAnsi"/>
          <w:szCs w:val="24"/>
          <w:lang w:eastAsia="en-US"/>
        </w:rPr>
        <w:t xml:space="preserve">ged </w:t>
      </w:r>
      <w:r w:rsidR="009E41BE">
        <w:rPr>
          <w:rFonts w:eastAsiaTheme="minorHAnsi"/>
          <w:szCs w:val="24"/>
          <w:lang w:eastAsia="en-US"/>
        </w:rPr>
        <w:t>c</w:t>
      </w:r>
      <w:r w:rsidR="00927D83">
        <w:rPr>
          <w:rFonts w:eastAsiaTheme="minorHAnsi"/>
          <w:szCs w:val="24"/>
          <w:lang w:eastAsia="en-US"/>
        </w:rPr>
        <w:t xml:space="preserve">are and the NDIS systems. </w:t>
      </w:r>
      <w:r w:rsidR="00183A6A">
        <w:rPr>
          <w:rFonts w:eastAsiaTheme="minorHAnsi"/>
          <w:szCs w:val="24"/>
          <w:lang w:eastAsia="en-US"/>
        </w:rPr>
        <w:t xml:space="preserve">We also recommended </w:t>
      </w:r>
      <w:r w:rsidR="0095267F">
        <w:rPr>
          <w:rFonts w:eastAsiaTheme="minorHAnsi"/>
          <w:szCs w:val="24"/>
          <w:lang w:eastAsia="en-US"/>
        </w:rPr>
        <w:t xml:space="preserve">the development of a Disability Action Plan under the Aged Care Diversity Framework to </w:t>
      </w:r>
      <w:r w:rsidR="00416E97">
        <w:rPr>
          <w:rFonts w:eastAsiaTheme="minorHAnsi"/>
          <w:szCs w:val="24"/>
          <w:lang w:eastAsia="en-US"/>
        </w:rPr>
        <w:t xml:space="preserve">aid </w:t>
      </w:r>
      <w:r w:rsidR="0083094B">
        <w:rPr>
          <w:rFonts w:eastAsiaTheme="minorHAnsi"/>
          <w:szCs w:val="24"/>
          <w:lang w:eastAsia="en-US"/>
        </w:rPr>
        <w:t xml:space="preserve">the development, planning and implementation of disability-specific support </w:t>
      </w:r>
      <w:r w:rsidR="00AF7582">
        <w:rPr>
          <w:rFonts w:eastAsiaTheme="minorHAnsi"/>
          <w:szCs w:val="24"/>
          <w:lang w:eastAsia="en-US"/>
        </w:rPr>
        <w:t>into the aged care system.</w:t>
      </w:r>
      <w:r w:rsidR="002A6C23">
        <w:rPr>
          <w:rStyle w:val="EndnoteReference"/>
          <w:rFonts w:eastAsiaTheme="minorHAnsi"/>
          <w:szCs w:val="24"/>
          <w:lang w:eastAsia="en-US"/>
        </w:rPr>
        <w:endnoteReference w:id="12"/>
      </w:r>
    </w:p>
    <w:p w14:paraId="49FDFD80" w14:textId="7840FA2D" w:rsidR="00906604" w:rsidRDefault="003B6A7C" w:rsidP="00906604">
      <w:pPr>
        <w:rPr>
          <w:rFonts w:eastAsiaTheme="minorHAnsi"/>
          <w:szCs w:val="24"/>
          <w:lang w:eastAsia="en-US"/>
        </w:rPr>
      </w:pPr>
      <w:r>
        <w:rPr>
          <w:rFonts w:eastAsiaTheme="minorHAnsi"/>
          <w:szCs w:val="24"/>
          <w:lang w:eastAsia="en-US"/>
        </w:rPr>
        <w:t>Furthermore, s</w:t>
      </w:r>
      <w:r w:rsidR="00FC3BB5">
        <w:rPr>
          <w:rFonts w:eastAsiaTheme="minorHAnsi"/>
          <w:szCs w:val="24"/>
          <w:lang w:eastAsia="en-US"/>
        </w:rPr>
        <w:t>ome y</w:t>
      </w:r>
      <w:r w:rsidR="006F5ED3">
        <w:rPr>
          <w:rFonts w:eastAsiaTheme="minorHAnsi"/>
          <w:szCs w:val="24"/>
          <w:lang w:eastAsia="en-US"/>
        </w:rPr>
        <w:t xml:space="preserve">oung Australians have shared their stories </w:t>
      </w:r>
      <w:r w:rsidR="00666B56">
        <w:rPr>
          <w:rFonts w:eastAsiaTheme="minorHAnsi"/>
          <w:szCs w:val="24"/>
          <w:lang w:eastAsia="en-US"/>
        </w:rPr>
        <w:t>of living with</w:t>
      </w:r>
      <w:r w:rsidR="00CC6962" w:rsidRPr="00CC6962">
        <w:rPr>
          <w:rFonts w:eastAsiaTheme="minorHAnsi"/>
          <w:szCs w:val="24"/>
          <w:lang w:eastAsia="en-US"/>
        </w:rPr>
        <w:t xml:space="preserve"> retinitis pigmentosa, a degenerative genetic condition</w:t>
      </w:r>
      <w:r w:rsidR="00FC3BB5">
        <w:rPr>
          <w:rFonts w:eastAsiaTheme="minorHAnsi"/>
          <w:szCs w:val="24"/>
          <w:lang w:eastAsia="en-US"/>
        </w:rPr>
        <w:t>. As one of them explains:</w:t>
      </w:r>
    </w:p>
    <w:p w14:paraId="27014C36" w14:textId="773705F8" w:rsidR="00906604" w:rsidRDefault="00CC6962" w:rsidP="005A216C">
      <w:pPr>
        <w:ind w:left="720" w:right="720"/>
        <w:rPr>
          <w:rFonts w:eastAsiaTheme="minorHAnsi"/>
          <w:szCs w:val="24"/>
          <w:lang w:eastAsia="en-US"/>
        </w:rPr>
      </w:pPr>
      <w:r w:rsidRPr="00CC6962">
        <w:rPr>
          <w:rFonts w:eastAsia="Times New Roman"/>
          <w:szCs w:val="24"/>
          <w:lang w:eastAsia="en-AU"/>
        </w:rPr>
        <w:t xml:space="preserve">To the general public, I look ‘normal’. I don’t use a white cane and I don’t have a guide dog, so I don’t fit into the stereotype of what a blind or visually impaired person looks or acts like. [Several negative and dangerous experiences with the general public] have made me seriously consider using </w:t>
      </w:r>
      <w:r w:rsidR="009653F9">
        <w:rPr>
          <w:rFonts w:eastAsia="Times New Roman"/>
          <w:szCs w:val="24"/>
          <w:lang w:eastAsia="en-AU"/>
        </w:rPr>
        <w:t xml:space="preserve">[a smaller, lightweight] </w:t>
      </w:r>
      <w:r w:rsidRPr="00CC6962">
        <w:rPr>
          <w:rFonts w:eastAsia="Times New Roman"/>
          <w:szCs w:val="24"/>
          <w:lang w:eastAsia="en-AU"/>
        </w:rPr>
        <w:t>identification cane</w:t>
      </w:r>
      <w:r w:rsidR="005D6DE2">
        <w:rPr>
          <w:rFonts w:eastAsia="Times New Roman"/>
          <w:szCs w:val="24"/>
          <w:lang w:eastAsia="en-AU"/>
        </w:rPr>
        <w:t xml:space="preserve"> … </w:t>
      </w:r>
      <w:r w:rsidRPr="00CC6962">
        <w:rPr>
          <w:rFonts w:eastAsia="Times New Roman"/>
          <w:szCs w:val="24"/>
          <w:lang w:eastAsia="en-AU"/>
        </w:rPr>
        <w:t>The problem is, you can’t just Google ‘ID canes’ and buy one from the first website you see. In Australia, you are legally required to undergo some orientation and mobility training before you can use and own an ID cane.</w:t>
      </w:r>
    </w:p>
    <w:p w14:paraId="0081BEE0" w14:textId="05FAE4FF" w:rsidR="00906604" w:rsidRDefault="00CC6962" w:rsidP="005A216C">
      <w:pPr>
        <w:ind w:left="720" w:right="720"/>
        <w:rPr>
          <w:rFonts w:eastAsia="Times New Roman"/>
          <w:szCs w:val="24"/>
          <w:lang w:eastAsia="en-AU"/>
        </w:rPr>
      </w:pPr>
      <w:r w:rsidRPr="00CC6962">
        <w:rPr>
          <w:rFonts w:eastAsia="Times New Roman"/>
          <w:szCs w:val="24"/>
          <w:lang w:eastAsia="en-AU"/>
        </w:rPr>
        <w:t>The process so far has been difficult. I rang several organisations for the blind and was told that I need to join the NDIS before they will offer me their services</w:t>
      </w:r>
      <w:r w:rsidR="009653F9">
        <w:rPr>
          <w:rFonts w:eastAsia="Times New Roman"/>
          <w:szCs w:val="24"/>
          <w:lang w:eastAsia="en-AU"/>
        </w:rPr>
        <w:t xml:space="preserve"> … </w:t>
      </w:r>
      <w:r w:rsidRPr="00CC6962">
        <w:rPr>
          <w:rFonts w:eastAsia="Times New Roman"/>
          <w:szCs w:val="24"/>
          <w:lang w:eastAsia="en-AU"/>
        </w:rPr>
        <w:t>This gatekeeping of blindness and visual impairment is distressing and prohibitive. There is a large community of people who are not considered legally blind, who desperately need support and aren’t able to access it because of the NDIS’s discrimination and backwards beliefs about blindness.</w:t>
      </w:r>
    </w:p>
    <w:p w14:paraId="31D412AA" w14:textId="4A0A7502" w:rsidR="00CC6962" w:rsidRDefault="00CC6962" w:rsidP="005A216C">
      <w:pPr>
        <w:ind w:left="720" w:right="720"/>
        <w:rPr>
          <w:rFonts w:eastAsia="Times New Roman"/>
          <w:szCs w:val="24"/>
          <w:lang w:eastAsia="en-AU"/>
        </w:rPr>
      </w:pPr>
      <w:r w:rsidRPr="00CC6962">
        <w:rPr>
          <w:rFonts w:eastAsia="Times New Roman"/>
          <w:szCs w:val="24"/>
          <w:lang w:eastAsia="en-AU"/>
        </w:rPr>
        <w:t>It’s like they’re asking, ‘How blind are you?’ And saying, ‘You’re not disabled enough.’</w:t>
      </w:r>
      <w:r w:rsidRPr="00CC6962">
        <w:rPr>
          <w:rFonts w:eastAsia="Times New Roman"/>
          <w:szCs w:val="24"/>
          <w:vertAlign w:val="superscript"/>
          <w:lang w:eastAsia="en-AU"/>
        </w:rPr>
        <w:endnoteReference w:id="13"/>
      </w:r>
      <w:r w:rsidR="009738F2">
        <w:rPr>
          <w:rFonts w:eastAsia="Times New Roman"/>
          <w:szCs w:val="24"/>
          <w:lang w:eastAsia="en-AU"/>
        </w:rPr>
        <w:br/>
      </w:r>
    </w:p>
    <w:p w14:paraId="72E5173A" w14:textId="5E4C0CDB" w:rsidR="003960A8" w:rsidRPr="00296C5E" w:rsidRDefault="009738F2" w:rsidP="00296C5E">
      <w:pPr>
        <w:keepNext/>
        <w:keepLines/>
        <w:spacing w:before="40"/>
        <w:contextualSpacing/>
        <w:outlineLvl w:val="3"/>
      </w:pPr>
      <w:r>
        <w:rPr>
          <w:rFonts w:eastAsia="MS Gothic" w:cs="Times New Roman"/>
          <w:bCs/>
          <w:iCs/>
          <w:color w:val="4F2260"/>
          <w:sz w:val="28"/>
          <w:szCs w:val="24"/>
        </w:rPr>
        <w:lastRenderedPageBreak/>
        <w:t>Falling Through the Gaps</w:t>
      </w:r>
      <w:r w:rsidR="00296C5E">
        <w:br/>
      </w:r>
      <w:r w:rsidR="00890A04">
        <w:rPr>
          <w:rFonts w:eastAsia="Times New Roman"/>
          <w:szCs w:val="24"/>
          <w:lang w:eastAsia="en-AU"/>
        </w:rPr>
        <w:t xml:space="preserve">As a </w:t>
      </w:r>
      <w:r w:rsidR="00AB2D23">
        <w:rPr>
          <w:rFonts w:eastAsia="Times New Roman"/>
          <w:szCs w:val="24"/>
          <w:lang w:eastAsia="en-AU"/>
        </w:rPr>
        <w:t xml:space="preserve">participant in </w:t>
      </w:r>
      <w:r w:rsidR="00F86278">
        <w:rPr>
          <w:rFonts w:eastAsia="Times New Roman"/>
          <w:szCs w:val="24"/>
          <w:lang w:eastAsia="en-AU"/>
        </w:rPr>
        <w:t xml:space="preserve">both </w:t>
      </w:r>
      <w:r w:rsidR="00890A04">
        <w:rPr>
          <w:rFonts w:eastAsia="Times New Roman"/>
          <w:szCs w:val="24"/>
          <w:lang w:eastAsia="en-AU"/>
        </w:rPr>
        <w:t xml:space="preserve">the </w:t>
      </w:r>
      <w:r w:rsidR="00F27F4E">
        <w:rPr>
          <w:rFonts w:eastAsia="Times New Roman"/>
          <w:szCs w:val="24"/>
          <w:lang w:eastAsia="en-AU"/>
        </w:rPr>
        <w:t xml:space="preserve">Assistive Technology </w:t>
      </w:r>
      <w:r w:rsidR="003872A8">
        <w:rPr>
          <w:rFonts w:eastAsia="Times New Roman"/>
          <w:szCs w:val="24"/>
          <w:lang w:eastAsia="en-AU"/>
        </w:rPr>
        <w:t>f</w:t>
      </w:r>
      <w:r w:rsidR="00F27F4E">
        <w:rPr>
          <w:rFonts w:eastAsia="Times New Roman"/>
          <w:szCs w:val="24"/>
          <w:lang w:eastAsia="en-AU"/>
        </w:rPr>
        <w:t xml:space="preserve">or All (ATFA) </w:t>
      </w:r>
      <w:r w:rsidR="00322E58">
        <w:rPr>
          <w:rFonts w:eastAsia="Times New Roman"/>
          <w:szCs w:val="24"/>
          <w:lang w:eastAsia="en-AU"/>
        </w:rPr>
        <w:t>campaign</w:t>
      </w:r>
      <w:r w:rsidR="00F86278">
        <w:rPr>
          <w:rFonts w:eastAsia="Times New Roman"/>
          <w:szCs w:val="24"/>
          <w:lang w:eastAsia="en-AU"/>
        </w:rPr>
        <w:t xml:space="preserve"> and the </w:t>
      </w:r>
      <w:r w:rsidR="001E0771">
        <w:rPr>
          <w:rFonts w:eastAsia="Times New Roman"/>
          <w:szCs w:val="24"/>
          <w:lang w:eastAsia="en-AU"/>
        </w:rPr>
        <w:t>National Assistive Technology Alliance (NATA)</w:t>
      </w:r>
      <w:r w:rsidR="00E84831">
        <w:rPr>
          <w:rFonts w:eastAsia="Times New Roman"/>
          <w:szCs w:val="24"/>
          <w:lang w:eastAsia="en-AU"/>
        </w:rPr>
        <w:t xml:space="preserve">, </w:t>
      </w:r>
      <w:r w:rsidR="00890A04">
        <w:rPr>
          <w:rFonts w:eastAsia="Times New Roman"/>
          <w:szCs w:val="24"/>
          <w:lang w:eastAsia="en-AU"/>
        </w:rPr>
        <w:t>BCA</w:t>
      </w:r>
      <w:r w:rsidR="00E84831">
        <w:rPr>
          <w:rFonts w:eastAsia="Times New Roman"/>
          <w:szCs w:val="24"/>
          <w:lang w:eastAsia="en-AU"/>
        </w:rPr>
        <w:t xml:space="preserve"> </w:t>
      </w:r>
      <w:r w:rsidR="00E77B7B">
        <w:rPr>
          <w:rFonts w:eastAsia="Times New Roman"/>
          <w:szCs w:val="24"/>
          <w:lang w:eastAsia="en-AU"/>
        </w:rPr>
        <w:t xml:space="preserve">champions </w:t>
      </w:r>
      <w:r w:rsidR="00E84831">
        <w:rPr>
          <w:rFonts w:eastAsia="Times New Roman"/>
          <w:szCs w:val="24"/>
          <w:lang w:eastAsia="en-AU"/>
        </w:rPr>
        <w:t xml:space="preserve">a </w:t>
      </w:r>
      <w:r w:rsidR="003872A8">
        <w:rPr>
          <w:rFonts w:eastAsia="Times New Roman"/>
          <w:szCs w:val="24"/>
          <w:lang w:eastAsia="en-AU"/>
        </w:rPr>
        <w:t xml:space="preserve">single </w:t>
      </w:r>
      <w:r w:rsidR="00383A9F">
        <w:rPr>
          <w:rFonts w:eastAsia="Times New Roman"/>
          <w:szCs w:val="24"/>
          <w:lang w:eastAsia="en-AU"/>
        </w:rPr>
        <w:t>AT</w:t>
      </w:r>
      <w:r w:rsidR="003872A8">
        <w:rPr>
          <w:rFonts w:eastAsia="Times New Roman"/>
          <w:szCs w:val="24"/>
          <w:lang w:eastAsia="en-AU"/>
        </w:rPr>
        <w:t xml:space="preserve"> program</w:t>
      </w:r>
      <w:r w:rsidR="00E84831">
        <w:rPr>
          <w:rFonts w:eastAsia="Times New Roman"/>
          <w:szCs w:val="24"/>
          <w:lang w:eastAsia="en-AU"/>
        </w:rPr>
        <w:t xml:space="preserve"> to meet the needs of people </w:t>
      </w:r>
      <w:r w:rsidR="003872A8">
        <w:rPr>
          <w:rFonts w:eastAsia="Times New Roman"/>
          <w:szCs w:val="24"/>
          <w:lang w:eastAsia="en-AU"/>
        </w:rPr>
        <w:t xml:space="preserve">with disability who are excluded from the NDIS. </w:t>
      </w:r>
    </w:p>
    <w:p w14:paraId="642BBEF0" w14:textId="49DE5EBB" w:rsidR="009738F2" w:rsidRDefault="00585124" w:rsidP="009738F2">
      <w:pPr>
        <w:ind w:right="720"/>
        <w:rPr>
          <w:rFonts w:eastAsia="Times New Roman"/>
          <w:szCs w:val="24"/>
          <w:lang w:eastAsia="en-AU"/>
        </w:rPr>
      </w:pPr>
      <w:r>
        <w:rPr>
          <w:rFonts w:eastAsia="Times New Roman"/>
          <w:szCs w:val="24"/>
          <w:lang w:eastAsia="en-AU"/>
        </w:rPr>
        <w:t xml:space="preserve">As detailed in a recent ATFA report, </w:t>
      </w:r>
      <w:r w:rsidR="007503C2">
        <w:rPr>
          <w:rFonts w:eastAsia="Times New Roman"/>
          <w:szCs w:val="24"/>
          <w:lang w:eastAsia="en-AU"/>
        </w:rPr>
        <w:t>many p</w:t>
      </w:r>
      <w:r w:rsidR="00CE21B4">
        <w:rPr>
          <w:rFonts w:eastAsia="Times New Roman"/>
          <w:szCs w:val="24"/>
          <w:lang w:eastAsia="en-AU"/>
        </w:rPr>
        <w:t>eople with disability fall through the gaps despite a multiplicity of federal</w:t>
      </w:r>
      <w:r w:rsidR="009B7D88">
        <w:rPr>
          <w:rFonts w:eastAsia="Times New Roman"/>
          <w:szCs w:val="24"/>
          <w:lang w:eastAsia="en-AU"/>
        </w:rPr>
        <w:t>, state and territory programs.</w:t>
      </w:r>
      <w:r w:rsidR="009B7D88">
        <w:rPr>
          <w:rStyle w:val="EndnoteReference"/>
          <w:rFonts w:eastAsia="Times New Roman"/>
          <w:szCs w:val="24"/>
          <w:lang w:eastAsia="en-AU"/>
        </w:rPr>
        <w:endnoteReference w:id="14"/>
      </w:r>
      <w:r w:rsidR="004C0F03">
        <w:rPr>
          <w:rFonts w:eastAsia="Times New Roman"/>
          <w:szCs w:val="24"/>
          <w:lang w:eastAsia="en-AU"/>
        </w:rPr>
        <w:t xml:space="preserve"> People who are eligible for one scheme may be ine</w:t>
      </w:r>
      <w:r w:rsidR="009247A0">
        <w:rPr>
          <w:rFonts w:eastAsia="Times New Roman"/>
          <w:szCs w:val="24"/>
          <w:lang w:eastAsia="en-AU"/>
        </w:rPr>
        <w:t xml:space="preserve">ligible for others, </w:t>
      </w:r>
      <w:r w:rsidR="002B1FA4">
        <w:rPr>
          <w:rFonts w:eastAsia="Times New Roman"/>
          <w:szCs w:val="24"/>
          <w:lang w:eastAsia="en-AU"/>
        </w:rPr>
        <w:t>even though</w:t>
      </w:r>
      <w:r w:rsidR="009247A0">
        <w:rPr>
          <w:rFonts w:eastAsia="Times New Roman"/>
          <w:szCs w:val="24"/>
          <w:lang w:eastAsia="en-AU"/>
        </w:rPr>
        <w:t xml:space="preserve"> one scheme will not sufficiently meet their </w:t>
      </w:r>
      <w:r w:rsidR="006343A4">
        <w:rPr>
          <w:rFonts w:eastAsia="Times New Roman"/>
          <w:szCs w:val="24"/>
          <w:lang w:eastAsia="en-AU"/>
        </w:rPr>
        <w:t>assistive technology/</w:t>
      </w:r>
      <w:r w:rsidR="000A4DEC">
        <w:rPr>
          <w:rFonts w:eastAsia="Times New Roman"/>
          <w:szCs w:val="24"/>
          <w:lang w:eastAsia="en-AU"/>
        </w:rPr>
        <w:t>home modification</w:t>
      </w:r>
      <w:r w:rsidR="006D67C5">
        <w:rPr>
          <w:rFonts w:eastAsia="Times New Roman"/>
          <w:szCs w:val="24"/>
          <w:lang w:eastAsia="en-AU"/>
        </w:rPr>
        <w:t>s (AT/HM)</w:t>
      </w:r>
      <w:r w:rsidR="000A4DEC">
        <w:rPr>
          <w:rFonts w:eastAsia="Times New Roman"/>
          <w:szCs w:val="24"/>
          <w:lang w:eastAsia="en-AU"/>
        </w:rPr>
        <w:t xml:space="preserve"> needs. </w:t>
      </w:r>
    </w:p>
    <w:p w14:paraId="050053CE" w14:textId="66AF726F" w:rsidR="00504E85" w:rsidRDefault="007D4838" w:rsidP="009738F2">
      <w:pPr>
        <w:ind w:right="720"/>
        <w:rPr>
          <w:rFonts w:eastAsia="Times New Roman"/>
          <w:szCs w:val="24"/>
          <w:lang w:eastAsia="en-AU"/>
        </w:rPr>
      </w:pPr>
      <w:r>
        <w:rPr>
          <w:rFonts w:eastAsia="Times New Roman"/>
          <w:szCs w:val="24"/>
          <w:lang w:eastAsia="en-AU"/>
        </w:rPr>
        <w:t xml:space="preserve">As crosscutting supports, </w:t>
      </w:r>
      <w:r w:rsidR="00504E85">
        <w:rPr>
          <w:rFonts w:eastAsia="Times New Roman"/>
          <w:szCs w:val="24"/>
          <w:lang w:eastAsia="en-AU"/>
        </w:rPr>
        <w:t xml:space="preserve">AT/HM </w:t>
      </w:r>
      <w:r w:rsidR="00C279F3">
        <w:rPr>
          <w:rFonts w:eastAsia="Times New Roman"/>
          <w:szCs w:val="24"/>
          <w:lang w:eastAsia="en-AU"/>
        </w:rPr>
        <w:t xml:space="preserve">underpin outcomes across health, </w:t>
      </w:r>
      <w:r w:rsidR="002A10D2">
        <w:rPr>
          <w:rFonts w:eastAsia="Times New Roman"/>
          <w:szCs w:val="24"/>
          <w:lang w:eastAsia="en-AU"/>
        </w:rPr>
        <w:t xml:space="preserve">housing, education, employment, leisure and other </w:t>
      </w:r>
      <w:r w:rsidR="00C85AD8">
        <w:rPr>
          <w:rFonts w:eastAsia="Times New Roman"/>
          <w:szCs w:val="24"/>
          <w:lang w:eastAsia="en-AU"/>
        </w:rPr>
        <w:t xml:space="preserve">areas. </w:t>
      </w:r>
      <w:r w:rsidR="0072297B">
        <w:rPr>
          <w:rFonts w:eastAsia="Times New Roman"/>
          <w:szCs w:val="24"/>
          <w:lang w:eastAsia="en-AU"/>
        </w:rPr>
        <w:t>Unless people with disability have access to the AT/HM they require, they will not</w:t>
      </w:r>
      <w:r w:rsidR="00274674">
        <w:rPr>
          <w:rFonts w:eastAsia="Times New Roman"/>
          <w:szCs w:val="24"/>
          <w:lang w:eastAsia="en-AU"/>
        </w:rPr>
        <w:t xml:space="preserve"> achieve safety, independence, inclusion and participation </w:t>
      </w:r>
      <w:r w:rsidR="00722D0D">
        <w:rPr>
          <w:rFonts w:eastAsia="Times New Roman"/>
          <w:szCs w:val="24"/>
          <w:lang w:eastAsia="en-AU"/>
        </w:rPr>
        <w:t xml:space="preserve">in everyday life. </w:t>
      </w:r>
      <w:r w:rsidR="00762926">
        <w:rPr>
          <w:rFonts w:eastAsia="Times New Roman"/>
          <w:szCs w:val="24"/>
          <w:lang w:eastAsia="en-AU"/>
        </w:rPr>
        <w:t>The best way to</w:t>
      </w:r>
      <w:r w:rsidR="00A15174">
        <w:rPr>
          <w:rFonts w:eastAsia="Times New Roman"/>
          <w:szCs w:val="24"/>
          <w:lang w:eastAsia="en-AU"/>
        </w:rPr>
        <w:t xml:space="preserve"> remove the </w:t>
      </w:r>
      <w:r w:rsidR="009005E5">
        <w:rPr>
          <w:rFonts w:eastAsia="Times New Roman"/>
          <w:szCs w:val="24"/>
          <w:lang w:eastAsia="en-AU"/>
        </w:rPr>
        <w:t xml:space="preserve">inequities for </w:t>
      </w:r>
      <w:r w:rsidR="006B39C9">
        <w:rPr>
          <w:rFonts w:eastAsia="Times New Roman"/>
          <w:szCs w:val="24"/>
          <w:lang w:eastAsia="en-AU"/>
        </w:rPr>
        <w:t xml:space="preserve">people with disability who </w:t>
      </w:r>
      <w:r w:rsidR="000D5D4F">
        <w:rPr>
          <w:rFonts w:eastAsia="Times New Roman"/>
          <w:szCs w:val="24"/>
          <w:lang w:eastAsia="en-AU"/>
        </w:rPr>
        <w:t>are ineligible</w:t>
      </w:r>
      <w:r w:rsidR="00F43551">
        <w:rPr>
          <w:rFonts w:eastAsia="Times New Roman"/>
          <w:szCs w:val="24"/>
          <w:lang w:eastAsia="en-AU"/>
        </w:rPr>
        <w:t xml:space="preserve"> </w:t>
      </w:r>
      <w:r w:rsidR="00370DBD">
        <w:rPr>
          <w:rFonts w:eastAsia="Times New Roman"/>
          <w:szCs w:val="24"/>
          <w:lang w:eastAsia="en-AU"/>
        </w:rPr>
        <w:t xml:space="preserve">for the NDIS </w:t>
      </w:r>
      <w:r w:rsidR="0061776D">
        <w:rPr>
          <w:rFonts w:eastAsia="Times New Roman"/>
          <w:szCs w:val="24"/>
          <w:lang w:eastAsia="en-AU"/>
        </w:rPr>
        <w:t xml:space="preserve">is through the establishment of a harmonised, nationally consistent </w:t>
      </w:r>
      <w:r w:rsidR="00043B66">
        <w:rPr>
          <w:rFonts w:eastAsia="Times New Roman"/>
          <w:szCs w:val="24"/>
          <w:lang w:eastAsia="en-AU"/>
        </w:rPr>
        <w:t xml:space="preserve">AT/HM program. </w:t>
      </w:r>
      <w:r w:rsidR="00A15174">
        <w:rPr>
          <w:rFonts w:eastAsia="Times New Roman"/>
          <w:szCs w:val="24"/>
          <w:lang w:eastAsia="en-AU"/>
        </w:rPr>
        <w:t xml:space="preserve">  </w:t>
      </w:r>
    </w:p>
    <w:p w14:paraId="2F181AA1" w14:textId="77777777" w:rsidR="00910447" w:rsidRDefault="00721F35" w:rsidP="00910447">
      <w:pPr>
        <w:ind w:left="360"/>
        <w:rPr>
          <w:b/>
          <w:bCs/>
        </w:rPr>
      </w:pPr>
      <w:r w:rsidRPr="00502A5D">
        <w:rPr>
          <w:b/>
          <w:bCs/>
        </w:rPr>
        <w:t>Recommendations:</w:t>
      </w:r>
    </w:p>
    <w:p w14:paraId="0795BDCC" w14:textId="77777777" w:rsidR="00D86814" w:rsidRDefault="00D86814" w:rsidP="00D86814">
      <w:pPr>
        <w:pStyle w:val="ListParagraph"/>
      </w:pPr>
      <w:r>
        <w:t xml:space="preserve">Recognise the broad spectrum of visual disability by providing much-needed services and supports to </w:t>
      </w:r>
      <w:r w:rsidRPr="006D1C5F">
        <w:rPr>
          <w:b/>
          <w:bCs/>
        </w:rPr>
        <w:t>all</w:t>
      </w:r>
      <w:r>
        <w:t xml:space="preserve"> Australians who are blind or vision impaired and not included in the NDIS.</w:t>
      </w:r>
    </w:p>
    <w:p w14:paraId="3072E09F" w14:textId="689674A8" w:rsidR="00043B66" w:rsidRDefault="00043B66" w:rsidP="00D86814">
      <w:pPr>
        <w:pStyle w:val="ListParagraph"/>
      </w:pPr>
      <w:bookmarkStart w:id="27" w:name="_Hlk126585800"/>
      <w:r>
        <w:t xml:space="preserve">Establish a </w:t>
      </w:r>
      <w:r w:rsidR="00C14C46">
        <w:t xml:space="preserve">harmonised, nationally consistent AT/HM program to meet the needs of people with disability </w:t>
      </w:r>
      <w:r w:rsidR="00FD1EF4">
        <w:t>who are ineligible for the NDIS</w:t>
      </w:r>
      <w:r w:rsidR="00191C1B">
        <w:t>.</w:t>
      </w:r>
    </w:p>
    <w:p w14:paraId="0F763722" w14:textId="47867CDE" w:rsidR="00F31950" w:rsidRDefault="00F31950" w:rsidP="001A23AB">
      <w:pPr>
        <w:pStyle w:val="Heading3"/>
      </w:pPr>
      <w:bookmarkStart w:id="28" w:name="_Toc126862914"/>
      <w:bookmarkEnd w:id="26"/>
      <w:bookmarkEnd w:id="27"/>
      <w:r>
        <w:t>3.4</w:t>
      </w:r>
      <w:r w:rsidR="00721F35">
        <w:t xml:space="preserve"> – Question 4 </w:t>
      </w:r>
      <w:r w:rsidR="003174AA">
        <w:t>– Do you think the new Act should include a definition for disability? Do you have any additional comments?</w:t>
      </w:r>
      <w:bookmarkEnd w:id="28"/>
      <w:r w:rsidR="00721F35">
        <w:t xml:space="preserve"> </w:t>
      </w:r>
    </w:p>
    <w:p w14:paraId="0669D362" w14:textId="304BBD35" w:rsidR="00257E61" w:rsidRDefault="00185C00" w:rsidP="00232FC0">
      <w:pPr>
        <w:rPr>
          <w:rFonts w:eastAsiaTheme="minorHAnsi"/>
          <w:szCs w:val="24"/>
          <w:lang w:eastAsia="en-US"/>
        </w:rPr>
      </w:pPr>
      <w:bookmarkStart w:id="29" w:name="_Hlk126016498"/>
      <w:r w:rsidRPr="00185C00">
        <w:rPr>
          <w:rFonts w:eastAsiaTheme="minorHAnsi"/>
          <w:szCs w:val="24"/>
          <w:lang w:eastAsia="en-US"/>
        </w:rPr>
        <w:t>As explained in the Consultation Paper, ‘whether or not the new Act provides a definition for disability, the main concern is ensuring that the Act sets out who should receive support in a clear and meaningful way.’</w:t>
      </w:r>
      <w:r w:rsidR="00257E61">
        <w:rPr>
          <w:rFonts w:eastAsiaTheme="minorHAnsi"/>
          <w:szCs w:val="24"/>
          <w:lang w:eastAsia="en-US"/>
        </w:rPr>
        <w:t xml:space="preserve"> </w:t>
      </w:r>
    </w:p>
    <w:p w14:paraId="1DC52F92" w14:textId="2A574887" w:rsidR="00A841E6" w:rsidRPr="00296C5E" w:rsidRDefault="00A841E6" w:rsidP="00051926">
      <w:r>
        <w:rPr>
          <w:rFonts w:eastAsiaTheme="minorHAnsi"/>
          <w:szCs w:val="24"/>
          <w:lang w:eastAsia="en-US"/>
        </w:rPr>
        <w:t xml:space="preserve">BCA reiterates </w:t>
      </w:r>
      <w:r w:rsidR="003E07E9">
        <w:rPr>
          <w:rFonts w:eastAsiaTheme="minorHAnsi"/>
          <w:szCs w:val="24"/>
          <w:lang w:eastAsia="en-US"/>
        </w:rPr>
        <w:t xml:space="preserve">both </w:t>
      </w:r>
      <w:r>
        <w:rPr>
          <w:rFonts w:eastAsiaTheme="minorHAnsi"/>
          <w:szCs w:val="24"/>
          <w:lang w:eastAsia="en-US"/>
        </w:rPr>
        <w:t xml:space="preserve">the importance of </w:t>
      </w:r>
      <w:bookmarkStart w:id="30" w:name="_Hlk126858110"/>
      <w:r w:rsidR="001672B3">
        <w:rPr>
          <w:rFonts w:eastAsiaTheme="minorHAnsi"/>
          <w:szCs w:val="24"/>
          <w:lang w:eastAsia="en-US"/>
        </w:rPr>
        <w:t xml:space="preserve">contemporary and inclusive language and that </w:t>
      </w:r>
      <w:r>
        <w:rPr>
          <w:rFonts w:eastAsiaTheme="minorHAnsi"/>
          <w:szCs w:val="24"/>
          <w:lang w:eastAsia="en-US"/>
        </w:rPr>
        <w:t xml:space="preserve">any legislation pertaining to people with disability </w:t>
      </w:r>
      <w:r w:rsidR="00051926">
        <w:rPr>
          <w:rFonts w:eastAsiaTheme="minorHAnsi"/>
          <w:szCs w:val="24"/>
          <w:lang w:eastAsia="en-US"/>
        </w:rPr>
        <w:t>must</w:t>
      </w:r>
      <w:r>
        <w:rPr>
          <w:rFonts w:eastAsiaTheme="minorHAnsi"/>
          <w:szCs w:val="24"/>
          <w:lang w:eastAsia="en-US"/>
        </w:rPr>
        <w:t xml:space="preserve"> be grounded in </w:t>
      </w:r>
      <w:r w:rsidRPr="00502A5D">
        <w:rPr>
          <w:rFonts w:eastAsiaTheme="minorHAnsi"/>
          <w:szCs w:val="24"/>
          <w:lang w:eastAsia="en-US"/>
        </w:rPr>
        <w:t>the social model of disability and the human rights model of disability</w:t>
      </w:r>
      <w:bookmarkEnd w:id="30"/>
      <w:r w:rsidR="006C73C2">
        <w:rPr>
          <w:rFonts w:eastAsiaTheme="minorHAnsi"/>
          <w:szCs w:val="24"/>
          <w:lang w:eastAsia="en-US"/>
        </w:rPr>
        <w:t>.</w:t>
      </w:r>
    </w:p>
    <w:p w14:paraId="6D9D20E4" w14:textId="65D7F312" w:rsidR="00232FC0" w:rsidRDefault="00257E61" w:rsidP="00232FC0">
      <w:pPr>
        <w:rPr>
          <w:rFonts w:eastAsiaTheme="minorHAnsi"/>
          <w:szCs w:val="24"/>
          <w:lang w:eastAsia="en-US"/>
        </w:rPr>
      </w:pPr>
      <w:r>
        <w:rPr>
          <w:rFonts w:eastAsiaTheme="minorHAnsi"/>
          <w:szCs w:val="24"/>
          <w:lang w:eastAsia="en-US"/>
        </w:rPr>
        <w:lastRenderedPageBreak/>
        <w:t>T</w:t>
      </w:r>
      <w:r w:rsidR="00185C00" w:rsidRPr="00185C00">
        <w:rPr>
          <w:rFonts w:eastAsiaTheme="minorHAnsi"/>
          <w:szCs w:val="24"/>
          <w:lang w:eastAsia="en-US"/>
        </w:rPr>
        <w:t xml:space="preserve">he </w:t>
      </w:r>
      <w:r>
        <w:rPr>
          <w:rFonts w:eastAsiaTheme="minorHAnsi"/>
          <w:szCs w:val="24"/>
          <w:lang w:eastAsia="en-US"/>
        </w:rPr>
        <w:t xml:space="preserve">current </w:t>
      </w:r>
      <w:r w:rsidR="00185C00" w:rsidRPr="00185C00">
        <w:rPr>
          <w:rFonts w:eastAsiaTheme="minorHAnsi"/>
          <w:szCs w:val="24"/>
          <w:lang w:eastAsia="en-US"/>
        </w:rPr>
        <w:t>consequences of not meeting the definition of legal blindness are ‘distressing and prohibitive’</w:t>
      </w:r>
      <w:r>
        <w:rPr>
          <w:rFonts w:eastAsiaTheme="minorHAnsi"/>
          <w:szCs w:val="24"/>
          <w:lang w:eastAsia="en-US"/>
        </w:rPr>
        <w:t xml:space="preserve"> (see </w:t>
      </w:r>
      <w:r w:rsidR="0004391C">
        <w:rPr>
          <w:rFonts w:eastAsiaTheme="minorHAnsi"/>
          <w:szCs w:val="24"/>
          <w:lang w:eastAsia="en-US"/>
        </w:rPr>
        <w:t xml:space="preserve">reference </w:t>
      </w:r>
      <w:r w:rsidR="00297817">
        <w:rPr>
          <w:rFonts w:eastAsiaTheme="minorHAnsi"/>
          <w:szCs w:val="24"/>
          <w:lang w:eastAsia="en-US"/>
        </w:rPr>
        <w:t>in Question 3</w:t>
      </w:r>
      <w:proofErr w:type="gramStart"/>
      <w:r w:rsidR="00C53DAB">
        <w:rPr>
          <w:rFonts w:eastAsiaTheme="minorHAnsi"/>
          <w:szCs w:val="24"/>
          <w:lang w:eastAsia="en-US"/>
        </w:rPr>
        <w:t>)</w:t>
      </w:r>
      <w:r w:rsidR="00C428C0">
        <w:rPr>
          <w:rFonts w:eastAsiaTheme="minorHAnsi"/>
          <w:szCs w:val="24"/>
          <w:lang w:eastAsia="en-US"/>
        </w:rPr>
        <w:t>, and</w:t>
      </w:r>
      <w:proofErr w:type="gramEnd"/>
      <w:r w:rsidR="00C428C0">
        <w:rPr>
          <w:rFonts w:eastAsiaTheme="minorHAnsi"/>
          <w:szCs w:val="24"/>
          <w:lang w:eastAsia="en-US"/>
        </w:rPr>
        <w:t xml:space="preserve"> can result </w:t>
      </w:r>
      <w:r w:rsidR="003444CF">
        <w:rPr>
          <w:rFonts w:eastAsiaTheme="minorHAnsi"/>
          <w:szCs w:val="24"/>
          <w:lang w:eastAsia="en-US"/>
        </w:rPr>
        <w:t xml:space="preserve">in the inability to access </w:t>
      </w:r>
      <w:r w:rsidR="008177AB">
        <w:rPr>
          <w:rFonts w:eastAsiaTheme="minorHAnsi"/>
          <w:szCs w:val="24"/>
          <w:lang w:eastAsia="en-US"/>
        </w:rPr>
        <w:t xml:space="preserve">appropriate and timely services, </w:t>
      </w:r>
      <w:r w:rsidR="00051926">
        <w:rPr>
          <w:rFonts w:eastAsiaTheme="minorHAnsi"/>
          <w:szCs w:val="24"/>
          <w:lang w:eastAsia="en-US"/>
        </w:rPr>
        <w:t xml:space="preserve">which can impact a person’s independence and safety. </w:t>
      </w:r>
    </w:p>
    <w:p w14:paraId="53BF4ADF" w14:textId="773641FF" w:rsidR="00185C00" w:rsidRPr="00185C00" w:rsidRDefault="00185C00" w:rsidP="00232FC0">
      <w:pPr>
        <w:rPr>
          <w:rFonts w:eastAsiaTheme="minorHAnsi"/>
          <w:szCs w:val="24"/>
          <w:lang w:eastAsia="en-US"/>
        </w:rPr>
      </w:pPr>
      <w:r w:rsidRPr="00185C00">
        <w:rPr>
          <w:rFonts w:eastAsiaTheme="minorHAnsi"/>
          <w:szCs w:val="24"/>
          <w:lang w:eastAsia="en-US"/>
        </w:rPr>
        <w:t>Some BCA members have had to pay significant sums to ophthalmological experts in order to qualify for the NDIS. Many others simply cannot afford to do so, and so receive no supports or services.</w:t>
      </w:r>
    </w:p>
    <w:p w14:paraId="4C0DB6B0" w14:textId="488DF4B6" w:rsidR="00AC7B15" w:rsidRDefault="00AC7B15" w:rsidP="00AC7B15">
      <w:pPr>
        <w:ind w:left="360"/>
        <w:rPr>
          <w:b/>
          <w:bCs/>
        </w:rPr>
      </w:pPr>
      <w:r w:rsidRPr="00502A5D">
        <w:rPr>
          <w:b/>
          <w:bCs/>
        </w:rPr>
        <w:t>Recommendations:</w:t>
      </w:r>
    </w:p>
    <w:p w14:paraId="46E203BA" w14:textId="0642F83B" w:rsidR="0092266C" w:rsidRDefault="00301821" w:rsidP="00423690">
      <w:pPr>
        <w:pStyle w:val="ListParagraph"/>
      </w:pPr>
      <w:bookmarkStart w:id="31" w:name="_Hlk126858215"/>
      <w:r>
        <w:t>G</w:t>
      </w:r>
      <w:r w:rsidR="0092266C">
        <w:t xml:space="preserve">round the new Act in </w:t>
      </w:r>
      <w:r w:rsidR="0092266C" w:rsidRPr="00502A5D">
        <w:t>the social model of disability and the human rights model of disability</w:t>
      </w:r>
      <w:r w:rsidR="00944037">
        <w:t>.</w:t>
      </w:r>
    </w:p>
    <w:bookmarkEnd w:id="31"/>
    <w:p w14:paraId="1C3932A1" w14:textId="524F4A4B" w:rsidR="00DD4C88" w:rsidRDefault="006F354B" w:rsidP="00423690">
      <w:pPr>
        <w:pStyle w:val="ListParagraph"/>
      </w:pPr>
      <w:r>
        <w:t xml:space="preserve">Consider </w:t>
      </w:r>
      <w:r w:rsidR="00CD25BD">
        <w:t xml:space="preserve">the </w:t>
      </w:r>
      <w:r w:rsidR="00DD4C88">
        <w:t>progressive visual impairment of people with degenerative conditions</w:t>
      </w:r>
      <w:r w:rsidR="00F754FD">
        <w:t xml:space="preserve"> when defining disability to ensure access </w:t>
      </w:r>
      <w:r w:rsidR="002378DF">
        <w:t xml:space="preserve">to appropriate </w:t>
      </w:r>
      <w:r w:rsidR="00DD4C88">
        <w:t xml:space="preserve">supports and services as they lose their vision.  </w:t>
      </w:r>
    </w:p>
    <w:p w14:paraId="0B0BA3D8" w14:textId="58328031" w:rsidR="00F31950" w:rsidRDefault="00F31950" w:rsidP="001A23AB">
      <w:pPr>
        <w:pStyle w:val="Heading3"/>
      </w:pPr>
      <w:bookmarkStart w:id="32" w:name="_Toc126862915"/>
      <w:bookmarkEnd w:id="29"/>
      <w:r>
        <w:t xml:space="preserve">3.5 </w:t>
      </w:r>
      <w:r w:rsidR="00AC7B15">
        <w:t xml:space="preserve">– Question 5 </w:t>
      </w:r>
      <w:r w:rsidR="008D7F60">
        <w:t>– How do you think quality and safeguarding arrangements should be managed by the new Act?</w:t>
      </w:r>
      <w:bookmarkEnd w:id="32"/>
    </w:p>
    <w:p w14:paraId="3BA7CC8C" w14:textId="01CA7EBC" w:rsidR="00E63202" w:rsidRDefault="00E63202" w:rsidP="001A271B">
      <w:pPr>
        <w:rPr>
          <w:rFonts w:eastAsiaTheme="minorHAnsi"/>
          <w:szCs w:val="24"/>
          <w:lang w:eastAsia="en-US"/>
        </w:rPr>
      </w:pPr>
      <w:bookmarkStart w:id="33" w:name="_Hlk126016608"/>
      <w:r>
        <w:rPr>
          <w:rFonts w:eastAsiaTheme="minorHAnsi"/>
          <w:szCs w:val="24"/>
          <w:lang w:eastAsia="en-US"/>
        </w:rPr>
        <w:t xml:space="preserve">BCA </w:t>
      </w:r>
      <w:r w:rsidR="009B679A">
        <w:rPr>
          <w:rFonts w:eastAsiaTheme="minorHAnsi"/>
          <w:szCs w:val="24"/>
          <w:lang w:eastAsia="en-US"/>
        </w:rPr>
        <w:t xml:space="preserve">wants </w:t>
      </w:r>
      <w:r w:rsidR="0006540B">
        <w:rPr>
          <w:rFonts w:eastAsiaTheme="minorHAnsi"/>
          <w:szCs w:val="24"/>
          <w:lang w:eastAsia="en-US"/>
        </w:rPr>
        <w:t xml:space="preserve">whatever is included in the new Act </w:t>
      </w:r>
      <w:r w:rsidR="009B679A">
        <w:rPr>
          <w:rFonts w:eastAsiaTheme="minorHAnsi"/>
          <w:szCs w:val="24"/>
          <w:lang w:eastAsia="en-US"/>
        </w:rPr>
        <w:t>to be robust enough t</w:t>
      </w:r>
      <w:r w:rsidR="00F122A3">
        <w:rPr>
          <w:rFonts w:eastAsiaTheme="minorHAnsi"/>
          <w:szCs w:val="24"/>
          <w:lang w:eastAsia="en-US"/>
        </w:rPr>
        <w:t>o ensure quality and safeguarding,</w:t>
      </w:r>
      <w:r w:rsidR="004B786F">
        <w:rPr>
          <w:rFonts w:eastAsiaTheme="minorHAnsi"/>
          <w:szCs w:val="24"/>
          <w:lang w:eastAsia="en-US"/>
        </w:rPr>
        <w:t xml:space="preserve"> </w:t>
      </w:r>
      <w:r w:rsidR="00447580">
        <w:rPr>
          <w:rFonts w:eastAsiaTheme="minorHAnsi"/>
          <w:szCs w:val="24"/>
          <w:lang w:eastAsia="en-US"/>
        </w:rPr>
        <w:t xml:space="preserve">but </w:t>
      </w:r>
      <w:r w:rsidR="00DF4770">
        <w:rPr>
          <w:rFonts w:eastAsiaTheme="minorHAnsi"/>
          <w:szCs w:val="24"/>
          <w:lang w:eastAsia="en-US"/>
        </w:rPr>
        <w:t xml:space="preserve">flexible enough to </w:t>
      </w:r>
      <w:r w:rsidR="00414FDD">
        <w:rPr>
          <w:rFonts w:eastAsiaTheme="minorHAnsi"/>
          <w:szCs w:val="24"/>
          <w:lang w:eastAsia="en-US"/>
        </w:rPr>
        <w:t xml:space="preserve">respond to future disability environments without </w:t>
      </w:r>
      <w:r w:rsidR="00A85662">
        <w:rPr>
          <w:rFonts w:eastAsiaTheme="minorHAnsi"/>
          <w:szCs w:val="24"/>
          <w:lang w:eastAsia="en-US"/>
        </w:rPr>
        <w:t xml:space="preserve">requiring a rewrite of the legislation. </w:t>
      </w:r>
    </w:p>
    <w:p w14:paraId="2E6C4662" w14:textId="2E7E3AF0" w:rsidR="001A271B" w:rsidRDefault="0043441C" w:rsidP="001A271B">
      <w:pPr>
        <w:rPr>
          <w:rFonts w:eastAsiaTheme="minorHAnsi"/>
          <w:szCs w:val="24"/>
          <w:lang w:eastAsia="en-US"/>
        </w:rPr>
      </w:pPr>
      <w:r w:rsidRPr="0043441C">
        <w:rPr>
          <w:rFonts w:eastAsiaTheme="minorHAnsi"/>
          <w:szCs w:val="24"/>
          <w:lang w:eastAsia="en-US"/>
        </w:rPr>
        <w:t>Specialist blindness service providers exist to meet the needs of people who are blind or vision impaired and to help them achieve their aspirations, whatever their circumstances. Blindness service providers collect money from the public and accept government grants on this basis.</w:t>
      </w:r>
    </w:p>
    <w:p w14:paraId="3AEB3517" w14:textId="77777777" w:rsidR="001A271B" w:rsidRDefault="0043441C" w:rsidP="001A271B">
      <w:pPr>
        <w:rPr>
          <w:rFonts w:eastAsiaTheme="minorHAnsi"/>
          <w:szCs w:val="24"/>
          <w:lang w:eastAsia="en-US"/>
        </w:rPr>
      </w:pPr>
      <w:r w:rsidRPr="0043441C">
        <w:rPr>
          <w:rFonts w:eastAsiaTheme="minorHAnsi"/>
          <w:szCs w:val="24"/>
          <w:lang w:eastAsia="en-US"/>
        </w:rPr>
        <w:t>BCA’s expectation is that all services will be delivered to a high standard of safety and quality by suitably qualified, experienced and resourced staff. BCA also recognises that people who are blind or vision impaired are often compelled to continue receiving services from service providers with whom they are dissatisfied, due to the absence in many locations of any alternative.</w:t>
      </w:r>
    </w:p>
    <w:p w14:paraId="7FCC09E6" w14:textId="77777777" w:rsidR="001A271B" w:rsidRDefault="0043441C" w:rsidP="001A271B">
      <w:pPr>
        <w:rPr>
          <w:rFonts w:eastAsiaTheme="minorHAnsi"/>
          <w:szCs w:val="24"/>
          <w:lang w:eastAsia="en-US"/>
        </w:rPr>
      </w:pPr>
      <w:r w:rsidRPr="0043441C">
        <w:rPr>
          <w:rFonts w:eastAsiaTheme="minorHAnsi"/>
          <w:szCs w:val="24"/>
          <w:lang w:eastAsia="en-US"/>
        </w:rPr>
        <w:t>Service users must be able to comment publicly (positively or critically) on the services.</w:t>
      </w:r>
      <w:r w:rsidR="001A271B">
        <w:rPr>
          <w:rFonts w:eastAsiaTheme="minorHAnsi"/>
          <w:szCs w:val="24"/>
          <w:lang w:eastAsia="en-US"/>
        </w:rPr>
        <w:t xml:space="preserve"> </w:t>
      </w:r>
      <w:r w:rsidRPr="0043441C">
        <w:rPr>
          <w:rFonts w:eastAsiaTheme="minorHAnsi"/>
          <w:szCs w:val="24"/>
          <w:lang w:eastAsia="en-US"/>
        </w:rPr>
        <w:t>Such comments, when expressed appropriately, must not impact the service user’s employment or ability to access future services from the service provider.</w:t>
      </w:r>
    </w:p>
    <w:p w14:paraId="6F652D7D" w14:textId="77777777" w:rsidR="00222D7D" w:rsidRDefault="0043441C" w:rsidP="00222D7D">
      <w:pPr>
        <w:rPr>
          <w:rFonts w:eastAsiaTheme="minorHAnsi"/>
          <w:szCs w:val="24"/>
          <w:lang w:eastAsia="en-US"/>
        </w:rPr>
      </w:pPr>
      <w:r w:rsidRPr="0043441C">
        <w:rPr>
          <w:rFonts w:eastAsiaTheme="minorHAnsi"/>
          <w:szCs w:val="24"/>
          <w:lang w:eastAsia="en-US"/>
        </w:rPr>
        <w:t>Under the current Act, clauses in grant agreements are the only means to establish quality and safeguards for funded services.</w:t>
      </w:r>
      <w:r w:rsidR="00B02797">
        <w:rPr>
          <w:rFonts w:eastAsiaTheme="minorHAnsi"/>
          <w:szCs w:val="24"/>
          <w:lang w:eastAsia="en-US"/>
        </w:rPr>
        <w:t xml:space="preserve"> </w:t>
      </w:r>
      <w:r w:rsidRPr="0043441C">
        <w:rPr>
          <w:rFonts w:eastAsiaTheme="minorHAnsi"/>
          <w:szCs w:val="24"/>
          <w:lang w:eastAsia="en-US"/>
        </w:rPr>
        <w:t xml:space="preserve">The NDIS Quality and Safeguards Commission’s recent Own Motion </w:t>
      </w:r>
      <w:r w:rsidRPr="0043441C">
        <w:rPr>
          <w:rFonts w:eastAsiaTheme="minorHAnsi"/>
          <w:szCs w:val="24"/>
          <w:lang w:eastAsia="en-US"/>
        </w:rPr>
        <w:lastRenderedPageBreak/>
        <w:t>Inquiry into the abuse and mistreatment of people with disability utilising supported accommodation services highlights the need for a powerful independent regulator.</w:t>
      </w:r>
      <w:r w:rsidRPr="0043441C">
        <w:rPr>
          <w:rFonts w:eastAsiaTheme="minorHAnsi"/>
          <w:szCs w:val="24"/>
          <w:vertAlign w:val="superscript"/>
          <w:lang w:eastAsia="en-US"/>
        </w:rPr>
        <w:endnoteReference w:id="15"/>
      </w:r>
    </w:p>
    <w:p w14:paraId="1B36F466" w14:textId="2252A52B" w:rsidR="0043441C" w:rsidRDefault="0043441C" w:rsidP="00222D7D">
      <w:pPr>
        <w:rPr>
          <w:rFonts w:eastAsiaTheme="minorHAnsi"/>
          <w:szCs w:val="24"/>
          <w:lang w:eastAsia="en-US"/>
        </w:rPr>
      </w:pPr>
      <w:r w:rsidRPr="0043441C">
        <w:rPr>
          <w:rFonts w:eastAsiaTheme="minorHAnsi"/>
          <w:szCs w:val="24"/>
          <w:lang w:eastAsia="en-US"/>
        </w:rPr>
        <w:t>Aligning the requirements under the new Act with existing regulatory schemes may reduce regulatory overlap in some instances, but BCA reiterates that many people who are blind or vision impaired are not included in the NDIS.</w:t>
      </w:r>
    </w:p>
    <w:p w14:paraId="049D98B8" w14:textId="1D77A4BC" w:rsidR="00B5417C" w:rsidRDefault="00B5417C" w:rsidP="00222D7D">
      <w:pPr>
        <w:rPr>
          <w:rFonts w:eastAsiaTheme="minorHAnsi"/>
          <w:szCs w:val="24"/>
          <w:lang w:eastAsia="en-US"/>
        </w:rPr>
      </w:pPr>
      <w:r>
        <w:rPr>
          <w:rFonts w:eastAsiaTheme="minorHAnsi"/>
          <w:szCs w:val="24"/>
          <w:lang w:eastAsia="en-US"/>
        </w:rPr>
        <w:t xml:space="preserve">The Consultation Paper does not </w:t>
      </w:r>
      <w:r w:rsidR="00EA31D2">
        <w:rPr>
          <w:rFonts w:eastAsiaTheme="minorHAnsi"/>
          <w:szCs w:val="24"/>
          <w:lang w:eastAsia="en-US"/>
        </w:rPr>
        <w:t xml:space="preserve">describe </w:t>
      </w:r>
      <w:r w:rsidR="00CF312C">
        <w:rPr>
          <w:rFonts w:eastAsiaTheme="minorHAnsi"/>
          <w:szCs w:val="24"/>
          <w:lang w:eastAsia="en-US"/>
        </w:rPr>
        <w:t xml:space="preserve">how a regulator would interact with </w:t>
      </w:r>
      <w:r w:rsidR="009F1F73">
        <w:rPr>
          <w:rFonts w:eastAsiaTheme="minorHAnsi"/>
          <w:szCs w:val="24"/>
          <w:lang w:eastAsia="en-US"/>
        </w:rPr>
        <w:t xml:space="preserve">existing systems such as the </w:t>
      </w:r>
      <w:r w:rsidR="00635400">
        <w:rPr>
          <w:rFonts w:eastAsiaTheme="minorHAnsi"/>
          <w:szCs w:val="24"/>
          <w:lang w:eastAsia="en-US"/>
        </w:rPr>
        <w:t xml:space="preserve">NDIS Quality and Safeguards Commission and the Disability Discrimination Commissioner. </w:t>
      </w:r>
      <w:r w:rsidR="0036756A">
        <w:rPr>
          <w:rFonts w:eastAsiaTheme="minorHAnsi"/>
          <w:szCs w:val="24"/>
          <w:lang w:eastAsia="en-US"/>
        </w:rPr>
        <w:t>As such, BCA can only talk in general terms</w:t>
      </w:r>
      <w:r w:rsidR="005A41A1">
        <w:rPr>
          <w:rFonts w:eastAsiaTheme="minorHAnsi"/>
          <w:szCs w:val="24"/>
          <w:lang w:eastAsia="en-US"/>
        </w:rPr>
        <w:t xml:space="preserve"> and will have to wait until the legislation is tabled </w:t>
      </w:r>
      <w:r w:rsidR="00007A10">
        <w:rPr>
          <w:rFonts w:eastAsiaTheme="minorHAnsi"/>
          <w:szCs w:val="24"/>
          <w:lang w:eastAsia="en-US"/>
        </w:rPr>
        <w:t xml:space="preserve">before offering more details. </w:t>
      </w:r>
    </w:p>
    <w:p w14:paraId="0AEFC928" w14:textId="5887036A" w:rsidR="00C8644F" w:rsidRPr="0043441C" w:rsidRDefault="00EA2AC6" w:rsidP="00222D7D">
      <w:pPr>
        <w:rPr>
          <w:rFonts w:eastAsiaTheme="minorHAnsi"/>
          <w:szCs w:val="24"/>
          <w:lang w:eastAsia="en-US"/>
        </w:rPr>
      </w:pPr>
      <w:r>
        <w:rPr>
          <w:rFonts w:eastAsiaTheme="minorHAnsi"/>
          <w:szCs w:val="24"/>
          <w:lang w:eastAsia="en-US"/>
        </w:rPr>
        <w:t xml:space="preserve">BCA believes the </w:t>
      </w:r>
      <w:r w:rsidR="00844BF2">
        <w:rPr>
          <w:rFonts w:eastAsiaTheme="minorHAnsi"/>
          <w:szCs w:val="24"/>
          <w:lang w:eastAsia="en-US"/>
        </w:rPr>
        <w:t xml:space="preserve">new Act </w:t>
      </w:r>
      <w:r w:rsidR="00A37992">
        <w:rPr>
          <w:rFonts w:eastAsiaTheme="minorHAnsi"/>
          <w:szCs w:val="24"/>
          <w:lang w:eastAsia="en-US"/>
        </w:rPr>
        <w:t xml:space="preserve">requires a </w:t>
      </w:r>
      <w:r w:rsidR="00C8644F">
        <w:rPr>
          <w:rFonts w:eastAsiaTheme="minorHAnsi"/>
          <w:szCs w:val="24"/>
          <w:lang w:eastAsia="en-US"/>
        </w:rPr>
        <w:t xml:space="preserve">new independent regulator, one which </w:t>
      </w:r>
      <w:r w:rsidR="00391F08">
        <w:rPr>
          <w:rFonts w:eastAsiaTheme="minorHAnsi"/>
          <w:szCs w:val="24"/>
          <w:lang w:eastAsia="en-US"/>
        </w:rPr>
        <w:t xml:space="preserve">would </w:t>
      </w:r>
      <w:r w:rsidR="00C8644F">
        <w:rPr>
          <w:rFonts w:eastAsiaTheme="minorHAnsi"/>
          <w:szCs w:val="24"/>
          <w:lang w:eastAsia="en-US"/>
        </w:rPr>
        <w:t xml:space="preserve">have oversight for </w:t>
      </w:r>
      <w:r w:rsidR="0084235B">
        <w:rPr>
          <w:rFonts w:eastAsiaTheme="minorHAnsi"/>
          <w:szCs w:val="24"/>
          <w:lang w:eastAsia="en-US"/>
        </w:rPr>
        <w:t xml:space="preserve">the entire disability sector so that there is </w:t>
      </w:r>
      <w:r w:rsidR="006F0B7A">
        <w:rPr>
          <w:rFonts w:eastAsiaTheme="minorHAnsi"/>
          <w:szCs w:val="24"/>
          <w:lang w:eastAsia="en-US"/>
        </w:rPr>
        <w:t xml:space="preserve">no wrong avenue for raising issues. </w:t>
      </w:r>
      <w:r w:rsidR="00FA16FF">
        <w:rPr>
          <w:rFonts w:eastAsiaTheme="minorHAnsi"/>
          <w:szCs w:val="24"/>
          <w:lang w:eastAsia="en-US"/>
        </w:rPr>
        <w:t xml:space="preserve">The new regulator should also be accountable to Parliament </w:t>
      </w:r>
      <w:r w:rsidR="00F91730">
        <w:rPr>
          <w:rFonts w:eastAsiaTheme="minorHAnsi"/>
          <w:szCs w:val="24"/>
          <w:lang w:eastAsia="en-US"/>
        </w:rPr>
        <w:t>and able to hold its own inquiries</w:t>
      </w:r>
      <w:r w:rsidR="00325569">
        <w:rPr>
          <w:rFonts w:eastAsiaTheme="minorHAnsi"/>
          <w:szCs w:val="24"/>
          <w:lang w:eastAsia="en-US"/>
        </w:rPr>
        <w:t xml:space="preserve">. </w:t>
      </w:r>
    </w:p>
    <w:p w14:paraId="01DD2A67" w14:textId="229463F7" w:rsidR="008D7F60" w:rsidRDefault="008D7F60" w:rsidP="008D7F60">
      <w:pPr>
        <w:ind w:left="360"/>
        <w:rPr>
          <w:b/>
          <w:bCs/>
        </w:rPr>
      </w:pPr>
      <w:r w:rsidRPr="00502A5D">
        <w:rPr>
          <w:b/>
          <w:bCs/>
        </w:rPr>
        <w:t>Recommendations:</w:t>
      </w:r>
    </w:p>
    <w:p w14:paraId="54BD664D" w14:textId="364E8639" w:rsidR="004A2FC7" w:rsidRPr="00610474" w:rsidRDefault="004A2FC7" w:rsidP="004A2FC7">
      <w:pPr>
        <w:pStyle w:val="ListParagraph"/>
      </w:pPr>
      <w:r>
        <w:t xml:space="preserve">Include provisions for a new independent regulator to ensure service quality and investigate noncompliance. </w:t>
      </w:r>
    </w:p>
    <w:p w14:paraId="09DB513F" w14:textId="29C1EF94" w:rsidR="00F31950" w:rsidRDefault="00F31950" w:rsidP="001A23AB">
      <w:pPr>
        <w:pStyle w:val="Heading3"/>
      </w:pPr>
      <w:bookmarkStart w:id="34" w:name="_Toc126862916"/>
      <w:bookmarkEnd w:id="33"/>
      <w:r>
        <w:t xml:space="preserve">3.6 </w:t>
      </w:r>
      <w:r w:rsidR="008D7F60">
        <w:t xml:space="preserve">– Question 6 </w:t>
      </w:r>
      <w:r w:rsidR="00324ADD">
        <w:t xml:space="preserve">– Do you agree with the supports and services listed above? What other kinds of supports and services </w:t>
      </w:r>
      <w:r w:rsidR="00157DF9">
        <w:t>should be included in the new Act?</w:t>
      </w:r>
      <w:bookmarkEnd w:id="34"/>
      <w:r w:rsidR="008D7F60">
        <w:t xml:space="preserve"> </w:t>
      </w:r>
    </w:p>
    <w:p w14:paraId="679D86E9" w14:textId="6DD70E58" w:rsidR="000D2683" w:rsidRPr="00296C5E" w:rsidRDefault="000848C5" w:rsidP="00296C5E">
      <w:pPr>
        <w:keepNext/>
        <w:keepLines/>
        <w:spacing w:before="360"/>
        <w:contextualSpacing/>
        <w:outlineLvl w:val="3"/>
        <w:rPr>
          <w:rFonts w:eastAsia="MS Gothic" w:cs="Times New Roman"/>
          <w:bCs/>
          <w:iCs/>
          <w:color w:val="4F2260"/>
          <w:sz w:val="28"/>
          <w:szCs w:val="24"/>
        </w:rPr>
      </w:pPr>
      <w:bookmarkStart w:id="35" w:name="_Hlk126065653"/>
      <w:bookmarkStart w:id="36" w:name="_Hlk126016769"/>
      <w:r>
        <w:rPr>
          <w:rFonts w:eastAsia="MS Gothic" w:cs="Times New Roman"/>
          <w:bCs/>
          <w:iCs/>
          <w:color w:val="4F2260"/>
          <w:sz w:val="28"/>
          <w:szCs w:val="24"/>
        </w:rPr>
        <w:t>Services and Supports for People Who Are Blind or Vision Impaired</w:t>
      </w:r>
      <w:bookmarkEnd w:id="35"/>
      <w:r w:rsidR="00296C5E">
        <w:rPr>
          <w:rFonts w:eastAsia="MS Gothic" w:cs="Times New Roman"/>
          <w:bCs/>
          <w:iCs/>
          <w:color w:val="4F2260"/>
          <w:sz w:val="28"/>
          <w:szCs w:val="24"/>
        </w:rPr>
        <w:br/>
      </w:r>
      <w:r w:rsidR="00BF404A" w:rsidRPr="00BF404A">
        <w:rPr>
          <w:rFonts w:eastAsiaTheme="minorHAnsi"/>
          <w:szCs w:val="24"/>
          <w:lang w:eastAsia="en-US"/>
        </w:rPr>
        <w:t>The proposed supports and services listed in the Consultation Paper include:</w:t>
      </w:r>
    </w:p>
    <w:p w14:paraId="1CE9802C" w14:textId="13093989" w:rsidR="00BF404A" w:rsidRDefault="00BF404A" w:rsidP="00B364E6">
      <w:pPr>
        <w:pStyle w:val="ListParagraph"/>
        <w:numPr>
          <w:ilvl w:val="0"/>
          <w:numId w:val="18"/>
        </w:numPr>
      </w:pPr>
      <w:r w:rsidRPr="000D2683">
        <w:t>Accessibility.</w:t>
      </w:r>
      <w:r w:rsidR="000D2683">
        <w:t xml:space="preserve"> </w:t>
      </w:r>
    </w:p>
    <w:p w14:paraId="335B1262" w14:textId="252464E7" w:rsidR="000D2683" w:rsidRDefault="000D2683" w:rsidP="00B364E6">
      <w:pPr>
        <w:pStyle w:val="ListParagraph"/>
        <w:numPr>
          <w:ilvl w:val="0"/>
          <w:numId w:val="18"/>
        </w:numPr>
      </w:pPr>
      <w:r>
        <w:t>Accommod</w:t>
      </w:r>
      <w:r w:rsidRPr="000D2683">
        <w:t>ation</w:t>
      </w:r>
      <w:r w:rsidR="00BF404A" w:rsidRPr="000D2683">
        <w:t xml:space="preserve"> support.</w:t>
      </w:r>
    </w:p>
    <w:p w14:paraId="5A8605BF" w14:textId="77777777" w:rsidR="00D53F5C" w:rsidRDefault="00BF404A" w:rsidP="00B364E6">
      <w:pPr>
        <w:pStyle w:val="ListParagraph"/>
        <w:numPr>
          <w:ilvl w:val="0"/>
          <w:numId w:val="18"/>
        </w:numPr>
      </w:pPr>
      <w:r w:rsidRPr="000D2683">
        <w:t>Advocacy.</w:t>
      </w:r>
    </w:p>
    <w:p w14:paraId="63EF1144" w14:textId="77777777" w:rsidR="00D53F5C" w:rsidRDefault="00BF404A" w:rsidP="00B364E6">
      <w:pPr>
        <w:pStyle w:val="ListParagraph"/>
        <w:numPr>
          <w:ilvl w:val="0"/>
          <w:numId w:val="18"/>
        </w:numPr>
      </w:pPr>
      <w:r w:rsidRPr="00D53F5C">
        <w:t>Employment and training.</w:t>
      </w:r>
    </w:p>
    <w:p w14:paraId="2B9313EC" w14:textId="77777777" w:rsidR="00D53F5C" w:rsidRDefault="00BF404A" w:rsidP="00B364E6">
      <w:pPr>
        <w:pStyle w:val="ListParagraph"/>
        <w:numPr>
          <w:ilvl w:val="0"/>
          <w:numId w:val="18"/>
        </w:numPr>
      </w:pPr>
      <w:r w:rsidRPr="00D53F5C">
        <w:t>Independent living.</w:t>
      </w:r>
    </w:p>
    <w:p w14:paraId="7F1E03B9" w14:textId="77777777" w:rsidR="00D53F5C" w:rsidRDefault="00BF404A" w:rsidP="00B364E6">
      <w:pPr>
        <w:pStyle w:val="ListParagraph"/>
        <w:numPr>
          <w:ilvl w:val="0"/>
          <w:numId w:val="18"/>
        </w:numPr>
      </w:pPr>
      <w:r w:rsidRPr="00D53F5C">
        <w:t>Information and education.</w:t>
      </w:r>
    </w:p>
    <w:p w14:paraId="4356635F" w14:textId="77777777" w:rsidR="00D53F5C" w:rsidRDefault="00BF404A" w:rsidP="00B364E6">
      <w:pPr>
        <w:pStyle w:val="ListParagraph"/>
        <w:numPr>
          <w:ilvl w:val="0"/>
          <w:numId w:val="18"/>
        </w:numPr>
      </w:pPr>
      <w:r w:rsidRPr="00D53F5C">
        <w:t>Recreation.</w:t>
      </w:r>
    </w:p>
    <w:p w14:paraId="7069E2C6" w14:textId="77777777" w:rsidR="00D53F5C" w:rsidRDefault="00BF404A" w:rsidP="00B364E6">
      <w:pPr>
        <w:pStyle w:val="ListParagraph"/>
        <w:numPr>
          <w:ilvl w:val="0"/>
          <w:numId w:val="18"/>
        </w:numPr>
      </w:pPr>
      <w:r w:rsidRPr="00D53F5C">
        <w:t>Respite care.</w:t>
      </w:r>
    </w:p>
    <w:p w14:paraId="5EF87C7D" w14:textId="56BB744F" w:rsidR="00BF404A" w:rsidRPr="00D53F5C" w:rsidRDefault="00BF404A" w:rsidP="00B364E6">
      <w:pPr>
        <w:pStyle w:val="ListParagraph"/>
        <w:numPr>
          <w:ilvl w:val="0"/>
          <w:numId w:val="18"/>
        </w:numPr>
      </w:pPr>
      <w:r w:rsidRPr="00D53F5C">
        <w:lastRenderedPageBreak/>
        <w:t>Research, development and data collection.</w:t>
      </w:r>
    </w:p>
    <w:p w14:paraId="0C89037F" w14:textId="5F084BCF" w:rsidR="003B5982" w:rsidRDefault="00D53F5C" w:rsidP="00776723">
      <w:pPr>
        <w:rPr>
          <w:rFonts w:eastAsiaTheme="minorHAnsi"/>
          <w:szCs w:val="24"/>
          <w:lang w:eastAsia="en-US"/>
        </w:rPr>
      </w:pPr>
      <w:r w:rsidRPr="00BF404A">
        <w:rPr>
          <w:rFonts w:eastAsiaTheme="minorHAnsi"/>
          <w:szCs w:val="24"/>
          <w:lang w:eastAsia="en-US"/>
        </w:rPr>
        <w:t xml:space="preserve">There are </w:t>
      </w:r>
      <w:bookmarkStart w:id="37" w:name="_Hlk126073809"/>
      <w:r w:rsidRPr="00BF404A">
        <w:rPr>
          <w:rFonts w:eastAsiaTheme="minorHAnsi"/>
          <w:szCs w:val="24"/>
          <w:lang w:eastAsia="en-US"/>
        </w:rPr>
        <w:t>many aids, equipment and technologies available to people who are blind or vision impaired</w:t>
      </w:r>
      <w:bookmarkEnd w:id="37"/>
      <w:r w:rsidRPr="00BF404A">
        <w:rPr>
          <w:rFonts w:eastAsiaTheme="minorHAnsi"/>
          <w:szCs w:val="24"/>
          <w:lang w:eastAsia="en-US"/>
        </w:rPr>
        <w:t>, such as:</w:t>
      </w:r>
    </w:p>
    <w:p w14:paraId="541F5565" w14:textId="77777777" w:rsidR="003B5982" w:rsidRDefault="00D53F5C" w:rsidP="00B364E6">
      <w:pPr>
        <w:pStyle w:val="ListParagraph"/>
        <w:numPr>
          <w:ilvl w:val="0"/>
          <w:numId w:val="19"/>
        </w:numPr>
      </w:pPr>
      <w:r w:rsidRPr="003B5982">
        <w:t>Magnifiers.</w:t>
      </w:r>
    </w:p>
    <w:p w14:paraId="32ADA582" w14:textId="77777777" w:rsidR="003B5982" w:rsidRDefault="00D53F5C" w:rsidP="00B364E6">
      <w:pPr>
        <w:pStyle w:val="ListParagraph"/>
        <w:numPr>
          <w:ilvl w:val="0"/>
          <w:numId w:val="19"/>
        </w:numPr>
      </w:pPr>
      <w:r w:rsidRPr="003B5982">
        <w:t>Screen readers for computers.</w:t>
      </w:r>
    </w:p>
    <w:p w14:paraId="7D1C5BF9" w14:textId="77777777" w:rsidR="003B5982" w:rsidRDefault="00D53F5C" w:rsidP="00B364E6">
      <w:pPr>
        <w:pStyle w:val="ListParagraph"/>
        <w:numPr>
          <w:ilvl w:val="0"/>
          <w:numId w:val="19"/>
        </w:numPr>
      </w:pPr>
      <w:r w:rsidRPr="003B5982">
        <w:t xml:space="preserve">Accessible mobile phones and software applications. </w:t>
      </w:r>
    </w:p>
    <w:p w14:paraId="2A5CDF65" w14:textId="77777777" w:rsidR="003B5982" w:rsidRDefault="00D53F5C" w:rsidP="00B364E6">
      <w:pPr>
        <w:pStyle w:val="ListParagraph"/>
        <w:numPr>
          <w:ilvl w:val="0"/>
          <w:numId w:val="19"/>
        </w:numPr>
      </w:pPr>
      <w:r w:rsidRPr="003B5982">
        <w:t>Correct lighting.</w:t>
      </w:r>
    </w:p>
    <w:p w14:paraId="503777D1" w14:textId="5EF64FB6" w:rsidR="00D53F5C" w:rsidRPr="003B5982" w:rsidRDefault="00D53F5C" w:rsidP="00B364E6">
      <w:pPr>
        <w:pStyle w:val="ListParagraph"/>
        <w:numPr>
          <w:ilvl w:val="0"/>
          <w:numId w:val="19"/>
        </w:numPr>
      </w:pPr>
      <w:r w:rsidRPr="003B5982">
        <w:t>Tactile markers for household appliances.</w:t>
      </w:r>
    </w:p>
    <w:p w14:paraId="18E11BC8" w14:textId="58B2EEA3" w:rsidR="007357D9" w:rsidRPr="00566FE6" w:rsidRDefault="00566FE6" w:rsidP="00566FE6">
      <w:pPr>
        <w:rPr>
          <w:rFonts w:eastAsiaTheme="minorHAnsi"/>
          <w:szCs w:val="24"/>
          <w:lang w:eastAsia="en-US"/>
        </w:rPr>
      </w:pPr>
      <w:r>
        <w:rPr>
          <w:rFonts w:eastAsiaTheme="minorHAnsi"/>
          <w:szCs w:val="24"/>
          <w:lang w:eastAsia="en-US"/>
        </w:rPr>
        <w:t xml:space="preserve">BCA strongly recommends that AT be added to the list of supports and services </w:t>
      </w:r>
      <w:r w:rsidR="00980503">
        <w:rPr>
          <w:rFonts w:eastAsiaTheme="minorHAnsi"/>
          <w:szCs w:val="24"/>
          <w:lang w:eastAsia="en-US"/>
        </w:rPr>
        <w:t>in its own right. Moreover, i</w:t>
      </w:r>
      <w:r w:rsidR="00776723" w:rsidRPr="00BF404A">
        <w:rPr>
          <w:rFonts w:eastAsiaTheme="minorHAnsi"/>
          <w:szCs w:val="24"/>
          <w:lang w:eastAsia="en-US"/>
        </w:rPr>
        <w:t>n consultation with members, BCA has devised its own list of blindness-specific services:</w:t>
      </w:r>
    </w:p>
    <w:p w14:paraId="128C201B" w14:textId="13F4294D" w:rsidR="00776723" w:rsidRDefault="00776723" w:rsidP="00B364E6">
      <w:pPr>
        <w:pStyle w:val="ListParagraph"/>
        <w:numPr>
          <w:ilvl w:val="0"/>
          <w:numId w:val="20"/>
        </w:numPr>
      </w:pPr>
      <w:r w:rsidRPr="00066B80">
        <w:t>Information about and training in th</w:t>
      </w:r>
      <w:r w:rsidR="007357D9">
        <w:t xml:space="preserve">e use of </w:t>
      </w:r>
      <w:r w:rsidR="008E38D4">
        <w:t>AT</w:t>
      </w:r>
      <w:r w:rsidRPr="00066B80">
        <w:t>.</w:t>
      </w:r>
    </w:p>
    <w:p w14:paraId="24B85C5D" w14:textId="77777777" w:rsidR="00776723" w:rsidRDefault="00776723" w:rsidP="00B364E6">
      <w:pPr>
        <w:pStyle w:val="ListParagraph"/>
        <w:numPr>
          <w:ilvl w:val="0"/>
          <w:numId w:val="20"/>
        </w:numPr>
      </w:pPr>
      <w:r w:rsidRPr="00066B80">
        <w:t>Orientation and mobility, including dog guide training, cane training and instruction in other relevant products and equipment.</w:t>
      </w:r>
    </w:p>
    <w:p w14:paraId="4FBC2A3C" w14:textId="77777777" w:rsidR="00776723" w:rsidRDefault="00776723" w:rsidP="00B364E6">
      <w:pPr>
        <w:pStyle w:val="ListParagraph"/>
        <w:numPr>
          <w:ilvl w:val="0"/>
          <w:numId w:val="20"/>
        </w:numPr>
      </w:pPr>
      <w:r w:rsidRPr="00066B80">
        <w:t>Braille instruction and transcription services.</w:t>
      </w:r>
    </w:p>
    <w:p w14:paraId="00AD2075" w14:textId="77777777" w:rsidR="00776723" w:rsidRDefault="00776723" w:rsidP="00B364E6">
      <w:pPr>
        <w:pStyle w:val="ListParagraph"/>
        <w:numPr>
          <w:ilvl w:val="0"/>
          <w:numId w:val="20"/>
        </w:numPr>
      </w:pPr>
      <w:r w:rsidRPr="00066B80">
        <w:t>Library services.</w:t>
      </w:r>
    </w:p>
    <w:p w14:paraId="0CC2E81F" w14:textId="77777777" w:rsidR="00776723" w:rsidRDefault="00776723" w:rsidP="00B364E6">
      <w:pPr>
        <w:pStyle w:val="ListParagraph"/>
        <w:numPr>
          <w:ilvl w:val="0"/>
          <w:numId w:val="20"/>
        </w:numPr>
      </w:pPr>
      <w:r w:rsidRPr="00066B80">
        <w:t>Occupational therapy as it relates to daily living skills.</w:t>
      </w:r>
    </w:p>
    <w:p w14:paraId="2C4FA8E8" w14:textId="77777777" w:rsidR="00776723" w:rsidRDefault="00776723" w:rsidP="00B364E6">
      <w:pPr>
        <w:pStyle w:val="ListParagraph"/>
        <w:numPr>
          <w:ilvl w:val="0"/>
          <w:numId w:val="20"/>
        </w:numPr>
      </w:pPr>
      <w:r w:rsidRPr="00066B80">
        <w:t>Rehabilitation counselling.</w:t>
      </w:r>
    </w:p>
    <w:p w14:paraId="070FA1BE" w14:textId="77777777" w:rsidR="00776723" w:rsidRDefault="00776723" w:rsidP="00B364E6">
      <w:pPr>
        <w:pStyle w:val="ListParagraph"/>
        <w:numPr>
          <w:ilvl w:val="0"/>
          <w:numId w:val="20"/>
        </w:numPr>
      </w:pPr>
      <w:r w:rsidRPr="00066B80">
        <w:t>Genre cooking classes.</w:t>
      </w:r>
    </w:p>
    <w:p w14:paraId="365136DF" w14:textId="6BD957D4" w:rsidR="00376DA6" w:rsidRPr="00066B80" w:rsidRDefault="00376DA6" w:rsidP="00B364E6">
      <w:pPr>
        <w:pStyle w:val="ListParagraph"/>
        <w:numPr>
          <w:ilvl w:val="0"/>
          <w:numId w:val="20"/>
        </w:numPr>
      </w:pPr>
      <w:r>
        <w:t>Social activities.</w:t>
      </w:r>
    </w:p>
    <w:p w14:paraId="28A012D4" w14:textId="2C98D7A7" w:rsidR="006029C7" w:rsidRPr="00296C5E" w:rsidRDefault="00F04826" w:rsidP="00296C5E">
      <w:pPr>
        <w:keepNext/>
        <w:keepLines/>
        <w:spacing w:before="360"/>
        <w:contextualSpacing/>
        <w:outlineLvl w:val="3"/>
        <w:rPr>
          <w:rFonts w:eastAsia="MS Gothic" w:cs="Times New Roman"/>
          <w:bCs/>
          <w:iCs/>
          <w:color w:val="4F2260"/>
          <w:sz w:val="28"/>
          <w:szCs w:val="24"/>
        </w:rPr>
      </w:pPr>
      <w:r>
        <w:rPr>
          <w:rFonts w:eastAsia="MS Gothic" w:cs="Times New Roman"/>
          <w:bCs/>
          <w:iCs/>
          <w:color w:val="4F2260"/>
          <w:sz w:val="28"/>
          <w:szCs w:val="24"/>
        </w:rPr>
        <w:t xml:space="preserve">Underutilisation of </w:t>
      </w:r>
      <w:r w:rsidR="000848C5">
        <w:rPr>
          <w:rFonts w:eastAsia="MS Gothic" w:cs="Times New Roman"/>
          <w:bCs/>
          <w:iCs/>
          <w:color w:val="4F2260"/>
          <w:sz w:val="28"/>
          <w:szCs w:val="24"/>
        </w:rPr>
        <w:t>NDIS Supports</w:t>
      </w:r>
      <w:r w:rsidR="00296C5E">
        <w:rPr>
          <w:rFonts w:eastAsia="MS Gothic" w:cs="Times New Roman"/>
          <w:bCs/>
          <w:iCs/>
          <w:color w:val="4F2260"/>
          <w:sz w:val="28"/>
          <w:szCs w:val="24"/>
        </w:rPr>
        <w:br/>
      </w:r>
      <w:r w:rsidR="00BF404A" w:rsidRPr="00BF404A">
        <w:rPr>
          <w:rFonts w:eastAsiaTheme="minorHAnsi"/>
          <w:szCs w:val="24"/>
          <w:lang w:eastAsia="en-US"/>
        </w:rPr>
        <w:t>BCA has observed that structural issues have led to the underutilisation of NDIS supports by people whose support needs are largely episodic.</w:t>
      </w:r>
      <w:r w:rsidR="00BF404A" w:rsidRPr="00BF404A">
        <w:rPr>
          <w:rFonts w:eastAsiaTheme="minorHAnsi"/>
          <w:szCs w:val="24"/>
          <w:vertAlign w:val="superscript"/>
          <w:lang w:eastAsia="en-US"/>
        </w:rPr>
        <w:endnoteReference w:id="16"/>
      </w:r>
      <w:r w:rsidR="00BF404A" w:rsidRPr="00BF404A">
        <w:rPr>
          <w:rFonts w:eastAsiaTheme="minorHAnsi"/>
          <w:szCs w:val="24"/>
          <w:lang w:eastAsia="en-US"/>
        </w:rPr>
        <w:t xml:space="preserve"> The new Act should have sufficient flexibility to cater to such people’s needs.</w:t>
      </w:r>
    </w:p>
    <w:p w14:paraId="67239E05" w14:textId="77777777" w:rsidR="002B3D42" w:rsidRDefault="00BF404A" w:rsidP="002B3D42">
      <w:pPr>
        <w:rPr>
          <w:rFonts w:eastAsiaTheme="minorHAnsi"/>
          <w:szCs w:val="24"/>
          <w:lang w:eastAsia="en-US"/>
        </w:rPr>
      </w:pPr>
      <w:r w:rsidRPr="00BF404A">
        <w:rPr>
          <w:rFonts w:eastAsiaTheme="minorHAnsi"/>
          <w:szCs w:val="24"/>
          <w:lang w:eastAsia="en-US"/>
        </w:rPr>
        <w:t>When it comes to services like orientation and mobility training, for example, it can be difficult for a participant to predict how much support they may require over a 12-month period. If an individual suddenly has to relocate or learn how to get to a new workplace, they may require intensive orientation and mobility training to enable them to navigate these new environments safely and independently.</w:t>
      </w:r>
    </w:p>
    <w:p w14:paraId="59F035CB" w14:textId="77777777" w:rsidR="008409E7" w:rsidRDefault="00BF404A" w:rsidP="008409E7">
      <w:pPr>
        <w:rPr>
          <w:rFonts w:eastAsiaTheme="minorHAnsi"/>
          <w:szCs w:val="24"/>
          <w:lang w:eastAsia="en-US"/>
        </w:rPr>
      </w:pPr>
      <w:r w:rsidRPr="00BF404A">
        <w:rPr>
          <w:rFonts w:eastAsiaTheme="minorHAnsi"/>
          <w:szCs w:val="24"/>
          <w:lang w:eastAsia="en-US"/>
        </w:rPr>
        <w:t xml:space="preserve">Support for transport costs may also need to be increased for the period during which the individual is still learning how to use public transport to access their workplace, local shopping and other </w:t>
      </w:r>
      <w:r w:rsidRPr="00BF404A">
        <w:rPr>
          <w:rFonts w:eastAsiaTheme="minorHAnsi"/>
          <w:szCs w:val="24"/>
          <w:lang w:eastAsia="en-US"/>
        </w:rPr>
        <w:lastRenderedPageBreak/>
        <w:t>community services and amenities.</w:t>
      </w:r>
      <w:r w:rsidR="002B3D42">
        <w:rPr>
          <w:rFonts w:eastAsiaTheme="minorHAnsi"/>
          <w:szCs w:val="24"/>
          <w:lang w:eastAsia="en-US"/>
        </w:rPr>
        <w:t xml:space="preserve"> </w:t>
      </w:r>
      <w:r w:rsidRPr="00BF404A">
        <w:rPr>
          <w:rFonts w:eastAsiaTheme="minorHAnsi"/>
          <w:szCs w:val="24"/>
          <w:lang w:eastAsia="en-US"/>
        </w:rPr>
        <w:t>Whil</w:t>
      </w:r>
      <w:r w:rsidR="002B3D42">
        <w:rPr>
          <w:rFonts w:eastAsiaTheme="minorHAnsi"/>
          <w:szCs w:val="24"/>
          <w:lang w:eastAsia="en-US"/>
        </w:rPr>
        <w:t>st</w:t>
      </w:r>
      <w:r w:rsidRPr="00BF404A">
        <w:rPr>
          <w:rFonts w:eastAsiaTheme="minorHAnsi"/>
          <w:szCs w:val="24"/>
          <w:lang w:eastAsia="en-US"/>
        </w:rPr>
        <w:t xml:space="preserve"> these supports will not be ongoing, ensuring they are received in a timely manner is critical to the dignity, independence and wellbeing of the individual.</w:t>
      </w:r>
    </w:p>
    <w:p w14:paraId="0D338959" w14:textId="77777777" w:rsidR="008409E7" w:rsidRDefault="00BF404A" w:rsidP="008409E7">
      <w:pPr>
        <w:rPr>
          <w:rFonts w:eastAsiaTheme="minorHAnsi"/>
          <w:szCs w:val="24"/>
          <w:lang w:eastAsia="en-US"/>
        </w:rPr>
      </w:pPr>
      <w:r w:rsidRPr="00BF404A">
        <w:rPr>
          <w:rFonts w:eastAsiaTheme="minorHAnsi"/>
          <w:szCs w:val="24"/>
          <w:lang w:eastAsia="en-US"/>
        </w:rPr>
        <w:t>Without this initial investment in higher level support, the costs of supporting an individual who has not been supported to function to their full capacity will be significantly higher in the long term.</w:t>
      </w:r>
    </w:p>
    <w:p w14:paraId="2B25218D" w14:textId="77777777" w:rsidR="00B26E35" w:rsidRDefault="008409E7" w:rsidP="00B26E35">
      <w:pPr>
        <w:rPr>
          <w:rFonts w:eastAsiaTheme="minorHAnsi"/>
          <w:szCs w:val="24"/>
          <w:lang w:eastAsia="en-US"/>
        </w:rPr>
      </w:pPr>
      <w:r>
        <w:rPr>
          <w:rFonts w:eastAsiaTheme="minorHAnsi"/>
          <w:szCs w:val="24"/>
          <w:lang w:eastAsia="en-US"/>
        </w:rPr>
        <w:t>For example, t</w:t>
      </w:r>
      <w:r w:rsidR="00BF404A" w:rsidRPr="00BF404A">
        <w:rPr>
          <w:rFonts w:eastAsiaTheme="minorHAnsi"/>
          <w:szCs w:val="24"/>
          <w:lang w:eastAsia="en-US"/>
        </w:rPr>
        <w:t>he learning of new travel routes is a naturally stressful process, as it takes a high degree of concentration and is highly dependent on the nature of the relationship between the instructor and the learner for a successful outcome. To add financial pressure to that scenario by asking someone to predict how many hours will be needed to become competent at travelling a route is unhelpful. It could actually lengthen the amount of time it takes for a person to become confident in travelling alone because of the extra stress and anxiety added if they feel that they are under pressure to become competent at travelling within a certain amount of time.</w:t>
      </w:r>
    </w:p>
    <w:p w14:paraId="218D24C6" w14:textId="77777777" w:rsidR="00B26E35" w:rsidRDefault="00BF404A" w:rsidP="00B26E35">
      <w:pPr>
        <w:rPr>
          <w:rFonts w:eastAsiaTheme="minorHAnsi"/>
          <w:szCs w:val="24"/>
          <w:lang w:eastAsia="en-US"/>
        </w:rPr>
      </w:pPr>
      <w:r w:rsidRPr="00BF404A">
        <w:rPr>
          <w:rFonts w:eastAsiaTheme="minorHAnsi"/>
          <w:szCs w:val="24"/>
          <w:lang w:eastAsia="en-US"/>
        </w:rPr>
        <w:t>Until such time that a more responsive process can be put in place, it is likely that many people who are blind or vision impaired will miss out on receiving the supports they need in a timely and effective manner, thus impacting upon their participation in social, cultural and economic life.</w:t>
      </w:r>
    </w:p>
    <w:p w14:paraId="38991FA0" w14:textId="77777777" w:rsidR="00826BB3" w:rsidRDefault="00826BB3" w:rsidP="00B26E35">
      <w:pPr>
        <w:rPr>
          <w:rFonts w:eastAsiaTheme="minorHAnsi"/>
          <w:szCs w:val="24"/>
          <w:lang w:eastAsia="en-US"/>
        </w:rPr>
      </w:pPr>
    </w:p>
    <w:p w14:paraId="5A17ABE0" w14:textId="45B86496" w:rsidR="00B26E35" w:rsidRPr="00296C5E" w:rsidRDefault="00826BB3" w:rsidP="00296C5E">
      <w:pPr>
        <w:keepNext/>
        <w:keepLines/>
        <w:spacing w:before="360"/>
        <w:contextualSpacing/>
        <w:outlineLvl w:val="3"/>
        <w:rPr>
          <w:rFonts w:eastAsia="MS Gothic" w:cs="Times New Roman"/>
          <w:bCs/>
          <w:iCs/>
          <w:color w:val="4F2260"/>
          <w:sz w:val="28"/>
          <w:szCs w:val="24"/>
        </w:rPr>
      </w:pPr>
      <w:r>
        <w:rPr>
          <w:rFonts w:eastAsia="MS Gothic" w:cs="Times New Roman"/>
          <w:bCs/>
          <w:iCs/>
          <w:color w:val="4F2260"/>
          <w:sz w:val="28"/>
          <w:szCs w:val="24"/>
        </w:rPr>
        <w:t>Failure to Account for Degenerative Conditions</w:t>
      </w:r>
      <w:r w:rsidR="00296C5E">
        <w:rPr>
          <w:rFonts w:eastAsia="MS Gothic" w:cs="Times New Roman"/>
          <w:bCs/>
          <w:iCs/>
          <w:color w:val="4F2260"/>
          <w:sz w:val="28"/>
          <w:szCs w:val="24"/>
        </w:rPr>
        <w:br/>
      </w:r>
      <w:r w:rsidR="00BF404A" w:rsidRPr="00BF404A">
        <w:rPr>
          <w:rFonts w:eastAsiaTheme="minorHAnsi"/>
          <w:szCs w:val="24"/>
          <w:lang w:eastAsia="en-US"/>
        </w:rPr>
        <w:t>BCA has also observed the unpredictable and complex support needs for people with degenerative conditions. Again, the new Act should have enough flexibility to accommodate the support needs of such people. A BCA member relates her experience:</w:t>
      </w:r>
    </w:p>
    <w:p w14:paraId="35C52139" w14:textId="5E2B7DBB" w:rsidR="00B32D12" w:rsidRDefault="00772DA6" w:rsidP="00B32D12">
      <w:pPr>
        <w:ind w:left="720" w:right="720"/>
        <w:rPr>
          <w:rFonts w:eastAsiaTheme="minorHAnsi"/>
          <w:szCs w:val="24"/>
          <w:lang w:eastAsia="en-US"/>
        </w:rPr>
      </w:pPr>
      <w:r>
        <w:rPr>
          <w:rFonts w:eastAsiaTheme="minorHAnsi"/>
          <w:szCs w:val="24"/>
          <w:lang w:eastAsia="en-US"/>
        </w:rPr>
        <w:t>I</w:t>
      </w:r>
      <w:r w:rsidR="00BF404A" w:rsidRPr="00BF404A">
        <w:rPr>
          <w:rFonts w:eastAsiaTheme="minorHAnsi"/>
          <w:szCs w:val="24"/>
          <w:lang w:eastAsia="en-US"/>
        </w:rPr>
        <w:t>n the past couple of years</w:t>
      </w:r>
      <w:r w:rsidR="00405AB7">
        <w:rPr>
          <w:rFonts w:eastAsiaTheme="minorHAnsi"/>
          <w:szCs w:val="24"/>
          <w:lang w:eastAsia="en-US"/>
        </w:rPr>
        <w:t>,</w:t>
      </w:r>
      <w:r w:rsidR="00BF404A" w:rsidRPr="00BF404A">
        <w:rPr>
          <w:rFonts w:eastAsiaTheme="minorHAnsi"/>
          <w:szCs w:val="24"/>
          <w:lang w:eastAsia="en-US"/>
        </w:rPr>
        <w:t xml:space="preserve"> I have lost my remaining sight. It seems to me that over this period especially, but probably for many years, life has been an almost continuous series of ‘episodes’ requiring new learning, new devices, and a lot of training. I’ve found that the transition from having a little sight to none at all has been the most intense in this way, although the degenerative nature of RP means that changes occur frequently and over a long period of time.</w:t>
      </w:r>
    </w:p>
    <w:p w14:paraId="67347EAF" w14:textId="77777777" w:rsidR="00B32D12" w:rsidRDefault="00BF404A" w:rsidP="00B32D12">
      <w:pPr>
        <w:ind w:left="720" w:right="720"/>
        <w:rPr>
          <w:rFonts w:eastAsiaTheme="minorHAnsi"/>
          <w:szCs w:val="24"/>
          <w:lang w:eastAsia="en-US"/>
        </w:rPr>
      </w:pPr>
      <w:r w:rsidRPr="00BF404A">
        <w:rPr>
          <w:rFonts w:eastAsiaTheme="minorHAnsi"/>
          <w:szCs w:val="24"/>
          <w:lang w:eastAsia="en-US"/>
        </w:rPr>
        <w:t>At the moment, I feel that my life consists of many different kinds of new learning – new guide dog, preceded by several months of cane training, almost a year of adaptive technology training, continuous work to develop Braille reading skills, and then there are just the many kinds of adjustment and reorganisation in order to live reasonably without sight.</w:t>
      </w:r>
    </w:p>
    <w:p w14:paraId="72613BE5" w14:textId="77777777" w:rsidR="00B32D12" w:rsidRDefault="00BF404A" w:rsidP="00B32D12">
      <w:pPr>
        <w:ind w:left="720" w:right="720"/>
        <w:rPr>
          <w:rFonts w:eastAsiaTheme="minorHAnsi"/>
          <w:szCs w:val="24"/>
          <w:lang w:eastAsia="en-US"/>
        </w:rPr>
      </w:pPr>
      <w:r w:rsidRPr="00BF404A">
        <w:rPr>
          <w:rFonts w:eastAsiaTheme="minorHAnsi"/>
          <w:szCs w:val="24"/>
          <w:lang w:eastAsia="en-US"/>
        </w:rPr>
        <w:lastRenderedPageBreak/>
        <w:t xml:space="preserve">I don’t even know how to begin to think about what </w:t>
      </w:r>
      <w:proofErr w:type="gramStart"/>
      <w:r w:rsidRPr="00BF404A">
        <w:rPr>
          <w:rFonts w:eastAsiaTheme="minorHAnsi"/>
          <w:szCs w:val="24"/>
          <w:lang w:eastAsia="en-US"/>
        </w:rPr>
        <w:t>is an ‘episode’</w:t>
      </w:r>
      <w:proofErr w:type="gramEnd"/>
      <w:r w:rsidRPr="00BF404A">
        <w:rPr>
          <w:rFonts w:eastAsiaTheme="minorHAnsi"/>
          <w:szCs w:val="24"/>
          <w:lang w:eastAsia="en-US"/>
        </w:rPr>
        <w:t xml:space="preserve"> because the change is so global, and one period of adjustment and learning blends into the next one. I think that people with degenerative conditions don’t necessarily have neatly delineated ‘episodes’, but rather are in a continuous state of flux. So, somehow, this needs to be accommodated in the support for those fortunate enough to access the NDIS.</w:t>
      </w:r>
    </w:p>
    <w:p w14:paraId="4AD42716" w14:textId="77777777" w:rsidR="00063408" w:rsidRDefault="00BF404A" w:rsidP="00063408">
      <w:pPr>
        <w:rPr>
          <w:rFonts w:eastAsiaTheme="minorHAnsi"/>
          <w:szCs w:val="24"/>
          <w:lang w:eastAsia="en-US"/>
        </w:rPr>
      </w:pPr>
      <w:r w:rsidRPr="00BF404A">
        <w:rPr>
          <w:rFonts w:eastAsiaTheme="minorHAnsi"/>
          <w:szCs w:val="24"/>
          <w:lang w:eastAsia="en-US"/>
        </w:rPr>
        <w:t>Consequently, when it comes to supports such as orientation and mobility training, there is currently a need for individuals to plan for over and above what they might actually need based on a worst-case scenario of the episodic needs that are likely to arise within any 12-month period, as an underestimation will mean they cannot access the support they need without requesting a full plan review – ultimately preventing them from accessing this support when they need it most.</w:t>
      </w:r>
    </w:p>
    <w:p w14:paraId="712F137C" w14:textId="77777777" w:rsidR="00453545" w:rsidRDefault="00BF404A" w:rsidP="00453545">
      <w:pPr>
        <w:rPr>
          <w:rFonts w:eastAsiaTheme="minorHAnsi"/>
          <w:szCs w:val="24"/>
          <w:lang w:eastAsia="en-US"/>
        </w:rPr>
      </w:pPr>
      <w:r w:rsidRPr="00BF404A">
        <w:rPr>
          <w:rFonts w:eastAsiaTheme="minorHAnsi"/>
          <w:szCs w:val="24"/>
          <w:lang w:eastAsia="en-US"/>
        </w:rPr>
        <w:t xml:space="preserve">This anomaly is sure to be contributing to the underutilisation of plans, as participants may not use all supports that have been committed in any 12-month period. Whilst this may be the case, it would also be a mistake to assume that people might require less supports in their plan the following year. </w:t>
      </w:r>
    </w:p>
    <w:p w14:paraId="15C37C32" w14:textId="77777777" w:rsidR="00453545" w:rsidRDefault="00BF404A" w:rsidP="00453545">
      <w:pPr>
        <w:rPr>
          <w:rFonts w:eastAsiaTheme="minorHAnsi"/>
          <w:szCs w:val="24"/>
          <w:lang w:eastAsia="en-US"/>
        </w:rPr>
      </w:pPr>
      <w:r w:rsidRPr="00BF404A">
        <w:rPr>
          <w:rFonts w:eastAsiaTheme="minorHAnsi"/>
          <w:szCs w:val="24"/>
          <w:lang w:eastAsia="en-US"/>
        </w:rPr>
        <w:t>Personal plans and the availability of supports need to be flexible enough to accommodate for sudden changes which are likely to lead to sporadically higher costs. It is our understanding that the National Disability Insurance Agency (NDIA) will no longer approve any new supports without a full plan review – a process which can take several months.</w:t>
      </w:r>
    </w:p>
    <w:p w14:paraId="385AEEF3" w14:textId="77777777" w:rsidR="00EC26C3" w:rsidRDefault="00453545" w:rsidP="00EC26C3">
      <w:pPr>
        <w:rPr>
          <w:rFonts w:eastAsiaTheme="minorHAnsi"/>
          <w:szCs w:val="24"/>
          <w:lang w:eastAsia="en-US"/>
        </w:rPr>
      </w:pPr>
      <w:r>
        <w:rPr>
          <w:rFonts w:eastAsiaTheme="minorHAnsi"/>
          <w:szCs w:val="24"/>
          <w:lang w:eastAsia="en-US"/>
        </w:rPr>
        <w:t xml:space="preserve">Numerous </w:t>
      </w:r>
      <w:r w:rsidR="00BF404A" w:rsidRPr="00BF404A">
        <w:rPr>
          <w:rFonts w:eastAsiaTheme="minorHAnsi"/>
          <w:szCs w:val="24"/>
          <w:lang w:eastAsia="en-US"/>
        </w:rPr>
        <w:t>scheme participants who are blind or vision impaired have already reported having to seek a review almost as soon as their first plan was in place, as new support needs had emerged that could not have been foreseen at the time of planning.</w:t>
      </w:r>
    </w:p>
    <w:p w14:paraId="1E649D76" w14:textId="77777777" w:rsidR="00EC26C3" w:rsidRDefault="00EC26C3" w:rsidP="00EC26C3">
      <w:pPr>
        <w:rPr>
          <w:rFonts w:eastAsiaTheme="minorHAnsi"/>
          <w:szCs w:val="24"/>
          <w:lang w:eastAsia="en-US"/>
        </w:rPr>
      </w:pPr>
    </w:p>
    <w:p w14:paraId="6DF51E01" w14:textId="73638CA0" w:rsidR="00315A5E" w:rsidRPr="00315A5E" w:rsidRDefault="00EC26C3" w:rsidP="00296C5E">
      <w:pPr>
        <w:keepNext/>
        <w:keepLines/>
        <w:spacing w:before="360"/>
        <w:contextualSpacing/>
        <w:outlineLvl w:val="3"/>
        <w:rPr>
          <w:rFonts w:eastAsiaTheme="minorHAnsi"/>
          <w:szCs w:val="24"/>
          <w:lang w:eastAsia="en-US"/>
        </w:rPr>
      </w:pPr>
      <w:bookmarkStart w:id="38" w:name="_Hlk126598647"/>
      <w:r>
        <w:rPr>
          <w:rFonts w:eastAsia="MS Gothic" w:cs="Times New Roman"/>
          <w:bCs/>
          <w:iCs/>
          <w:color w:val="4F2260"/>
          <w:sz w:val="28"/>
          <w:szCs w:val="24"/>
        </w:rPr>
        <w:t>Additional Federal Funding for Eye Care</w:t>
      </w:r>
      <w:bookmarkEnd w:id="38"/>
      <w:r w:rsidR="00296C5E">
        <w:rPr>
          <w:rFonts w:eastAsia="MS Gothic" w:cs="Times New Roman"/>
          <w:bCs/>
          <w:iCs/>
          <w:color w:val="4F2260"/>
          <w:sz w:val="28"/>
          <w:szCs w:val="24"/>
        </w:rPr>
        <w:br/>
      </w:r>
      <w:r w:rsidR="00BF404A" w:rsidRPr="00BF404A">
        <w:rPr>
          <w:rFonts w:eastAsiaTheme="minorHAnsi"/>
          <w:szCs w:val="24"/>
          <w:lang w:eastAsia="en-US"/>
        </w:rPr>
        <w:t>BCA would also like to raise awareness of the need for additional federal government funding for eye care</w:t>
      </w:r>
      <w:r w:rsidR="00E747D8">
        <w:rPr>
          <w:rFonts w:eastAsiaTheme="minorHAnsi"/>
          <w:szCs w:val="24"/>
          <w:lang w:eastAsia="en-US"/>
        </w:rPr>
        <w:t>, particularly early detection</w:t>
      </w:r>
      <w:r w:rsidR="00DA1EA4">
        <w:rPr>
          <w:rFonts w:eastAsiaTheme="minorHAnsi"/>
          <w:szCs w:val="24"/>
          <w:lang w:eastAsia="en-US"/>
        </w:rPr>
        <w:t xml:space="preserve"> </w:t>
      </w:r>
      <w:r w:rsidR="000F1A08">
        <w:rPr>
          <w:rFonts w:eastAsiaTheme="minorHAnsi"/>
          <w:szCs w:val="24"/>
          <w:lang w:eastAsia="en-US"/>
        </w:rPr>
        <w:t xml:space="preserve">and intervention </w:t>
      </w:r>
      <w:r w:rsidR="00DA1EA4">
        <w:rPr>
          <w:rFonts w:eastAsiaTheme="minorHAnsi"/>
          <w:szCs w:val="24"/>
          <w:lang w:eastAsia="en-US"/>
        </w:rPr>
        <w:t>initiatives</w:t>
      </w:r>
      <w:r w:rsidR="00BF404A" w:rsidRPr="00BF404A">
        <w:rPr>
          <w:rFonts w:eastAsiaTheme="minorHAnsi"/>
          <w:szCs w:val="24"/>
          <w:lang w:eastAsia="en-US"/>
        </w:rPr>
        <w:t>.</w:t>
      </w:r>
      <w:r>
        <w:rPr>
          <w:rFonts w:eastAsiaTheme="minorHAnsi"/>
          <w:szCs w:val="24"/>
          <w:lang w:eastAsia="en-US"/>
        </w:rPr>
        <w:t xml:space="preserve"> </w:t>
      </w:r>
      <w:r w:rsidR="006664B3">
        <w:rPr>
          <w:rFonts w:eastAsiaTheme="minorHAnsi"/>
          <w:szCs w:val="24"/>
          <w:lang w:eastAsia="en-US"/>
        </w:rPr>
        <w:t xml:space="preserve">In Australia, 90 per cent of blindness and vision loss is </w:t>
      </w:r>
      <w:r w:rsidR="0095563C">
        <w:rPr>
          <w:rFonts w:eastAsiaTheme="minorHAnsi"/>
          <w:szCs w:val="24"/>
          <w:lang w:eastAsia="en-US"/>
        </w:rPr>
        <w:t xml:space="preserve">preventable or treatable if detected early enough. </w:t>
      </w:r>
      <w:r w:rsidR="009228EF">
        <w:rPr>
          <w:rFonts w:eastAsiaTheme="minorHAnsi"/>
          <w:szCs w:val="24"/>
          <w:lang w:eastAsia="en-US"/>
        </w:rPr>
        <w:t>Unfortunately, many Australian</w:t>
      </w:r>
      <w:r w:rsidR="00505A26">
        <w:rPr>
          <w:rFonts w:eastAsiaTheme="minorHAnsi"/>
          <w:szCs w:val="24"/>
          <w:lang w:eastAsia="en-US"/>
        </w:rPr>
        <w:t>s</w:t>
      </w:r>
      <w:r w:rsidR="009228EF">
        <w:rPr>
          <w:rFonts w:eastAsiaTheme="minorHAnsi"/>
          <w:szCs w:val="24"/>
          <w:lang w:eastAsia="en-US"/>
        </w:rPr>
        <w:t xml:space="preserve"> continue to experience avoidable vision loss </w:t>
      </w:r>
      <w:r w:rsidR="002B4163">
        <w:rPr>
          <w:rFonts w:eastAsiaTheme="minorHAnsi"/>
          <w:szCs w:val="24"/>
          <w:lang w:eastAsia="en-US"/>
        </w:rPr>
        <w:t>due to conditions such as</w:t>
      </w:r>
      <w:r w:rsidR="00505A26">
        <w:rPr>
          <w:rFonts w:eastAsiaTheme="minorHAnsi"/>
          <w:szCs w:val="24"/>
          <w:lang w:eastAsia="en-US"/>
        </w:rPr>
        <w:t xml:space="preserve"> </w:t>
      </w:r>
      <w:r w:rsidR="00BE0CF9">
        <w:rPr>
          <w:rFonts w:eastAsiaTheme="minorHAnsi"/>
          <w:szCs w:val="24"/>
          <w:lang w:eastAsia="en-US"/>
        </w:rPr>
        <w:t xml:space="preserve">cataract and diabetes eye disease. </w:t>
      </w:r>
    </w:p>
    <w:p w14:paraId="21B4B79D" w14:textId="1CE044BE" w:rsidR="006664B3" w:rsidRPr="0068652D" w:rsidRDefault="00882D0B" w:rsidP="0068652D">
      <w:pPr>
        <w:rPr>
          <w:rFonts w:ascii="Roboto" w:eastAsia="Times New Roman" w:hAnsi="Roboto"/>
          <w:color w:val="565656"/>
          <w:sz w:val="18"/>
          <w:szCs w:val="18"/>
          <w:lang w:eastAsia="en-AU"/>
        </w:rPr>
      </w:pPr>
      <w:r>
        <w:rPr>
          <w:rFonts w:eastAsiaTheme="minorHAnsi"/>
          <w:szCs w:val="24"/>
          <w:lang w:eastAsia="en-US"/>
        </w:rPr>
        <w:t xml:space="preserve">First Nations people are disproportionately </w:t>
      </w:r>
      <w:r w:rsidR="00A06C3D">
        <w:rPr>
          <w:rFonts w:eastAsiaTheme="minorHAnsi"/>
          <w:szCs w:val="24"/>
          <w:lang w:eastAsia="en-US"/>
        </w:rPr>
        <w:t xml:space="preserve">affected, experiencing </w:t>
      </w:r>
      <w:r w:rsidR="00B12A80">
        <w:rPr>
          <w:rFonts w:eastAsiaTheme="minorHAnsi"/>
          <w:szCs w:val="24"/>
          <w:lang w:eastAsia="en-US"/>
        </w:rPr>
        <w:t xml:space="preserve">blindness and vision impairment at three times the rate of other Australians. The </w:t>
      </w:r>
      <w:r w:rsidR="00567542">
        <w:rPr>
          <w:rFonts w:eastAsiaTheme="minorHAnsi"/>
          <w:szCs w:val="24"/>
          <w:lang w:eastAsia="en-US"/>
        </w:rPr>
        <w:t xml:space="preserve">social and economic </w:t>
      </w:r>
      <w:r w:rsidR="00C50DA7">
        <w:rPr>
          <w:rFonts w:eastAsiaTheme="minorHAnsi"/>
          <w:szCs w:val="24"/>
          <w:lang w:eastAsia="en-US"/>
        </w:rPr>
        <w:t>costs are m</w:t>
      </w:r>
      <w:r w:rsidR="008724A5">
        <w:rPr>
          <w:rFonts w:eastAsiaTheme="minorHAnsi"/>
          <w:szCs w:val="24"/>
          <w:lang w:eastAsia="en-US"/>
        </w:rPr>
        <w:t>ounting</w:t>
      </w:r>
      <w:r w:rsidR="00C50DA7">
        <w:rPr>
          <w:rFonts w:eastAsiaTheme="minorHAnsi"/>
          <w:szCs w:val="24"/>
          <w:lang w:eastAsia="en-US"/>
        </w:rPr>
        <w:t xml:space="preserve">, with Vision 2020 Australia </w:t>
      </w:r>
      <w:r w:rsidR="00682425">
        <w:rPr>
          <w:rFonts w:eastAsiaTheme="minorHAnsi"/>
          <w:szCs w:val="24"/>
          <w:lang w:eastAsia="en-US"/>
        </w:rPr>
        <w:t xml:space="preserve">putting the </w:t>
      </w:r>
      <w:r w:rsidR="00AC6E03">
        <w:rPr>
          <w:rFonts w:eastAsiaTheme="minorHAnsi"/>
          <w:szCs w:val="24"/>
          <w:lang w:eastAsia="en-US"/>
        </w:rPr>
        <w:t xml:space="preserve">total </w:t>
      </w:r>
      <w:r w:rsidR="005B736B">
        <w:rPr>
          <w:rFonts w:eastAsiaTheme="minorHAnsi"/>
          <w:szCs w:val="24"/>
          <w:lang w:eastAsia="en-US"/>
        </w:rPr>
        <w:t xml:space="preserve">national </w:t>
      </w:r>
      <w:r w:rsidR="00682425">
        <w:rPr>
          <w:rFonts w:eastAsiaTheme="minorHAnsi"/>
          <w:szCs w:val="24"/>
          <w:lang w:eastAsia="en-US"/>
        </w:rPr>
        <w:t xml:space="preserve">cost of vision loss </w:t>
      </w:r>
      <w:r w:rsidR="00060916">
        <w:rPr>
          <w:rFonts w:eastAsiaTheme="minorHAnsi"/>
          <w:szCs w:val="24"/>
          <w:lang w:eastAsia="en-US"/>
        </w:rPr>
        <w:t>at $27.6 billion annually or $46,950 per person with vision loss aged over 40.</w:t>
      </w:r>
      <w:r w:rsidR="0068652D">
        <w:rPr>
          <w:rStyle w:val="EndnoteReference"/>
          <w:rFonts w:eastAsiaTheme="minorHAnsi"/>
          <w:szCs w:val="24"/>
          <w:lang w:eastAsia="en-US"/>
        </w:rPr>
        <w:endnoteReference w:id="17"/>
      </w:r>
      <w:r w:rsidR="00060916">
        <w:rPr>
          <w:rFonts w:eastAsiaTheme="minorHAnsi"/>
          <w:szCs w:val="24"/>
          <w:lang w:eastAsia="en-US"/>
        </w:rPr>
        <w:t xml:space="preserve"> </w:t>
      </w:r>
    </w:p>
    <w:p w14:paraId="5FCCF8EC" w14:textId="7CB694BA" w:rsidR="00B46431" w:rsidRDefault="00315A5E" w:rsidP="00B46431">
      <w:pPr>
        <w:rPr>
          <w:rFonts w:eastAsiaTheme="minorHAnsi"/>
          <w:szCs w:val="24"/>
          <w:lang w:eastAsia="en-US"/>
        </w:rPr>
      </w:pPr>
      <w:r>
        <w:rPr>
          <w:rFonts w:eastAsiaTheme="minorHAnsi"/>
          <w:szCs w:val="24"/>
          <w:lang w:eastAsia="en-US"/>
        </w:rPr>
        <w:lastRenderedPageBreak/>
        <w:t>According to the Australian Bureau of Statistics, approximately half of the Australian population has some vision problem that requires treatment.</w:t>
      </w:r>
      <w:r w:rsidR="006224B4" w:rsidRPr="00BF404A">
        <w:rPr>
          <w:rFonts w:eastAsiaTheme="minorHAnsi"/>
          <w:szCs w:val="24"/>
          <w:vertAlign w:val="superscript"/>
          <w:lang w:eastAsia="en-US"/>
        </w:rPr>
        <w:endnoteReference w:id="18"/>
      </w:r>
      <w:r>
        <w:rPr>
          <w:rFonts w:eastAsiaTheme="minorHAnsi"/>
          <w:szCs w:val="24"/>
          <w:lang w:eastAsia="en-US"/>
        </w:rPr>
        <w:t xml:space="preserve"> </w:t>
      </w:r>
      <w:r w:rsidR="00BF404A" w:rsidRPr="00BF404A">
        <w:rPr>
          <w:rFonts w:eastAsiaTheme="minorHAnsi"/>
          <w:szCs w:val="24"/>
          <w:lang w:eastAsia="en-US"/>
        </w:rPr>
        <w:t>Whilst most people have refractive errors (such as short- or long-sightedness, astigmatism, and presbyopia) which can be corrected with contact lenses, spectacles and/or surgery, some eye problems can be improved by optometric vision therapy.</w:t>
      </w:r>
    </w:p>
    <w:p w14:paraId="4847D409" w14:textId="77777777" w:rsidR="0033325A" w:rsidRDefault="00BF404A" w:rsidP="0033325A">
      <w:pPr>
        <w:rPr>
          <w:rFonts w:eastAsiaTheme="minorHAnsi"/>
          <w:szCs w:val="24"/>
          <w:lang w:eastAsia="en-US"/>
        </w:rPr>
      </w:pPr>
      <w:r w:rsidRPr="00BF404A">
        <w:rPr>
          <w:rFonts w:eastAsiaTheme="minorHAnsi"/>
          <w:szCs w:val="24"/>
          <w:lang w:eastAsia="en-US"/>
        </w:rPr>
        <w:t>Medicare currently provides a yearly bulk billed eye test for people over 65, and a bulk billed eye test every three years for people under 65. Not all optometrists bulk bill, however, resulting in out-of-pocket costs.</w:t>
      </w:r>
    </w:p>
    <w:p w14:paraId="6A7A44FD" w14:textId="77777777" w:rsidR="0033325A" w:rsidRDefault="00BF404A" w:rsidP="0033325A">
      <w:pPr>
        <w:rPr>
          <w:rFonts w:eastAsiaTheme="minorHAnsi"/>
          <w:szCs w:val="24"/>
          <w:lang w:eastAsia="en-US"/>
        </w:rPr>
      </w:pPr>
      <w:r w:rsidRPr="00BF404A">
        <w:rPr>
          <w:rFonts w:eastAsiaTheme="minorHAnsi"/>
          <w:szCs w:val="24"/>
          <w:lang w:eastAsia="en-US"/>
        </w:rPr>
        <w:t>Contact lenses and spectacles are not presently covered by Medicare, meaning that those who can afford to do often utilise a private health fund that includes optical benefits in order to reduce vision costs.</w:t>
      </w:r>
      <w:r w:rsidR="0033325A">
        <w:rPr>
          <w:rFonts w:eastAsiaTheme="minorHAnsi"/>
          <w:szCs w:val="24"/>
          <w:lang w:eastAsia="en-US"/>
        </w:rPr>
        <w:t xml:space="preserve"> </w:t>
      </w:r>
      <w:r w:rsidRPr="00BF404A">
        <w:rPr>
          <w:rFonts w:eastAsiaTheme="minorHAnsi"/>
          <w:szCs w:val="24"/>
          <w:lang w:eastAsia="en-US"/>
        </w:rPr>
        <w:t>There are narrow state- and territory-based subsidies and concessions to cover some of the costs of basic spectacle frames and lenses for pensioners and/or financially disadvantaged residents.</w:t>
      </w:r>
      <w:r w:rsidRPr="00BF404A">
        <w:rPr>
          <w:rFonts w:eastAsiaTheme="minorHAnsi"/>
          <w:szCs w:val="24"/>
          <w:vertAlign w:val="superscript"/>
          <w:lang w:eastAsia="en-US"/>
        </w:rPr>
        <w:endnoteReference w:id="19"/>
      </w:r>
    </w:p>
    <w:p w14:paraId="0DDAEAA5" w14:textId="77777777" w:rsidR="0033325A" w:rsidRDefault="00BF404A" w:rsidP="0033325A">
      <w:pPr>
        <w:rPr>
          <w:rFonts w:eastAsiaTheme="minorHAnsi"/>
          <w:szCs w:val="24"/>
          <w:lang w:eastAsia="en-US"/>
        </w:rPr>
      </w:pPr>
      <w:r w:rsidRPr="00BF404A">
        <w:rPr>
          <w:rFonts w:eastAsiaTheme="minorHAnsi"/>
          <w:szCs w:val="24"/>
          <w:lang w:eastAsia="en-US"/>
        </w:rPr>
        <w:t xml:space="preserve">Optometric vision therapy programs – which treat conditions such as </w:t>
      </w:r>
      <w:r w:rsidRPr="00BF404A">
        <w:rPr>
          <w:rFonts w:eastAsia="Times New Roman"/>
          <w:szCs w:val="24"/>
          <w:lang w:eastAsia="en-AU"/>
        </w:rPr>
        <w:t>amblyopia (lazy eye), eye alignment and coordination problems (including turned eyes or squints), poor focus, inadequate eye-hand coordination, and the visual effects of acquired brain injuries – are not covered by Medicare or private health insurance.</w:t>
      </w:r>
    </w:p>
    <w:p w14:paraId="15FBD447" w14:textId="3B4B73C6" w:rsidR="00076467" w:rsidRDefault="00BF404A" w:rsidP="00076467">
      <w:pPr>
        <w:rPr>
          <w:rFonts w:eastAsiaTheme="minorHAnsi"/>
          <w:szCs w:val="24"/>
          <w:lang w:eastAsia="en-US"/>
        </w:rPr>
      </w:pPr>
      <w:r w:rsidRPr="00BF404A">
        <w:rPr>
          <w:rFonts w:eastAsiaTheme="minorHAnsi"/>
          <w:szCs w:val="24"/>
          <w:lang w:eastAsia="en-US"/>
        </w:rPr>
        <w:t xml:space="preserve">Vision therapy is particularly beneficial for children and young adults, and can markedly improve focusing, handwriting and reading comprehension and potentially </w:t>
      </w:r>
      <w:r w:rsidR="0092393C">
        <w:rPr>
          <w:rFonts w:eastAsiaTheme="minorHAnsi"/>
          <w:szCs w:val="24"/>
          <w:lang w:eastAsia="en-US"/>
        </w:rPr>
        <w:t xml:space="preserve">forestall </w:t>
      </w:r>
      <w:r w:rsidRPr="00BF404A">
        <w:rPr>
          <w:rFonts w:eastAsiaTheme="minorHAnsi"/>
          <w:szCs w:val="24"/>
          <w:lang w:eastAsia="en-US"/>
        </w:rPr>
        <w:t>costly surgical interventions at a later date.</w:t>
      </w:r>
    </w:p>
    <w:p w14:paraId="77F6C884" w14:textId="56548813" w:rsidR="00BF404A" w:rsidRPr="00BF404A" w:rsidRDefault="00BF404A" w:rsidP="00076467">
      <w:pPr>
        <w:rPr>
          <w:rFonts w:eastAsiaTheme="minorHAnsi"/>
          <w:szCs w:val="24"/>
          <w:lang w:eastAsia="en-US"/>
        </w:rPr>
      </w:pPr>
      <w:r w:rsidRPr="00BF404A">
        <w:rPr>
          <w:rFonts w:eastAsiaTheme="minorHAnsi"/>
          <w:szCs w:val="24"/>
          <w:lang w:eastAsia="en-US"/>
        </w:rPr>
        <w:t>Increased funding for eye care, especially for early interventions, would make Australia a healthier and more equitable nation.</w:t>
      </w:r>
      <w:r w:rsidR="00076467">
        <w:rPr>
          <w:rFonts w:eastAsiaTheme="minorHAnsi"/>
          <w:szCs w:val="24"/>
          <w:lang w:eastAsia="en-US"/>
        </w:rPr>
        <w:t xml:space="preserve"> </w:t>
      </w:r>
      <w:r w:rsidRPr="00BF404A">
        <w:rPr>
          <w:rFonts w:eastAsiaTheme="minorHAnsi"/>
          <w:szCs w:val="24"/>
          <w:lang w:eastAsia="en-US"/>
        </w:rPr>
        <w:t xml:space="preserve">It could also reduce eye care costs in the long </w:t>
      </w:r>
      <w:proofErr w:type="gramStart"/>
      <w:r w:rsidRPr="00BF404A">
        <w:rPr>
          <w:rFonts w:eastAsiaTheme="minorHAnsi"/>
          <w:szCs w:val="24"/>
          <w:lang w:eastAsia="en-US"/>
        </w:rPr>
        <w:t>term, and</w:t>
      </w:r>
      <w:proofErr w:type="gramEnd"/>
      <w:r w:rsidRPr="00BF404A">
        <w:rPr>
          <w:rFonts w:eastAsiaTheme="minorHAnsi"/>
          <w:szCs w:val="24"/>
          <w:lang w:eastAsia="en-US"/>
        </w:rPr>
        <w:t xml:space="preserve"> allow ophthalmological experts to focus their efforts on creating innovative new treatments rather than perform surgeries on people who could have otherwise avoided them.  </w:t>
      </w:r>
    </w:p>
    <w:p w14:paraId="5D4AF50B" w14:textId="72192464" w:rsidR="00076467" w:rsidRDefault="00157DF9" w:rsidP="006A0B25">
      <w:pPr>
        <w:ind w:left="360"/>
        <w:rPr>
          <w:b/>
          <w:bCs/>
        </w:rPr>
      </w:pPr>
      <w:bookmarkStart w:id="39" w:name="_Hlk126074521"/>
      <w:r w:rsidRPr="00502A5D">
        <w:rPr>
          <w:b/>
          <w:bCs/>
        </w:rPr>
        <w:t>Recommendations:</w:t>
      </w:r>
      <w:bookmarkEnd w:id="36"/>
    </w:p>
    <w:p w14:paraId="652CE0D7" w14:textId="7F8025E9" w:rsidR="000465C9" w:rsidRDefault="000465C9" w:rsidP="000465C9">
      <w:pPr>
        <w:pStyle w:val="ListParagraph"/>
      </w:pPr>
      <w:bookmarkStart w:id="40" w:name="_Hlk126598463"/>
      <w:bookmarkEnd w:id="39"/>
      <w:r>
        <w:t>In</w:t>
      </w:r>
      <w:r w:rsidR="00980503">
        <w:t xml:space="preserve">clude AT as </w:t>
      </w:r>
      <w:r w:rsidR="002237A5">
        <w:t xml:space="preserve">one of the supports and services in its own </w:t>
      </w:r>
      <w:proofErr w:type="gramStart"/>
      <w:r w:rsidR="002237A5">
        <w:t>right</w:t>
      </w:r>
      <w:bookmarkEnd w:id="40"/>
      <w:r w:rsidR="002237A5">
        <w:t>, and</w:t>
      </w:r>
      <w:proofErr w:type="gramEnd"/>
      <w:r w:rsidR="002237A5">
        <w:t xml:space="preserve"> in</w:t>
      </w:r>
      <w:r>
        <w:t xml:space="preserve">corporate the full range of blindness-specific services and the numerous aids, equipment and technologies available to people who are blind or vision impaired. </w:t>
      </w:r>
    </w:p>
    <w:p w14:paraId="05BA87C1" w14:textId="77777777" w:rsidR="000465C9" w:rsidRDefault="000465C9" w:rsidP="000465C9">
      <w:pPr>
        <w:pStyle w:val="ListParagraph"/>
      </w:pPr>
      <w:r>
        <w:t xml:space="preserve">Rectify the structural deficiencies that have led to an underutilisation of NDIS supports.  Provide more flexible support for people who are blind or vision impaired, including those with episodic needs and those with degenerative conditions. </w:t>
      </w:r>
    </w:p>
    <w:p w14:paraId="2ED0E3F5" w14:textId="62CCC790" w:rsidR="000465C9" w:rsidRPr="00502A5D" w:rsidRDefault="000465C9" w:rsidP="000465C9">
      <w:pPr>
        <w:pStyle w:val="ListParagraph"/>
      </w:pPr>
      <w:r>
        <w:lastRenderedPageBreak/>
        <w:t>Consider the many benefits, especially for children</w:t>
      </w:r>
      <w:r w:rsidR="007D58E6">
        <w:t xml:space="preserve">, </w:t>
      </w:r>
      <w:r>
        <w:t>young adults</w:t>
      </w:r>
      <w:r w:rsidR="007D58E6">
        <w:t xml:space="preserve"> and First Nations people</w:t>
      </w:r>
      <w:r>
        <w:t>, of additional federal government funding for eye care.</w:t>
      </w:r>
    </w:p>
    <w:p w14:paraId="79925A2D" w14:textId="50A67380" w:rsidR="00F31950" w:rsidRDefault="00F31950" w:rsidP="001A23AB">
      <w:pPr>
        <w:pStyle w:val="Heading3"/>
      </w:pPr>
      <w:bookmarkStart w:id="41" w:name="_Toc126862917"/>
      <w:r>
        <w:t>3.7</w:t>
      </w:r>
      <w:r w:rsidR="00157DF9">
        <w:t xml:space="preserve"> – Question 7 </w:t>
      </w:r>
      <w:r w:rsidR="001D5FFD">
        <w:t>–</w:t>
      </w:r>
      <w:r w:rsidR="00157DF9">
        <w:t xml:space="preserve"> </w:t>
      </w:r>
      <w:r w:rsidR="001F58D0">
        <w:t xml:space="preserve">Do you consider it necessary to retain separate provisions for employment services and rehabilitation </w:t>
      </w:r>
      <w:r w:rsidR="001D5FFD">
        <w:t>employment program, or could they be combined?</w:t>
      </w:r>
      <w:bookmarkEnd w:id="41"/>
      <w:r w:rsidR="001D5FFD">
        <w:t xml:space="preserve"> </w:t>
      </w:r>
    </w:p>
    <w:p w14:paraId="7B840B57" w14:textId="40F59AAC" w:rsidR="00F678EB" w:rsidRDefault="002A3CE6" w:rsidP="00EA0BA4">
      <w:pPr>
        <w:rPr>
          <w:rFonts w:eastAsiaTheme="minorHAnsi"/>
          <w:szCs w:val="24"/>
          <w:lang w:eastAsia="en-US"/>
        </w:rPr>
      </w:pPr>
      <w:r>
        <w:rPr>
          <w:rFonts w:eastAsia="MS Gothic" w:cs="Times New Roman"/>
          <w:bCs/>
          <w:iCs/>
          <w:color w:val="4F2260"/>
          <w:sz w:val="28"/>
          <w:szCs w:val="24"/>
        </w:rPr>
        <w:t>D</w:t>
      </w:r>
      <w:r w:rsidR="003761E3">
        <w:rPr>
          <w:rFonts w:eastAsia="MS Gothic" w:cs="Times New Roman"/>
          <w:bCs/>
          <w:iCs/>
          <w:color w:val="4F2260"/>
          <w:sz w:val="28"/>
          <w:szCs w:val="24"/>
        </w:rPr>
        <w:t>isability Employment Services Reform</w:t>
      </w:r>
      <w:r>
        <w:rPr>
          <w:rFonts w:eastAsiaTheme="minorHAnsi"/>
          <w:szCs w:val="24"/>
          <w:lang w:eastAsia="en-US"/>
        </w:rPr>
        <w:br/>
      </w:r>
      <w:r w:rsidR="0066777A">
        <w:rPr>
          <w:rFonts w:eastAsiaTheme="minorHAnsi"/>
          <w:szCs w:val="24"/>
          <w:lang w:eastAsia="en-US"/>
        </w:rPr>
        <w:t>In a seminar facilitated by the D</w:t>
      </w:r>
      <w:r w:rsidR="00244788">
        <w:rPr>
          <w:rFonts w:eastAsiaTheme="minorHAnsi"/>
          <w:szCs w:val="24"/>
          <w:lang w:eastAsia="en-US"/>
        </w:rPr>
        <w:t>SS</w:t>
      </w:r>
      <w:r w:rsidR="00740122">
        <w:rPr>
          <w:rFonts w:eastAsiaTheme="minorHAnsi"/>
          <w:szCs w:val="24"/>
          <w:lang w:eastAsia="en-US"/>
        </w:rPr>
        <w:t xml:space="preserve">, it was explained that </w:t>
      </w:r>
      <w:r w:rsidR="00440C44">
        <w:rPr>
          <w:rFonts w:eastAsiaTheme="minorHAnsi"/>
          <w:szCs w:val="24"/>
          <w:lang w:eastAsia="en-US"/>
        </w:rPr>
        <w:t xml:space="preserve">Disability </w:t>
      </w:r>
      <w:r w:rsidR="00F678EB">
        <w:rPr>
          <w:rFonts w:eastAsiaTheme="minorHAnsi"/>
          <w:szCs w:val="24"/>
          <w:lang w:eastAsia="en-US"/>
        </w:rPr>
        <w:t xml:space="preserve">Employment Services (DES) reform is a separate piece of policy reform that will occur at a later date. </w:t>
      </w:r>
      <w:r w:rsidR="005B0525">
        <w:rPr>
          <w:rFonts w:eastAsiaTheme="minorHAnsi"/>
          <w:szCs w:val="24"/>
          <w:lang w:eastAsia="en-US"/>
        </w:rPr>
        <w:t>The new Act merely seeks to accommodate</w:t>
      </w:r>
      <w:r w:rsidR="00D52A4B">
        <w:rPr>
          <w:rFonts w:eastAsiaTheme="minorHAnsi"/>
          <w:szCs w:val="24"/>
          <w:lang w:eastAsia="en-US"/>
        </w:rPr>
        <w:t xml:space="preserve"> future reform. </w:t>
      </w:r>
    </w:p>
    <w:p w14:paraId="0FE0C8A7" w14:textId="2694718D" w:rsidR="006234D3" w:rsidRDefault="00D52A4B" w:rsidP="00176096">
      <w:pPr>
        <w:rPr>
          <w:rFonts w:eastAsiaTheme="minorHAnsi"/>
          <w:szCs w:val="24"/>
          <w:lang w:eastAsia="en-US"/>
        </w:rPr>
      </w:pPr>
      <w:r>
        <w:rPr>
          <w:rFonts w:eastAsiaTheme="minorHAnsi"/>
          <w:szCs w:val="24"/>
          <w:lang w:eastAsia="en-US"/>
        </w:rPr>
        <w:t xml:space="preserve">BCA believes DES reform is </w:t>
      </w:r>
      <w:r w:rsidR="00397097">
        <w:rPr>
          <w:rFonts w:eastAsiaTheme="minorHAnsi"/>
          <w:szCs w:val="24"/>
          <w:lang w:eastAsia="en-US"/>
        </w:rPr>
        <w:t xml:space="preserve">much needed </w:t>
      </w:r>
      <w:r>
        <w:rPr>
          <w:rFonts w:eastAsiaTheme="minorHAnsi"/>
          <w:szCs w:val="24"/>
          <w:lang w:eastAsia="en-US"/>
        </w:rPr>
        <w:t>for people</w:t>
      </w:r>
      <w:r w:rsidR="00397097">
        <w:rPr>
          <w:rFonts w:eastAsiaTheme="minorHAnsi"/>
          <w:szCs w:val="24"/>
          <w:lang w:eastAsia="en-US"/>
        </w:rPr>
        <w:t xml:space="preserve"> who are blind or vision impaired. </w:t>
      </w:r>
      <w:r w:rsidR="00EA0BA4" w:rsidRPr="00EA0BA4">
        <w:rPr>
          <w:rFonts w:eastAsiaTheme="minorHAnsi"/>
          <w:szCs w:val="24"/>
          <w:lang w:eastAsia="en-US"/>
        </w:rPr>
        <w:t xml:space="preserve">There is currently only one organisation in Australia that is both a blindness service provider and a Disability Employment Services (DES) provider. Many other DES providers have little understanding of how to best support a person who is blind or vision impaired, and so most people are </w:t>
      </w:r>
      <w:r w:rsidR="00417C6E">
        <w:rPr>
          <w:rFonts w:eastAsiaTheme="minorHAnsi"/>
          <w:szCs w:val="24"/>
          <w:lang w:eastAsia="en-US"/>
        </w:rPr>
        <w:t xml:space="preserve">effectively stuck with the one organisation. </w:t>
      </w:r>
      <w:r w:rsidR="008B26A9">
        <w:rPr>
          <w:rFonts w:eastAsiaTheme="minorHAnsi"/>
          <w:szCs w:val="24"/>
          <w:lang w:eastAsia="en-US"/>
        </w:rPr>
        <w:t xml:space="preserve">In order to provide people who are blind or vision impaired with genuine choice, we believe the government has a role to play </w:t>
      </w:r>
      <w:r w:rsidR="002960ED">
        <w:rPr>
          <w:rFonts w:eastAsiaTheme="minorHAnsi"/>
          <w:szCs w:val="24"/>
          <w:lang w:eastAsia="en-US"/>
        </w:rPr>
        <w:t xml:space="preserve">in creating incentives for other DES providers to receive specialist </w:t>
      </w:r>
      <w:r w:rsidR="00E91CD6">
        <w:rPr>
          <w:rFonts w:eastAsiaTheme="minorHAnsi"/>
          <w:szCs w:val="24"/>
          <w:lang w:eastAsia="en-US"/>
        </w:rPr>
        <w:t xml:space="preserve">technical training </w:t>
      </w:r>
      <w:r w:rsidR="00A62F18">
        <w:rPr>
          <w:rFonts w:eastAsiaTheme="minorHAnsi"/>
          <w:szCs w:val="24"/>
          <w:lang w:eastAsia="en-US"/>
        </w:rPr>
        <w:t xml:space="preserve">on the needs of people who are blind or vision impaired. </w:t>
      </w:r>
    </w:p>
    <w:p w14:paraId="5B2012A9" w14:textId="0FCAF411" w:rsidR="00C242C4" w:rsidRDefault="003C08AB" w:rsidP="00176096">
      <w:pPr>
        <w:rPr>
          <w:rFonts w:eastAsiaTheme="minorHAnsi"/>
          <w:szCs w:val="24"/>
          <w:lang w:eastAsia="en-US"/>
        </w:rPr>
      </w:pPr>
      <w:r>
        <w:rPr>
          <w:rFonts w:eastAsia="MS Gothic" w:cs="Times New Roman"/>
          <w:bCs/>
          <w:iCs/>
          <w:color w:val="4F2260"/>
          <w:sz w:val="28"/>
          <w:szCs w:val="24"/>
        </w:rPr>
        <w:br/>
      </w:r>
      <w:r w:rsidR="00E83A3E">
        <w:rPr>
          <w:rFonts w:eastAsia="MS Gothic" w:cs="Times New Roman"/>
          <w:bCs/>
          <w:iCs/>
          <w:color w:val="4F2260"/>
          <w:sz w:val="28"/>
          <w:szCs w:val="24"/>
        </w:rPr>
        <w:t>Separate Provision Systems for AT</w:t>
      </w:r>
      <w:r w:rsidR="0023483D">
        <w:rPr>
          <w:rFonts w:eastAsia="MS Gothic" w:cs="Times New Roman"/>
          <w:bCs/>
          <w:iCs/>
          <w:color w:val="4F2260"/>
          <w:sz w:val="28"/>
          <w:szCs w:val="24"/>
        </w:rPr>
        <w:br/>
      </w:r>
      <w:r w:rsidR="00C242C4">
        <w:rPr>
          <w:rFonts w:eastAsiaTheme="minorHAnsi"/>
          <w:szCs w:val="24"/>
          <w:lang w:eastAsia="en-US"/>
        </w:rPr>
        <w:t>As with</w:t>
      </w:r>
      <w:r w:rsidR="0023483D">
        <w:rPr>
          <w:rFonts w:eastAsiaTheme="minorHAnsi"/>
          <w:szCs w:val="24"/>
          <w:lang w:eastAsia="en-US"/>
        </w:rPr>
        <w:t xml:space="preserve"> Question 3,</w:t>
      </w:r>
      <w:r w:rsidR="006F0D82">
        <w:rPr>
          <w:rFonts w:eastAsiaTheme="minorHAnsi"/>
          <w:szCs w:val="24"/>
          <w:lang w:eastAsia="en-US"/>
        </w:rPr>
        <w:t xml:space="preserve"> there is evidence that </w:t>
      </w:r>
      <w:r w:rsidR="00867C08">
        <w:rPr>
          <w:rFonts w:eastAsiaTheme="minorHAnsi"/>
          <w:szCs w:val="24"/>
          <w:lang w:eastAsia="en-US"/>
        </w:rPr>
        <w:t xml:space="preserve">people with disability need to use their AT across many life areas (work, school, home, </w:t>
      </w:r>
      <w:r w:rsidR="00890D19">
        <w:rPr>
          <w:rFonts w:eastAsiaTheme="minorHAnsi"/>
          <w:szCs w:val="24"/>
          <w:lang w:eastAsia="en-US"/>
        </w:rPr>
        <w:t>travel, leisure etc.</w:t>
      </w:r>
      <w:r w:rsidR="00867C08">
        <w:rPr>
          <w:rFonts w:eastAsiaTheme="minorHAnsi"/>
          <w:szCs w:val="24"/>
          <w:lang w:eastAsia="en-US"/>
        </w:rPr>
        <w:t>)</w:t>
      </w:r>
      <w:r w:rsidR="00890D19">
        <w:rPr>
          <w:rFonts w:eastAsiaTheme="minorHAnsi"/>
          <w:szCs w:val="24"/>
          <w:lang w:eastAsia="en-US"/>
        </w:rPr>
        <w:t xml:space="preserve"> and separated provision systems create silos and difficulties with holistic provision.</w:t>
      </w:r>
      <w:r w:rsidR="00AB1A46">
        <w:rPr>
          <w:rFonts w:eastAsiaTheme="minorHAnsi"/>
          <w:szCs w:val="24"/>
          <w:lang w:eastAsia="en-US"/>
        </w:rPr>
        <w:t xml:space="preserve"> Again, the be</w:t>
      </w:r>
      <w:r w:rsidR="00AB1A46">
        <w:rPr>
          <w:rFonts w:eastAsia="Times New Roman"/>
          <w:szCs w:val="24"/>
          <w:lang w:eastAsia="en-AU"/>
        </w:rPr>
        <w:t>st way to remove the inequities for people with disability who are ineligible for the NDIS is through the establishment of a harmonised, nationally consistent AT/HM program</w:t>
      </w:r>
      <w:r w:rsidR="004D7B39">
        <w:rPr>
          <w:rFonts w:eastAsia="Times New Roman"/>
          <w:szCs w:val="24"/>
          <w:lang w:eastAsia="en-AU"/>
        </w:rPr>
        <w:t xml:space="preserve"> (see Recommendation 8)</w:t>
      </w:r>
      <w:r w:rsidR="00AB1A46">
        <w:rPr>
          <w:rFonts w:eastAsia="Times New Roman"/>
          <w:szCs w:val="24"/>
          <w:lang w:eastAsia="en-AU"/>
        </w:rPr>
        <w:t xml:space="preserve">.   </w:t>
      </w:r>
      <w:r w:rsidR="00890D19">
        <w:rPr>
          <w:rFonts w:eastAsiaTheme="minorHAnsi"/>
          <w:szCs w:val="24"/>
          <w:lang w:eastAsia="en-US"/>
        </w:rPr>
        <w:t xml:space="preserve">  </w:t>
      </w:r>
      <w:r w:rsidR="0023483D">
        <w:rPr>
          <w:rFonts w:eastAsiaTheme="minorHAnsi"/>
          <w:szCs w:val="24"/>
          <w:lang w:eastAsia="en-US"/>
        </w:rPr>
        <w:t xml:space="preserve"> </w:t>
      </w:r>
    </w:p>
    <w:p w14:paraId="13B06572" w14:textId="5FA4039B" w:rsidR="001E7F0F" w:rsidRDefault="00176096" w:rsidP="001E7F0F">
      <w:pPr>
        <w:ind w:left="360"/>
        <w:rPr>
          <w:b/>
          <w:bCs/>
        </w:rPr>
      </w:pPr>
      <w:r w:rsidRPr="00502A5D">
        <w:rPr>
          <w:b/>
          <w:bCs/>
        </w:rPr>
        <w:t>Recommendations</w:t>
      </w:r>
      <w:r w:rsidR="00572110">
        <w:rPr>
          <w:b/>
          <w:bCs/>
        </w:rPr>
        <w:t>:</w:t>
      </w:r>
    </w:p>
    <w:p w14:paraId="6205FD62" w14:textId="775BF89D" w:rsidR="00881EE4" w:rsidRPr="001E7F0F" w:rsidRDefault="00FA523C" w:rsidP="00B364E6">
      <w:pPr>
        <w:pStyle w:val="ListParagraph"/>
        <w:rPr>
          <w:b/>
          <w:bCs/>
        </w:rPr>
      </w:pPr>
      <w:bookmarkStart w:id="42" w:name="_Hlk126770716"/>
      <w:r>
        <w:t xml:space="preserve">Create incentive for </w:t>
      </w:r>
      <w:r w:rsidR="00881EE4" w:rsidRPr="00EA0BA4">
        <w:t xml:space="preserve">staff at other DES providers to receive specialist technical training, or have ready access to information, about the needs of people who are blind or vision impaired.  </w:t>
      </w:r>
    </w:p>
    <w:p w14:paraId="4B81121A" w14:textId="503C3184" w:rsidR="00F31950" w:rsidRPr="00FA67C4" w:rsidRDefault="00F31950" w:rsidP="00222BA3">
      <w:pPr>
        <w:pStyle w:val="Heading2"/>
      </w:pPr>
      <w:bookmarkStart w:id="43" w:name="_Toc126862918"/>
      <w:bookmarkEnd w:id="42"/>
      <w:r>
        <w:lastRenderedPageBreak/>
        <w:t xml:space="preserve">4. </w:t>
      </w:r>
      <w:r w:rsidR="00983587">
        <w:t xml:space="preserve">Summary of </w:t>
      </w:r>
      <w:r>
        <w:t>Recommendations</w:t>
      </w:r>
      <w:bookmarkEnd w:id="43"/>
    </w:p>
    <w:p w14:paraId="31A04949" w14:textId="316EFA2C" w:rsidR="00F31950" w:rsidRDefault="00F31950" w:rsidP="001A23AB">
      <w:r>
        <w:t xml:space="preserve">BCA </w:t>
      </w:r>
      <w:r w:rsidR="002A1883">
        <w:t xml:space="preserve">strongly recommends </w:t>
      </w:r>
      <w:r w:rsidR="00301773">
        <w:t xml:space="preserve">the </w:t>
      </w:r>
      <w:r w:rsidR="00BD6F07">
        <w:t xml:space="preserve">following actions: </w:t>
      </w:r>
      <w:r>
        <w:t xml:space="preserve"> </w:t>
      </w:r>
    </w:p>
    <w:p w14:paraId="56A59265" w14:textId="77777777" w:rsidR="00EF0AB7" w:rsidRPr="00EF0AB7" w:rsidRDefault="00EF12F6" w:rsidP="007813FC">
      <w:pPr>
        <w:pStyle w:val="ListParagraph"/>
        <w:numPr>
          <w:ilvl w:val="0"/>
          <w:numId w:val="23"/>
        </w:numPr>
        <w:rPr>
          <w:rFonts w:eastAsia="Times New Roman"/>
          <w:lang w:eastAsia="en-AU"/>
        </w:rPr>
      </w:pPr>
      <w:bookmarkStart w:id="44" w:name="_Hlk126252185"/>
      <w:r>
        <w:t xml:space="preserve">Include the </w:t>
      </w:r>
      <w:r w:rsidR="00BD0960">
        <w:t>proposed objects in the new Act.</w:t>
      </w:r>
    </w:p>
    <w:p w14:paraId="20F3F834" w14:textId="428EF7AC" w:rsidR="004C1635" w:rsidRPr="00EF0AB7" w:rsidRDefault="007813FC" w:rsidP="00EF0AB7">
      <w:pPr>
        <w:pStyle w:val="ListParagraph"/>
        <w:numPr>
          <w:ilvl w:val="0"/>
          <w:numId w:val="23"/>
        </w:numPr>
        <w:rPr>
          <w:rFonts w:eastAsia="Times New Roman"/>
          <w:lang w:eastAsia="en-AU"/>
        </w:rPr>
      </w:pPr>
      <w:r w:rsidRPr="007813FC">
        <w:rPr>
          <w:rFonts w:eastAsia="Times New Roman"/>
          <w:lang w:eastAsia="en-AU"/>
        </w:rPr>
        <w:t xml:space="preserve">Specifically mention </w:t>
      </w:r>
      <w:r w:rsidR="00477281">
        <w:rPr>
          <w:rFonts w:eastAsia="Times New Roman"/>
          <w:lang w:eastAsia="en-AU"/>
        </w:rPr>
        <w:t>assistive technology (</w:t>
      </w:r>
      <w:r w:rsidRPr="007813FC">
        <w:rPr>
          <w:rFonts w:eastAsia="Times New Roman"/>
          <w:lang w:eastAsia="en-AU"/>
        </w:rPr>
        <w:t>AT</w:t>
      </w:r>
      <w:r w:rsidR="00477281">
        <w:rPr>
          <w:rFonts w:eastAsia="Times New Roman"/>
          <w:lang w:eastAsia="en-AU"/>
        </w:rPr>
        <w:t>)</w:t>
      </w:r>
      <w:r w:rsidRPr="007813FC">
        <w:rPr>
          <w:rFonts w:eastAsia="Times New Roman"/>
          <w:lang w:eastAsia="en-AU"/>
        </w:rPr>
        <w:t xml:space="preserve"> as an enabler of each and every one of the proposed objects.</w:t>
      </w:r>
    </w:p>
    <w:p w14:paraId="666E7E98" w14:textId="66E4D472" w:rsidR="008E1645" w:rsidRPr="004C1635" w:rsidRDefault="008E1645" w:rsidP="008E1645">
      <w:pPr>
        <w:pStyle w:val="ListParagraph"/>
        <w:numPr>
          <w:ilvl w:val="0"/>
          <w:numId w:val="23"/>
        </w:numPr>
      </w:pPr>
      <w:r>
        <w:t xml:space="preserve">Recognise that </w:t>
      </w:r>
      <w:r w:rsidR="00D6119D">
        <w:t>AT</w:t>
      </w:r>
      <w:r>
        <w:t xml:space="preserve"> is instrumental in addressing each of the four barriers to full and effective participation in society. </w:t>
      </w:r>
    </w:p>
    <w:p w14:paraId="73F08A05" w14:textId="5F2F6E2B" w:rsidR="00197553" w:rsidRDefault="00B85A82" w:rsidP="00B364E6">
      <w:pPr>
        <w:pStyle w:val="ListParagraph"/>
        <w:numPr>
          <w:ilvl w:val="0"/>
          <w:numId w:val="23"/>
        </w:numPr>
      </w:pPr>
      <w:r>
        <w:t xml:space="preserve">Use </w:t>
      </w:r>
      <w:r w:rsidR="00884D36">
        <w:t>inclusive and contemporary language when describing people with disability</w:t>
      </w:r>
      <w:r>
        <w:t xml:space="preserve"> in the new Act.</w:t>
      </w:r>
    </w:p>
    <w:bookmarkEnd w:id="44"/>
    <w:p w14:paraId="199B410B" w14:textId="446D7D7C" w:rsidR="003202F4" w:rsidRDefault="003202F4" w:rsidP="003202F4">
      <w:pPr>
        <w:pStyle w:val="ListParagraph"/>
        <w:numPr>
          <w:ilvl w:val="0"/>
          <w:numId w:val="23"/>
        </w:numPr>
      </w:pPr>
      <w:r>
        <w:t>Follow the examples set by New South Wales, South Australia and Victoria in naming the new legislation the ‘Disability Rights and Inclusion Act’ rather than the ‘Disability Services Act’.</w:t>
      </w:r>
    </w:p>
    <w:p w14:paraId="0ADEA0F4" w14:textId="758A3B19" w:rsidR="00197553" w:rsidRDefault="00D32391" w:rsidP="00B364E6">
      <w:pPr>
        <w:pStyle w:val="ListParagraph"/>
        <w:numPr>
          <w:ilvl w:val="0"/>
          <w:numId w:val="23"/>
        </w:numPr>
      </w:pPr>
      <w:r>
        <w:t>S</w:t>
      </w:r>
      <w:r w:rsidR="00B8760F">
        <w:t xml:space="preserve">pecifically recognise people with </w:t>
      </w:r>
      <w:r w:rsidR="00FD7F02">
        <w:t xml:space="preserve">identities or characteristics who may experience multiple forms of disadvantage and discrimination. </w:t>
      </w:r>
    </w:p>
    <w:p w14:paraId="208AC075" w14:textId="14571D5B" w:rsidR="00197553" w:rsidRDefault="00014261" w:rsidP="00B364E6">
      <w:pPr>
        <w:pStyle w:val="ListParagraph"/>
        <w:numPr>
          <w:ilvl w:val="0"/>
          <w:numId w:val="23"/>
        </w:numPr>
      </w:pPr>
      <w:r>
        <w:t xml:space="preserve">Recognise the </w:t>
      </w:r>
      <w:r w:rsidR="00910A88">
        <w:t>broad spectrum of visual disability</w:t>
      </w:r>
      <w:r>
        <w:t xml:space="preserve"> by providing </w:t>
      </w:r>
      <w:r w:rsidR="006D1C5F">
        <w:t xml:space="preserve">much-needed services and supports </w:t>
      </w:r>
      <w:r w:rsidR="007D605F">
        <w:t>to</w:t>
      </w:r>
      <w:r w:rsidR="006D1C5F">
        <w:t xml:space="preserve"> </w:t>
      </w:r>
      <w:r w:rsidR="006D1C5F" w:rsidRPr="006D1C5F">
        <w:rPr>
          <w:b/>
          <w:bCs/>
        </w:rPr>
        <w:t>all</w:t>
      </w:r>
      <w:r w:rsidR="006D1C5F">
        <w:t xml:space="preserve"> Australians who are blind or vision impaired and not included in the NDIS.</w:t>
      </w:r>
    </w:p>
    <w:p w14:paraId="581BCBA5" w14:textId="77777777" w:rsidR="00B439D0" w:rsidRDefault="003E1289" w:rsidP="00B439D0">
      <w:pPr>
        <w:pStyle w:val="ListParagraph"/>
        <w:numPr>
          <w:ilvl w:val="0"/>
          <w:numId w:val="23"/>
        </w:numPr>
      </w:pPr>
      <w:r>
        <w:t xml:space="preserve">Establish a harmonised, nationally consistent </w:t>
      </w:r>
      <w:r w:rsidR="002249B2">
        <w:t>assistive technology/home modifications (</w:t>
      </w:r>
      <w:r>
        <w:t>AT/HM</w:t>
      </w:r>
      <w:r w:rsidR="002249B2">
        <w:t>)</w:t>
      </w:r>
      <w:r>
        <w:t xml:space="preserve"> program to meet the needs of people with disability who are ineligible for the NDIS</w:t>
      </w:r>
      <w:r w:rsidR="00191C1B">
        <w:t>.</w:t>
      </w:r>
    </w:p>
    <w:p w14:paraId="28626E21" w14:textId="282E7A30" w:rsidR="00301821" w:rsidRDefault="00301821" w:rsidP="00301821">
      <w:pPr>
        <w:pStyle w:val="ListParagraph"/>
        <w:numPr>
          <w:ilvl w:val="0"/>
          <w:numId w:val="23"/>
        </w:numPr>
      </w:pPr>
      <w:r>
        <w:t xml:space="preserve">Ground the new Act in </w:t>
      </w:r>
      <w:r w:rsidRPr="00502A5D">
        <w:t>the social model of disability and the human rights model of disability</w:t>
      </w:r>
      <w:r>
        <w:t>.</w:t>
      </w:r>
    </w:p>
    <w:p w14:paraId="60C2D4FA" w14:textId="0D76FA06" w:rsidR="00333781" w:rsidRDefault="00B439D0" w:rsidP="00B439D0">
      <w:pPr>
        <w:pStyle w:val="ListParagraph"/>
        <w:numPr>
          <w:ilvl w:val="0"/>
          <w:numId w:val="23"/>
        </w:numPr>
      </w:pPr>
      <w:r>
        <w:t xml:space="preserve">Consider the progressive visual impairment of people with degenerative conditions when defining disability to ensure access to appropriate supports and services as they lose their vision.  </w:t>
      </w:r>
    </w:p>
    <w:p w14:paraId="186ECB47" w14:textId="499B1245" w:rsidR="00197553" w:rsidRDefault="00C83D2D" w:rsidP="00B364E6">
      <w:pPr>
        <w:pStyle w:val="ListParagraph"/>
        <w:numPr>
          <w:ilvl w:val="0"/>
          <w:numId w:val="23"/>
        </w:numPr>
      </w:pPr>
      <w:bookmarkStart w:id="45" w:name="_Hlk126255770"/>
      <w:r>
        <w:t>Include p</w:t>
      </w:r>
      <w:r w:rsidR="009772E9">
        <w:t xml:space="preserve">rovisions for a new independent regulator to ensure service quality and investigate noncompliance. </w:t>
      </w:r>
    </w:p>
    <w:p w14:paraId="6A2AA2AE" w14:textId="19DEBC49" w:rsidR="00197553" w:rsidRDefault="002237A5" w:rsidP="00B364E6">
      <w:pPr>
        <w:pStyle w:val="ListParagraph"/>
        <w:numPr>
          <w:ilvl w:val="0"/>
          <w:numId w:val="23"/>
        </w:numPr>
      </w:pPr>
      <w:bookmarkStart w:id="46" w:name="_Hlk126255882"/>
      <w:bookmarkEnd w:id="45"/>
      <w:r>
        <w:t xml:space="preserve">Include AT as one of the supports and services in its own </w:t>
      </w:r>
      <w:proofErr w:type="gramStart"/>
      <w:r>
        <w:t>right, and</w:t>
      </w:r>
      <w:proofErr w:type="gramEnd"/>
      <w:r>
        <w:t xml:space="preserve"> i</w:t>
      </w:r>
      <w:r w:rsidR="00C83D2D">
        <w:t xml:space="preserve">ncorporate </w:t>
      </w:r>
      <w:r w:rsidR="00F155C0">
        <w:t>the full range of blindness-specific services and the numerous aids, equipment and technologies available to people who are blind o</w:t>
      </w:r>
      <w:r w:rsidR="00337B4F">
        <w:t>r</w:t>
      </w:r>
      <w:r w:rsidR="00F155C0">
        <w:t xml:space="preserve"> vision impaired. </w:t>
      </w:r>
    </w:p>
    <w:p w14:paraId="25DED54B" w14:textId="3177C318" w:rsidR="00197553" w:rsidRDefault="007B7515" w:rsidP="00B364E6">
      <w:pPr>
        <w:pStyle w:val="ListParagraph"/>
        <w:numPr>
          <w:ilvl w:val="0"/>
          <w:numId w:val="23"/>
        </w:numPr>
      </w:pPr>
      <w:r>
        <w:lastRenderedPageBreak/>
        <w:t xml:space="preserve">Rectify the </w:t>
      </w:r>
      <w:r w:rsidR="00F155C0">
        <w:t>structural deficiencies</w:t>
      </w:r>
      <w:r>
        <w:t xml:space="preserve"> that</w:t>
      </w:r>
      <w:r w:rsidR="00F155C0">
        <w:t xml:space="preserve"> have led to an underutilisation of NDIS supports</w:t>
      </w:r>
      <w:r>
        <w:t xml:space="preserve">. </w:t>
      </w:r>
      <w:r w:rsidR="00F155C0">
        <w:t xml:space="preserve"> </w:t>
      </w:r>
      <w:r w:rsidR="00521B5E">
        <w:t>P</w:t>
      </w:r>
      <w:r w:rsidR="00152202">
        <w:t xml:space="preserve">rovide more flexible support for people who are blind or vision impaired, including </w:t>
      </w:r>
      <w:r w:rsidR="008A6BF0">
        <w:t xml:space="preserve">those with episodic needs and those with degenerative conditions. </w:t>
      </w:r>
    </w:p>
    <w:p w14:paraId="40FBF617" w14:textId="670DB164" w:rsidR="00BE09EE" w:rsidRDefault="00FD5982" w:rsidP="00BE09EE">
      <w:pPr>
        <w:pStyle w:val="ListParagraph"/>
        <w:numPr>
          <w:ilvl w:val="0"/>
          <w:numId w:val="23"/>
        </w:numPr>
      </w:pPr>
      <w:r>
        <w:t xml:space="preserve">Consider the </w:t>
      </w:r>
      <w:r w:rsidR="001E5CD3">
        <w:t xml:space="preserve">many </w:t>
      </w:r>
      <w:r>
        <w:t>benefits</w:t>
      </w:r>
      <w:r w:rsidR="001E5CD3">
        <w:t>, especially for childre</w:t>
      </w:r>
      <w:r w:rsidR="007A4DC5">
        <w:t xml:space="preserve">n, </w:t>
      </w:r>
      <w:r w:rsidR="001E5CD3">
        <w:t>young adults</w:t>
      </w:r>
      <w:r w:rsidR="007A4DC5">
        <w:t xml:space="preserve"> and First Nations people</w:t>
      </w:r>
      <w:r w:rsidR="001E5CD3">
        <w:t>, of additional federal government</w:t>
      </w:r>
      <w:r w:rsidR="008A6BF0">
        <w:t xml:space="preserve"> funding for eye care</w:t>
      </w:r>
      <w:r w:rsidR="001E5CD3">
        <w:t>.</w:t>
      </w:r>
    </w:p>
    <w:p w14:paraId="010EDE24" w14:textId="2B6446C6" w:rsidR="00BE09EE" w:rsidRPr="00BE09EE" w:rsidRDefault="00BE09EE" w:rsidP="00BE09EE">
      <w:pPr>
        <w:pStyle w:val="ListParagraph"/>
        <w:numPr>
          <w:ilvl w:val="0"/>
          <w:numId w:val="23"/>
        </w:numPr>
      </w:pPr>
      <w:r>
        <w:t xml:space="preserve">Create incentive for </w:t>
      </w:r>
      <w:r w:rsidRPr="00EA0BA4">
        <w:t xml:space="preserve">staff at other DES providers to receive specialist technical training, or have ready access to information, about the needs of people who are blind or vision impaired.  </w:t>
      </w:r>
    </w:p>
    <w:bookmarkEnd w:id="46"/>
    <w:p w14:paraId="5BB785C1" w14:textId="77777777" w:rsidR="0057732D" w:rsidRDefault="0057732D" w:rsidP="0057732D"/>
    <w:sectPr w:rsidR="0057732D" w:rsidSect="00447C83">
      <w:headerReference w:type="even" r:id="rId15"/>
      <w:headerReference w:type="default" r:id="rId16"/>
      <w:footerReference w:type="even" r:id="rId17"/>
      <w:footerReference w:type="default" r:id="rId18"/>
      <w:headerReference w:type="first" r:id="rId19"/>
      <w:footerReference w:type="first" r:id="rId20"/>
      <w:footnotePr>
        <w:numStart w:val="4"/>
      </w:footnotePr>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059B" w14:textId="77777777" w:rsidR="00467BC8" w:rsidRDefault="00467BC8" w:rsidP="00F31950">
      <w:pPr>
        <w:spacing w:before="0" w:line="240" w:lineRule="auto"/>
      </w:pPr>
      <w:r>
        <w:separator/>
      </w:r>
    </w:p>
  </w:endnote>
  <w:endnote w:type="continuationSeparator" w:id="0">
    <w:p w14:paraId="1192A94E" w14:textId="77777777" w:rsidR="00467BC8" w:rsidRDefault="00467BC8" w:rsidP="00F31950">
      <w:pPr>
        <w:spacing w:before="0" w:line="240" w:lineRule="auto"/>
      </w:pPr>
      <w:r>
        <w:continuationSeparator/>
      </w:r>
    </w:p>
  </w:endnote>
  <w:endnote w:id="1">
    <w:p w14:paraId="6DDD4C7A" w14:textId="4C06BAD9" w:rsidR="00F31950" w:rsidRPr="00DC1704" w:rsidRDefault="00F31950" w:rsidP="00DE680C">
      <w:pPr>
        <w:spacing w:line="276" w:lineRule="auto"/>
        <w:rPr>
          <w:szCs w:val="24"/>
        </w:rPr>
      </w:pPr>
      <w:r w:rsidRPr="00DC1704">
        <w:rPr>
          <w:rStyle w:val="EndnoteReference"/>
          <w:szCs w:val="24"/>
        </w:rPr>
        <w:endnoteRef/>
      </w:r>
      <w:r w:rsidRPr="00DC1704">
        <w:rPr>
          <w:szCs w:val="24"/>
        </w:rPr>
        <w:t xml:space="preserve"> </w:t>
      </w:r>
      <w:r w:rsidR="007E4C07" w:rsidRPr="00DC1704">
        <w:rPr>
          <w:szCs w:val="24"/>
        </w:rPr>
        <w:t xml:space="preserve">Vision 2020 Australia, </w:t>
      </w:r>
      <w:r w:rsidR="000230D1" w:rsidRPr="00DC1704">
        <w:rPr>
          <w:szCs w:val="24"/>
        </w:rPr>
        <w:t>“</w:t>
      </w:r>
      <w:r w:rsidRPr="00DC1704">
        <w:rPr>
          <w:szCs w:val="24"/>
        </w:rPr>
        <w:t xml:space="preserve">Eye </w:t>
      </w:r>
      <w:r w:rsidR="008D0FCF" w:rsidRPr="00DC1704">
        <w:rPr>
          <w:szCs w:val="24"/>
        </w:rPr>
        <w:t>H</w:t>
      </w:r>
      <w:r w:rsidRPr="00DC1704">
        <w:rPr>
          <w:szCs w:val="24"/>
        </w:rPr>
        <w:t>ealth in Australia</w:t>
      </w:r>
      <w:r w:rsidR="000230D1" w:rsidRPr="00DC1704">
        <w:rPr>
          <w:szCs w:val="24"/>
        </w:rPr>
        <w:t xml:space="preserve">,” </w:t>
      </w:r>
      <w:r w:rsidR="008D2630" w:rsidRPr="00DC1704">
        <w:rPr>
          <w:szCs w:val="24"/>
        </w:rPr>
        <w:t xml:space="preserve">accessed </w:t>
      </w:r>
      <w:r w:rsidR="00612EE3" w:rsidRPr="00DC1704">
        <w:rPr>
          <w:szCs w:val="24"/>
        </w:rPr>
        <w:t>31 January 2023,</w:t>
      </w:r>
      <w:r w:rsidR="0011040C" w:rsidRPr="00DC1704">
        <w:rPr>
          <w:szCs w:val="24"/>
        </w:rPr>
        <w:br/>
      </w:r>
      <w:hyperlink r:id="rId1" w:history="1">
        <w:r w:rsidR="0011040C" w:rsidRPr="00DC1704">
          <w:rPr>
            <w:rStyle w:val="Hyperlink"/>
            <w:szCs w:val="24"/>
          </w:rPr>
          <w:t>http://www.visioninitiative.org.au/common-eye-conditions/eye-health-in-australia</w:t>
        </w:r>
      </w:hyperlink>
      <w:r w:rsidR="00612EE3" w:rsidRPr="00DC1704">
        <w:rPr>
          <w:rStyle w:val="Hyperlink"/>
          <w:szCs w:val="24"/>
        </w:rPr>
        <w:br/>
      </w:r>
    </w:p>
  </w:endnote>
  <w:endnote w:id="2">
    <w:p w14:paraId="79D963EA" w14:textId="3A061C2C" w:rsidR="00F31950" w:rsidRPr="00DC1704" w:rsidRDefault="00F31950" w:rsidP="00DE680C">
      <w:pPr>
        <w:pStyle w:val="EndnoteText"/>
        <w:spacing w:line="276" w:lineRule="auto"/>
        <w:rPr>
          <w:sz w:val="24"/>
          <w:szCs w:val="24"/>
        </w:rPr>
      </w:pPr>
      <w:r w:rsidRPr="00DC1704">
        <w:rPr>
          <w:rStyle w:val="EndnoteReference"/>
          <w:sz w:val="24"/>
          <w:szCs w:val="24"/>
        </w:rPr>
        <w:endnoteRef/>
      </w:r>
      <w:r w:rsidRPr="00DC1704">
        <w:rPr>
          <w:sz w:val="24"/>
          <w:szCs w:val="24"/>
        </w:rPr>
        <w:t xml:space="preserve"> </w:t>
      </w:r>
      <w:r w:rsidR="00474F96" w:rsidRPr="00DC1704">
        <w:rPr>
          <w:sz w:val="24"/>
          <w:szCs w:val="24"/>
        </w:rPr>
        <w:t xml:space="preserve">ABC News, </w:t>
      </w:r>
      <w:r w:rsidRPr="00DC1704">
        <w:rPr>
          <w:sz w:val="24"/>
          <w:szCs w:val="24"/>
        </w:rPr>
        <w:t xml:space="preserve">“Concern Millions of Australians Not on the NDIS Have Been ‘Forgotten,’” 18 May 2022, </w:t>
      </w:r>
      <w:hyperlink r:id="rId2" w:history="1">
        <w:r w:rsidR="002609FA" w:rsidRPr="00DC1704">
          <w:rPr>
            <w:rStyle w:val="Hyperlink"/>
            <w:sz w:val="24"/>
            <w:szCs w:val="24"/>
          </w:rPr>
          <w:t>https://www.abc.net.au/news/2022-05-18/australians-not-on-ndis-forgotten/101072632</w:t>
        </w:r>
      </w:hyperlink>
      <w:r w:rsidR="00F8282B" w:rsidRPr="00DC1704">
        <w:rPr>
          <w:sz w:val="24"/>
          <w:szCs w:val="24"/>
        </w:rPr>
        <w:t xml:space="preserve"> </w:t>
      </w:r>
      <w:r w:rsidRPr="00DC1704">
        <w:rPr>
          <w:sz w:val="24"/>
          <w:szCs w:val="24"/>
        </w:rPr>
        <w:br/>
      </w:r>
    </w:p>
  </w:endnote>
  <w:endnote w:id="3">
    <w:p w14:paraId="23DAF900" w14:textId="60ECE61D" w:rsidR="00F31950" w:rsidRPr="00DC1704" w:rsidRDefault="00F31950" w:rsidP="00DE680C">
      <w:pPr>
        <w:pStyle w:val="EndnoteText"/>
        <w:spacing w:line="276" w:lineRule="auto"/>
        <w:rPr>
          <w:sz w:val="24"/>
          <w:szCs w:val="24"/>
        </w:rPr>
      </w:pPr>
      <w:r w:rsidRPr="00DC1704">
        <w:rPr>
          <w:rStyle w:val="EndnoteReference"/>
          <w:sz w:val="24"/>
          <w:szCs w:val="24"/>
        </w:rPr>
        <w:endnoteRef/>
      </w:r>
      <w:r w:rsidRPr="00DC1704">
        <w:rPr>
          <w:sz w:val="24"/>
          <w:szCs w:val="24"/>
        </w:rPr>
        <w:t xml:space="preserve"> Vision 2020 Australia, “Access and Eligibility Policy with Independent Assessments: Submission to the National Disability Insurance Scheme,” National Disability Insurance Scheme, February 2021, </w:t>
      </w:r>
      <w:hyperlink r:id="rId3" w:history="1">
        <w:r w:rsidR="003C19D4" w:rsidRPr="00DC1704">
          <w:rPr>
            <w:rStyle w:val="Hyperlink"/>
            <w:sz w:val="24"/>
            <w:szCs w:val="24"/>
          </w:rPr>
          <w:t>https://www.ndis.gov.au/media/4803/download</w:t>
        </w:r>
      </w:hyperlink>
      <w:r w:rsidR="003C19D4" w:rsidRPr="00DC1704">
        <w:rPr>
          <w:sz w:val="24"/>
          <w:szCs w:val="24"/>
        </w:rPr>
        <w:t xml:space="preserve"> </w:t>
      </w:r>
      <w:r w:rsidRPr="00DC1704">
        <w:rPr>
          <w:sz w:val="24"/>
          <w:szCs w:val="24"/>
        </w:rPr>
        <w:br/>
      </w:r>
    </w:p>
  </w:endnote>
  <w:endnote w:id="4">
    <w:p w14:paraId="228F4B8B" w14:textId="3846197E" w:rsidR="00F31950" w:rsidRPr="00DC1704" w:rsidRDefault="00F31950" w:rsidP="00DE680C">
      <w:pPr>
        <w:pStyle w:val="EndnoteText"/>
        <w:spacing w:line="276" w:lineRule="auto"/>
        <w:rPr>
          <w:sz w:val="24"/>
          <w:szCs w:val="24"/>
        </w:rPr>
      </w:pPr>
      <w:r w:rsidRPr="00DC1704">
        <w:rPr>
          <w:rStyle w:val="EndnoteReference"/>
          <w:sz w:val="24"/>
          <w:szCs w:val="24"/>
        </w:rPr>
        <w:endnoteRef/>
      </w:r>
      <w:r w:rsidRPr="00DC1704">
        <w:rPr>
          <w:sz w:val="24"/>
          <w:szCs w:val="24"/>
        </w:rPr>
        <w:t xml:space="preserve"> </w:t>
      </w:r>
      <w:r w:rsidR="002609FA" w:rsidRPr="00DC1704">
        <w:rPr>
          <w:sz w:val="24"/>
          <w:szCs w:val="24"/>
        </w:rPr>
        <w:t xml:space="preserve">VisAbility WA, </w:t>
      </w:r>
      <w:r w:rsidRPr="00DC1704">
        <w:rPr>
          <w:sz w:val="24"/>
          <w:szCs w:val="24"/>
        </w:rPr>
        <w:t xml:space="preserve">“Benefits and Funding for People Who Are Legally Blind,” accessed 24 January 2023, </w:t>
      </w:r>
      <w:hyperlink r:id="rId4" w:history="1">
        <w:r w:rsidR="00F8282B" w:rsidRPr="00DC1704">
          <w:rPr>
            <w:rStyle w:val="Hyperlink"/>
            <w:sz w:val="24"/>
            <w:szCs w:val="24"/>
          </w:rPr>
          <w:t>https://www.visability.com.au/funding/</w:t>
        </w:r>
      </w:hyperlink>
      <w:r w:rsidR="00F8282B" w:rsidRPr="00DC1704">
        <w:rPr>
          <w:sz w:val="24"/>
          <w:szCs w:val="24"/>
        </w:rPr>
        <w:t xml:space="preserve"> </w:t>
      </w:r>
    </w:p>
  </w:endnote>
  <w:endnote w:id="5">
    <w:p w14:paraId="469FBCFA" w14:textId="77777777" w:rsidR="002609FA" w:rsidRPr="00DC1704" w:rsidRDefault="002609FA" w:rsidP="00DE680C">
      <w:pPr>
        <w:pStyle w:val="EndnoteText"/>
        <w:spacing w:line="276" w:lineRule="auto"/>
        <w:rPr>
          <w:sz w:val="24"/>
          <w:szCs w:val="24"/>
        </w:rPr>
      </w:pPr>
    </w:p>
    <w:p w14:paraId="009945C9" w14:textId="3E471596" w:rsidR="00B64135" w:rsidRPr="00DC1704" w:rsidRDefault="00B64135" w:rsidP="00DE680C">
      <w:pPr>
        <w:pStyle w:val="EndnoteText"/>
        <w:spacing w:line="276" w:lineRule="auto"/>
        <w:rPr>
          <w:sz w:val="24"/>
          <w:szCs w:val="24"/>
        </w:rPr>
      </w:pPr>
      <w:r w:rsidRPr="00DC1704">
        <w:rPr>
          <w:rStyle w:val="EndnoteReference"/>
          <w:sz w:val="24"/>
          <w:szCs w:val="24"/>
        </w:rPr>
        <w:endnoteRef/>
      </w:r>
      <w:r w:rsidRPr="00DC1704">
        <w:rPr>
          <w:sz w:val="24"/>
          <w:szCs w:val="24"/>
        </w:rPr>
        <w:t xml:space="preserve"> </w:t>
      </w:r>
      <w:r w:rsidR="00E27014" w:rsidRPr="00DC1704">
        <w:rPr>
          <w:sz w:val="24"/>
          <w:szCs w:val="24"/>
        </w:rPr>
        <w:t xml:space="preserve">Blind Citizens Australia, </w:t>
      </w:r>
      <w:r w:rsidRPr="00DC1704">
        <w:rPr>
          <w:sz w:val="24"/>
          <w:szCs w:val="24"/>
        </w:rPr>
        <w:t xml:space="preserve">“Blindness Service Provider Expectations Policy,” March 2019, </w:t>
      </w:r>
      <w:hyperlink r:id="rId5" w:history="1">
        <w:r w:rsidRPr="00DC1704">
          <w:rPr>
            <w:rStyle w:val="Hyperlink"/>
            <w:sz w:val="24"/>
            <w:szCs w:val="24"/>
          </w:rPr>
          <w:t>https://www.bca.org.au/wp-content/uploads/2019/07/2019-Blindness-Service-Provider-Expectations-Policy-FINAL.docx</w:t>
        </w:r>
      </w:hyperlink>
      <w:r w:rsidRPr="00DC1704">
        <w:rPr>
          <w:sz w:val="24"/>
          <w:szCs w:val="24"/>
        </w:rPr>
        <w:t xml:space="preserve"> </w:t>
      </w:r>
    </w:p>
  </w:endnote>
  <w:endnote w:id="6">
    <w:p w14:paraId="1316E9A4" w14:textId="4813F209" w:rsidR="00B64135" w:rsidRPr="00DC1704" w:rsidRDefault="00B64135" w:rsidP="00DE680C">
      <w:pPr>
        <w:pStyle w:val="EndnoteText"/>
        <w:spacing w:line="276" w:lineRule="auto"/>
        <w:rPr>
          <w:sz w:val="24"/>
          <w:szCs w:val="24"/>
        </w:rPr>
      </w:pPr>
      <w:r w:rsidRPr="00DC1704">
        <w:rPr>
          <w:sz w:val="24"/>
          <w:szCs w:val="24"/>
        </w:rPr>
        <w:br/>
      </w:r>
      <w:r w:rsidRPr="00DC1704">
        <w:rPr>
          <w:rStyle w:val="EndnoteReference"/>
          <w:sz w:val="24"/>
          <w:szCs w:val="24"/>
        </w:rPr>
        <w:endnoteRef/>
      </w:r>
      <w:r w:rsidRPr="00DC1704">
        <w:rPr>
          <w:sz w:val="24"/>
          <w:szCs w:val="24"/>
        </w:rPr>
        <w:t xml:space="preserve"> Blind Citizens Australia, “Post-Draft Report Submission on Disability Care and Support,” Productivity Commission, 29 April 2011, </w:t>
      </w:r>
      <w:hyperlink r:id="rId6" w:history="1">
        <w:r w:rsidRPr="00DC1704">
          <w:rPr>
            <w:rStyle w:val="Hyperlink"/>
            <w:sz w:val="24"/>
            <w:szCs w:val="24"/>
          </w:rPr>
          <w:t>https://www.pc.gov.au/inquiries/completed/disability-support/submissions/subdr0758.pdf</w:t>
        </w:r>
      </w:hyperlink>
      <w:r w:rsidRPr="00DC1704">
        <w:rPr>
          <w:sz w:val="24"/>
          <w:szCs w:val="24"/>
        </w:rPr>
        <w:t xml:space="preserve">  </w:t>
      </w:r>
    </w:p>
  </w:endnote>
  <w:endnote w:id="7">
    <w:p w14:paraId="375BADA1" w14:textId="2DE80DCF" w:rsidR="000B3F1A" w:rsidRPr="00DC1704" w:rsidRDefault="000B3F1A" w:rsidP="00DE680C">
      <w:pPr>
        <w:pStyle w:val="EndnoteText"/>
        <w:spacing w:line="276" w:lineRule="auto"/>
        <w:rPr>
          <w:sz w:val="24"/>
          <w:szCs w:val="24"/>
        </w:rPr>
      </w:pPr>
      <w:r w:rsidRPr="00DC1704">
        <w:rPr>
          <w:sz w:val="24"/>
          <w:szCs w:val="24"/>
        </w:rPr>
        <w:br/>
      </w:r>
      <w:r w:rsidRPr="00DC1704">
        <w:rPr>
          <w:rStyle w:val="EndnoteReference"/>
          <w:sz w:val="24"/>
          <w:szCs w:val="24"/>
        </w:rPr>
        <w:endnoteRef/>
      </w:r>
      <w:r w:rsidRPr="00DC1704">
        <w:rPr>
          <w:sz w:val="24"/>
          <w:szCs w:val="24"/>
        </w:rPr>
        <w:t xml:space="preserve"> </w:t>
      </w:r>
      <w:r w:rsidR="00264521" w:rsidRPr="00DC1704">
        <w:rPr>
          <w:sz w:val="24"/>
          <w:szCs w:val="24"/>
        </w:rPr>
        <w:t>ABC News</w:t>
      </w:r>
      <w:r w:rsidRPr="00DC1704">
        <w:rPr>
          <w:sz w:val="24"/>
          <w:szCs w:val="24"/>
        </w:rPr>
        <w:t xml:space="preserve">, “Lack of Audio Descriptions on Australian TV a Human Rights Breach, UN Committee Finds,” 2 October 2022, </w:t>
      </w:r>
      <w:hyperlink r:id="rId7" w:history="1">
        <w:r w:rsidR="00EE798D" w:rsidRPr="00DC1704">
          <w:rPr>
            <w:rStyle w:val="Hyperlink"/>
            <w:sz w:val="24"/>
            <w:szCs w:val="24"/>
          </w:rPr>
          <w:t>https://www.abc.net.au/news/2022-10-01/accessible-television-</w:t>
        </w:r>
        <w:r w:rsidR="00EE798D" w:rsidRPr="00DC1704">
          <w:rPr>
            <w:rStyle w:val="Hyperlink"/>
            <w:sz w:val="24"/>
            <w:szCs w:val="24"/>
          </w:rPr>
          <w:br/>
          <w:t>for-blind-and-vision-impaired-community/101491710</w:t>
        </w:r>
      </w:hyperlink>
      <w:r w:rsidR="000804FE" w:rsidRPr="00DC1704">
        <w:rPr>
          <w:sz w:val="24"/>
          <w:szCs w:val="24"/>
        </w:rPr>
        <w:t xml:space="preserve"> </w:t>
      </w:r>
      <w:r w:rsidRPr="00DC1704">
        <w:rPr>
          <w:sz w:val="24"/>
          <w:szCs w:val="24"/>
        </w:rPr>
        <w:t xml:space="preserve"> </w:t>
      </w:r>
    </w:p>
  </w:endnote>
  <w:endnote w:id="8">
    <w:p w14:paraId="6FA573A1" w14:textId="74C35D3C" w:rsidR="00534A74" w:rsidRPr="00DC1704" w:rsidRDefault="00534A74" w:rsidP="00DE680C">
      <w:pPr>
        <w:pStyle w:val="EndnoteText"/>
        <w:spacing w:line="276" w:lineRule="auto"/>
        <w:rPr>
          <w:sz w:val="24"/>
          <w:szCs w:val="24"/>
        </w:rPr>
      </w:pPr>
      <w:r w:rsidRPr="00DC1704">
        <w:rPr>
          <w:sz w:val="24"/>
          <w:szCs w:val="24"/>
        </w:rPr>
        <w:br/>
      </w:r>
      <w:r w:rsidRPr="00DC1704">
        <w:rPr>
          <w:rStyle w:val="EndnoteReference"/>
          <w:sz w:val="24"/>
          <w:szCs w:val="24"/>
        </w:rPr>
        <w:endnoteRef/>
      </w:r>
      <w:r w:rsidRPr="00DC1704">
        <w:rPr>
          <w:sz w:val="24"/>
          <w:szCs w:val="24"/>
        </w:rPr>
        <w:t xml:space="preserve"> </w:t>
      </w:r>
      <w:r w:rsidR="00B61DEF" w:rsidRPr="00DC1704">
        <w:rPr>
          <w:sz w:val="24"/>
          <w:szCs w:val="24"/>
        </w:rPr>
        <w:t xml:space="preserve">Blind Citizens Australia, </w:t>
      </w:r>
      <w:r w:rsidRPr="00DC1704">
        <w:rPr>
          <w:sz w:val="24"/>
          <w:szCs w:val="24"/>
        </w:rPr>
        <w:t xml:space="preserve">“Response to the Employment White Paper,” 14 December 2022, </w:t>
      </w:r>
      <w:hyperlink r:id="rId8" w:history="1">
        <w:r w:rsidR="00A03164" w:rsidRPr="00DC1704">
          <w:rPr>
            <w:rStyle w:val="Hyperlink"/>
            <w:sz w:val="24"/>
            <w:szCs w:val="24"/>
          </w:rPr>
          <w:t>https://www.bca.org.au/wp-content/uploads/2023/02/BCA-Response-to-Employment-White-Paper-v1.0-FINAL.docx</w:t>
        </w:r>
      </w:hyperlink>
      <w:r w:rsidR="00A03164" w:rsidRPr="00DC1704">
        <w:rPr>
          <w:sz w:val="24"/>
          <w:szCs w:val="24"/>
        </w:rPr>
        <w:t xml:space="preserve"> </w:t>
      </w:r>
      <w:r w:rsidR="00EE798D" w:rsidRPr="00DC1704">
        <w:rPr>
          <w:sz w:val="24"/>
          <w:szCs w:val="24"/>
        </w:rPr>
        <w:br/>
      </w:r>
    </w:p>
  </w:endnote>
  <w:endnote w:id="9">
    <w:p w14:paraId="4EE60F85" w14:textId="17D7D551" w:rsidR="00E31A6B" w:rsidRPr="00DC1704" w:rsidRDefault="00E31A6B" w:rsidP="00DE680C">
      <w:pPr>
        <w:pStyle w:val="EndnoteText"/>
        <w:spacing w:line="276" w:lineRule="auto"/>
        <w:rPr>
          <w:sz w:val="24"/>
          <w:szCs w:val="24"/>
        </w:rPr>
      </w:pPr>
      <w:r w:rsidRPr="00DC1704">
        <w:rPr>
          <w:rStyle w:val="EndnoteReference"/>
          <w:sz w:val="24"/>
          <w:szCs w:val="24"/>
        </w:rPr>
        <w:endnoteRef/>
      </w:r>
      <w:r w:rsidRPr="00DC1704">
        <w:rPr>
          <w:sz w:val="24"/>
          <w:szCs w:val="24"/>
        </w:rPr>
        <w:t xml:space="preserve"> </w:t>
      </w:r>
      <w:r w:rsidR="003A123B" w:rsidRPr="00DC1704">
        <w:rPr>
          <w:sz w:val="24"/>
          <w:szCs w:val="24"/>
        </w:rPr>
        <w:t xml:space="preserve">Australian Rehabilitation and </w:t>
      </w:r>
      <w:r w:rsidR="00AE7EE0" w:rsidRPr="00DC1704">
        <w:rPr>
          <w:sz w:val="24"/>
          <w:szCs w:val="24"/>
        </w:rPr>
        <w:t>Assistive Technology</w:t>
      </w:r>
      <w:r w:rsidR="004F6167" w:rsidRPr="00DC1704">
        <w:rPr>
          <w:sz w:val="24"/>
          <w:szCs w:val="24"/>
        </w:rPr>
        <w:t xml:space="preserve"> Association, “</w:t>
      </w:r>
      <w:r w:rsidR="00E238AF" w:rsidRPr="00DC1704">
        <w:rPr>
          <w:sz w:val="24"/>
          <w:szCs w:val="24"/>
        </w:rPr>
        <w:t xml:space="preserve">About AT,” accessed 9 February 2023, </w:t>
      </w:r>
      <w:hyperlink r:id="rId9" w:history="1">
        <w:r w:rsidR="00DD6EB6" w:rsidRPr="00DC1704">
          <w:rPr>
            <w:rStyle w:val="Hyperlink"/>
            <w:sz w:val="24"/>
            <w:szCs w:val="24"/>
          </w:rPr>
          <w:t>https://www.arata.org.au/about-at/</w:t>
        </w:r>
      </w:hyperlink>
      <w:r w:rsidR="00DD6EB6" w:rsidRPr="00DC1704">
        <w:rPr>
          <w:sz w:val="24"/>
          <w:szCs w:val="24"/>
        </w:rPr>
        <w:t xml:space="preserve"> </w:t>
      </w:r>
      <w:r w:rsidRPr="00DC1704">
        <w:rPr>
          <w:sz w:val="24"/>
          <w:szCs w:val="24"/>
        </w:rPr>
        <w:br/>
      </w:r>
    </w:p>
  </w:endnote>
  <w:endnote w:id="10">
    <w:p w14:paraId="636C6C0E" w14:textId="17AC778B" w:rsidR="00502A5D" w:rsidRPr="00DC1704" w:rsidRDefault="00502A5D" w:rsidP="00DE680C">
      <w:pPr>
        <w:pStyle w:val="EndnoteText"/>
        <w:spacing w:line="276" w:lineRule="auto"/>
        <w:rPr>
          <w:sz w:val="24"/>
          <w:szCs w:val="24"/>
        </w:rPr>
      </w:pPr>
      <w:r w:rsidRPr="00DC1704">
        <w:rPr>
          <w:rStyle w:val="EndnoteReference"/>
          <w:sz w:val="24"/>
          <w:szCs w:val="24"/>
        </w:rPr>
        <w:endnoteRef/>
      </w:r>
      <w:r w:rsidRPr="00DC1704">
        <w:rPr>
          <w:sz w:val="24"/>
          <w:szCs w:val="24"/>
        </w:rPr>
        <w:t xml:space="preserve"> </w:t>
      </w:r>
      <w:r w:rsidR="00C03717" w:rsidRPr="00DC1704">
        <w:rPr>
          <w:sz w:val="24"/>
          <w:szCs w:val="24"/>
        </w:rPr>
        <w:t xml:space="preserve">Blind Citizens Australia, </w:t>
      </w:r>
      <w:r w:rsidRPr="00DC1704">
        <w:rPr>
          <w:sz w:val="24"/>
          <w:szCs w:val="24"/>
        </w:rPr>
        <w:t xml:space="preserve">“Promoting Inclusion: Civic Participation – Submission to the Disability Royal Commission,” 20 May 2021, </w:t>
      </w:r>
      <w:hyperlink r:id="rId10" w:history="1">
        <w:r w:rsidR="00DD6EB6" w:rsidRPr="00DC1704">
          <w:rPr>
            <w:rStyle w:val="Hyperlink"/>
            <w:sz w:val="24"/>
            <w:szCs w:val="24"/>
          </w:rPr>
          <w:t>https://www.bca.org.au/wp-content/uploads/2021/06/BCA-Response-to-Promoting-Inclusion-Issues-Paper-Civic-Participation.docx</w:t>
        </w:r>
      </w:hyperlink>
      <w:r w:rsidR="000804FE" w:rsidRPr="00DC1704">
        <w:rPr>
          <w:sz w:val="24"/>
          <w:szCs w:val="24"/>
        </w:rPr>
        <w:t xml:space="preserve"> </w:t>
      </w:r>
      <w:r w:rsidR="004C531E" w:rsidRPr="00DC1704">
        <w:rPr>
          <w:sz w:val="24"/>
          <w:szCs w:val="24"/>
        </w:rPr>
        <w:br/>
      </w:r>
    </w:p>
  </w:endnote>
  <w:endnote w:id="11">
    <w:p w14:paraId="4670927E" w14:textId="2DFB9EBA" w:rsidR="00AB6B63" w:rsidRPr="00DC1704" w:rsidRDefault="00AB6B63" w:rsidP="00DE680C">
      <w:pPr>
        <w:pStyle w:val="EndnoteText"/>
        <w:spacing w:line="276" w:lineRule="auto"/>
        <w:rPr>
          <w:sz w:val="24"/>
          <w:szCs w:val="24"/>
        </w:rPr>
      </w:pPr>
      <w:r w:rsidRPr="00DC1704">
        <w:rPr>
          <w:rStyle w:val="EndnoteReference"/>
          <w:sz w:val="24"/>
          <w:szCs w:val="24"/>
        </w:rPr>
        <w:endnoteRef/>
      </w:r>
      <w:r w:rsidR="008A3211" w:rsidRPr="00DC1704">
        <w:rPr>
          <w:sz w:val="24"/>
          <w:szCs w:val="24"/>
        </w:rPr>
        <w:t xml:space="preserve"> Blind Citizens Australia, </w:t>
      </w:r>
      <w:r w:rsidRPr="00DC1704">
        <w:rPr>
          <w:sz w:val="24"/>
          <w:szCs w:val="24"/>
        </w:rPr>
        <w:t xml:space="preserve">“Becoming a Participants of the National Disability Insurance Scheme,” accessed 24 January 2023, </w:t>
      </w:r>
      <w:hyperlink r:id="rId11" w:history="1">
        <w:r w:rsidR="0028414A" w:rsidRPr="00DC1704">
          <w:rPr>
            <w:rStyle w:val="Hyperlink"/>
            <w:sz w:val="24"/>
            <w:szCs w:val="24"/>
          </w:rPr>
          <w:t>https://www.bca.org.au/wp-content/uploads/2018/07/Becoming-A-Participant.docx</w:t>
        </w:r>
      </w:hyperlink>
      <w:r w:rsidR="0028414A" w:rsidRPr="00DC1704">
        <w:rPr>
          <w:sz w:val="24"/>
          <w:szCs w:val="24"/>
        </w:rPr>
        <w:t xml:space="preserve"> </w:t>
      </w:r>
      <w:r w:rsidR="002A6C23" w:rsidRPr="00DC1704">
        <w:rPr>
          <w:sz w:val="24"/>
          <w:szCs w:val="24"/>
        </w:rPr>
        <w:br/>
      </w:r>
    </w:p>
  </w:endnote>
  <w:endnote w:id="12">
    <w:p w14:paraId="0CE9BDB0" w14:textId="071E5496" w:rsidR="002A6C23" w:rsidRPr="00DC1704" w:rsidRDefault="002A6C23" w:rsidP="00DE680C">
      <w:pPr>
        <w:pStyle w:val="EndnoteText"/>
        <w:spacing w:line="276" w:lineRule="auto"/>
        <w:rPr>
          <w:sz w:val="24"/>
          <w:szCs w:val="24"/>
        </w:rPr>
      </w:pPr>
      <w:r w:rsidRPr="00DC1704">
        <w:rPr>
          <w:rStyle w:val="EndnoteReference"/>
          <w:sz w:val="24"/>
          <w:szCs w:val="24"/>
        </w:rPr>
        <w:endnoteRef/>
      </w:r>
      <w:r w:rsidRPr="00DC1704">
        <w:rPr>
          <w:sz w:val="24"/>
          <w:szCs w:val="24"/>
        </w:rPr>
        <w:t xml:space="preserve"> </w:t>
      </w:r>
      <w:r w:rsidR="00B34138" w:rsidRPr="00DC1704">
        <w:rPr>
          <w:sz w:val="24"/>
          <w:szCs w:val="24"/>
        </w:rPr>
        <w:t xml:space="preserve">Blind Citizens Australia, </w:t>
      </w:r>
      <w:r w:rsidR="00956DB2" w:rsidRPr="00DC1704">
        <w:rPr>
          <w:sz w:val="24"/>
          <w:szCs w:val="24"/>
        </w:rPr>
        <w:t xml:space="preserve">“Royal Commission into Aged Care Quality and Safety </w:t>
      </w:r>
      <w:r w:rsidR="00085450" w:rsidRPr="00DC1704">
        <w:rPr>
          <w:sz w:val="24"/>
          <w:szCs w:val="24"/>
        </w:rPr>
        <w:t xml:space="preserve">(2019) Submission,” 2 October 2019, </w:t>
      </w:r>
      <w:hyperlink r:id="rId12" w:history="1">
        <w:r w:rsidR="00DE680C" w:rsidRPr="00DC1704">
          <w:rPr>
            <w:rStyle w:val="Hyperlink"/>
            <w:sz w:val="24"/>
            <w:szCs w:val="24"/>
          </w:rPr>
          <w:t>https://www.bca.org.au/wp-content/uploads/2019/11/RC-Aged-Care-Submission-Oct-2019.docx</w:t>
        </w:r>
      </w:hyperlink>
      <w:r w:rsidR="00DE680C" w:rsidRPr="00DC1704">
        <w:rPr>
          <w:sz w:val="24"/>
          <w:szCs w:val="24"/>
        </w:rPr>
        <w:t xml:space="preserve"> </w:t>
      </w:r>
    </w:p>
  </w:endnote>
  <w:endnote w:id="13">
    <w:p w14:paraId="54E7040C" w14:textId="04845590" w:rsidR="00CC6962" w:rsidRPr="00DC1704" w:rsidRDefault="00CC6962" w:rsidP="00DE680C">
      <w:pPr>
        <w:pStyle w:val="EndnoteText"/>
        <w:spacing w:line="276" w:lineRule="auto"/>
        <w:rPr>
          <w:sz w:val="24"/>
          <w:szCs w:val="24"/>
        </w:rPr>
      </w:pPr>
      <w:r w:rsidRPr="00DC1704">
        <w:rPr>
          <w:sz w:val="24"/>
          <w:szCs w:val="24"/>
        </w:rPr>
        <w:br/>
      </w:r>
      <w:r w:rsidRPr="00DC1704">
        <w:rPr>
          <w:rStyle w:val="EndnoteReference"/>
          <w:sz w:val="24"/>
          <w:szCs w:val="24"/>
        </w:rPr>
        <w:endnoteRef/>
      </w:r>
      <w:r w:rsidR="00876E57" w:rsidRPr="00DC1704">
        <w:rPr>
          <w:sz w:val="24"/>
          <w:szCs w:val="24"/>
        </w:rPr>
        <w:t xml:space="preserve"> Women with Disabilities Australia,</w:t>
      </w:r>
      <w:r w:rsidRPr="00DC1704">
        <w:rPr>
          <w:sz w:val="24"/>
          <w:szCs w:val="24"/>
        </w:rPr>
        <w:t xml:space="preserve"> “Blindness is a Spectrum,” 16 May 2022, </w:t>
      </w:r>
      <w:hyperlink r:id="rId13" w:history="1">
        <w:r w:rsidR="004725C8" w:rsidRPr="00DC1704">
          <w:rPr>
            <w:rStyle w:val="Hyperlink"/>
            <w:sz w:val="24"/>
            <w:szCs w:val="24"/>
          </w:rPr>
          <w:t>https://wwda.org.au/blog/blindness-is-a-spectrum/</w:t>
        </w:r>
      </w:hyperlink>
      <w:r w:rsidR="004725C8" w:rsidRPr="00DC1704">
        <w:rPr>
          <w:sz w:val="24"/>
          <w:szCs w:val="24"/>
        </w:rPr>
        <w:t xml:space="preserve"> </w:t>
      </w:r>
      <w:r w:rsidR="009B7D88" w:rsidRPr="00DC1704">
        <w:rPr>
          <w:sz w:val="24"/>
          <w:szCs w:val="24"/>
        </w:rPr>
        <w:br/>
      </w:r>
    </w:p>
  </w:endnote>
  <w:endnote w:id="14">
    <w:p w14:paraId="7D574A21" w14:textId="42313D99" w:rsidR="009B7D88" w:rsidRPr="00DC1704" w:rsidRDefault="009B7D88" w:rsidP="00DE680C">
      <w:pPr>
        <w:pStyle w:val="EndnoteText"/>
        <w:spacing w:line="276" w:lineRule="auto"/>
        <w:rPr>
          <w:sz w:val="24"/>
          <w:szCs w:val="24"/>
        </w:rPr>
      </w:pPr>
      <w:r w:rsidRPr="00DC1704">
        <w:rPr>
          <w:rStyle w:val="EndnoteReference"/>
          <w:sz w:val="24"/>
          <w:szCs w:val="24"/>
        </w:rPr>
        <w:endnoteRef/>
      </w:r>
      <w:r w:rsidRPr="00DC1704">
        <w:rPr>
          <w:sz w:val="24"/>
          <w:szCs w:val="24"/>
        </w:rPr>
        <w:t xml:space="preserve"> </w:t>
      </w:r>
      <w:r w:rsidR="00EE383D" w:rsidRPr="00DC1704">
        <w:rPr>
          <w:sz w:val="24"/>
          <w:szCs w:val="24"/>
        </w:rPr>
        <w:t xml:space="preserve">Monash University; COTA Victoria, </w:t>
      </w:r>
      <w:r w:rsidR="00211037" w:rsidRPr="00DC1704">
        <w:rPr>
          <w:sz w:val="24"/>
          <w:szCs w:val="24"/>
        </w:rPr>
        <w:t xml:space="preserve">“The Australian Assistive Technology </w:t>
      </w:r>
      <w:r w:rsidR="00B0684D" w:rsidRPr="00DC1704">
        <w:rPr>
          <w:sz w:val="24"/>
          <w:szCs w:val="24"/>
        </w:rPr>
        <w:t xml:space="preserve">Equity Studies: </w:t>
      </w:r>
      <w:r w:rsidR="008930D7" w:rsidRPr="00DC1704">
        <w:rPr>
          <w:sz w:val="24"/>
          <w:szCs w:val="24"/>
        </w:rPr>
        <w:t xml:space="preserve">Improving Access to Assistive Technology for People with Disability </w:t>
      </w:r>
      <w:r w:rsidR="00051A85" w:rsidRPr="00DC1704">
        <w:rPr>
          <w:sz w:val="24"/>
          <w:szCs w:val="24"/>
        </w:rPr>
        <w:t>Who Are Not Eligible for the NDIS,”</w:t>
      </w:r>
      <w:r w:rsidR="00EE383D" w:rsidRPr="00DC1704">
        <w:rPr>
          <w:sz w:val="24"/>
          <w:szCs w:val="24"/>
        </w:rPr>
        <w:t xml:space="preserve"> </w:t>
      </w:r>
      <w:r w:rsidR="00000B6C" w:rsidRPr="00DC1704">
        <w:rPr>
          <w:sz w:val="24"/>
          <w:szCs w:val="24"/>
        </w:rPr>
        <w:t>October 2022,</w:t>
      </w:r>
      <w:r w:rsidR="00F16D46" w:rsidRPr="00DC1704">
        <w:rPr>
          <w:sz w:val="24"/>
          <w:szCs w:val="24"/>
        </w:rPr>
        <w:t xml:space="preserve"> </w:t>
      </w:r>
      <w:hyperlink r:id="rId14" w:history="1">
        <w:r w:rsidR="004D6AB7" w:rsidRPr="006C2AA9">
          <w:rPr>
            <w:rStyle w:val="Hyperlink"/>
            <w:sz w:val="24"/>
            <w:szCs w:val="24"/>
          </w:rPr>
          <w:t>https://assistivetechforall.org.au/wp-ontent/uploads/2022/10/Australian_AT_Equity_</w:t>
        </w:r>
        <w:r w:rsidR="004D6AB7" w:rsidRPr="006C2AA9">
          <w:rPr>
            <w:rStyle w:val="Hyperlink"/>
            <w:sz w:val="24"/>
            <w:szCs w:val="24"/>
          </w:rPr>
          <w:br/>
          <w:t>Studies_Report-final.pdf</w:t>
        </w:r>
      </w:hyperlink>
      <w:r w:rsidR="00F16D46" w:rsidRPr="00DC1704">
        <w:rPr>
          <w:sz w:val="24"/>
          <w:szCs w:val="24"/>
        </w:rPr>
        <w:t xml:space="preserve"> </w:t>
      </w:r>
      <w:r w:rsidR="005336F6" w:rsidRPr="00DC1704">
        <w:rPr>
          <w:sz w:val="24"/>
          <w:szCs w:val="24"/>
        </w:rPr>
        <w:t xml:space="preserve"> </w:t>
      </w:r>
      <w:r w:rsidR="002D7E02" w:rsidRPr="00DC1704">
        <w:rPr>
          <w:sz w:val="24"/>
          <w:szCs w:val="24"/>
        </w:rPr>
        <w:t xml:space="preserve"> </w:t>
      </w:r>
    </w:p>
  </w:endnote>
  <w:endnote w:id="15">
    <w:p w14:paraId="17B8562F" w14:textId="56AE6800" w:rsidR="0043441C" w:rsidRPr="00DC1704" w:rsidRDefault="0043441C" w:rsidP="00DE680C">
      <w:pPr>
        <w:pStyle w:val="EndnoteText"/>
        <w:spacing w:line="276" w:lineRule="auto"/>
        <w:rPr>
          <w:sz w:val="24"/>
          <w:szCs w:val="24"/>
        </w:rPr>
      </w:pPr>
      <w:r w:rsidRPr="00DC1704">
        <w:rPr>
          <w:sz w:val="24"/>
          <w:szCs w:val="24"/>
        </w:rPr>
        <w:br/>
      </w:r>
      <w:r w:rsidRPr="00DC1704">
        <w:rPr>
          <w:rStyle w:val="EndnoteReference"/>
          <w:sz w:val="24"/>
          <w:szCs w:val="24"/>
        </w:rPr>
        <w:endnoteRef/>
      </w:r>
      <w:r w:rsidRPr="00DC1704">
        <w:rPr>
          <w:sz w:val="24"/>
          <w:szCs w:val="24"/>
        </w:rPr>
        <w:t xml:space="preserve"> </w:t>
      </w:r>
      <w:r w:rsidR="002F496C" w:rsidRPr="00DC1704">
        <w:rPr>
          <w:sz w:val="24"/>
          <w:szCs w:val="24"/>
        </w:rPr>
        <w:t xml:space="preserve">NDIS Quality and Safeguards Commission, </w:t>
      </w:r>
      <w:r w:rsidRPr="00DC1704">
        <w:rPr>
          <w:sz w:val="24"/>
          <w:szCs w:val="24"/>
        </w:rPr>
        <w:t xml:space="preserve">“Inquiry Report: Own Motion Inquiry into Aspects of Supported </w:t>
      </w:r>
      <w:r w:rsidR="00FA1407" w:rsidRPr="00DC1704">
        <w:rPr>
          <w:sz w:val="24"/>
          <w:szCs w:val="24"/>
        </w:rPr>
        <w:t>Accommodation</w:t>
      </w:r>
      <w:r w:rsidRPr="00DC1704">
        <w:rPr>
          <w:sz w:val="24"/>
          <w:szCs w:val="24"/>
        </w:rPr>
        <w:t>,”</w:t>
      </w:r>
      <w:r w:rsidR="002F496C" w:rsidRPr="00DC1704">
        <w:rPr>
          <w:sz w:val="24"/>
          <w:szCs w:val="24"/>
        </w:rPr>
        <w:t xml:space="preserve"> </w:t>
      </w:r>
      <w:r w:rsidRPr="00DC1704">
        <w:rPr>
          <w:sz w:val="24"/>
          <w:szCs w:val="24"/>
        </w:rPr>
        <w:t xml:space="preserve">January 2023, </w:t>
      </w:r>
      <w:hyperlink r:id="rId15" w:history="1">
        <w:r w:rsidR="00C82B5A" w:rsidRPr="006C2AA9">
          <w:rPr>
            <w:rStyle w:val="Hyperlink"/>
            <w:sz w:val="24"/>
            <w:szCs w:val="24"/>
          </w:rPr>
          <w:t>https://www.ndiscommission.gov.au/sites/default/files/</w:t>
        </w:r>
        <w:r w:rsidR="00C82B5A" w:rsidRPr="006C2AA9">
          <w:rPr>
            <w:rStyle w:val="Hyperlink"/>
            <w:sz w:val="24"/>
            <w:szCs w:val="24"/>
          </w:rPr>
          <w:br/>
          <w:t>2023-01/Own%20Motion%20Inquiry%20FINAL%20Report%20-%2016%20January%202023.pdf</w:t>
        </w:r>
      </w:hyperlink>
      <w:r w:rsidR="0092254A" w:rsidRPr="00DC1704">
        <w:rPr>
          <w:sz w:val="24"/>
          <w:szCs w:val="24"/>
        </w:rPr>
        <w:t xml:space="preserve"> </w:t>
      </w:r>
    </w:p>
  </w:endnote>
  <w:endnote w:id="16">
    <w:p w14:paraId="517771CE" w14:textId="415123A4" w:rsidR="00BF404A" w:rsidRPr="00DC1704" w:rsidRDefault="00BF404A" w:rsidP="00DE680C">
      <w:pPr>
        <w:pStyle w:val="EndnoteText"/>
        <w:spacing w:line="276" w:lineRule="auto"/>
        <w:rPr>
          <w:sz w:val="24"/>
          <w:szCs w:val="24"/>
        </w:rPr>
      </w:pPr>
      <w:r w:rsidRPr="00DC1704">
        <w:rPr>
          <w:sz w:val="24"/>
          <w:szCs w:val="24"/>
        </w:rPr>
        <w:br/>
      </w:r>
      <w:r w:rsidRPr="00DC1704">
        <w:rPr>
          <w:rStyle w:val="EndnoteReference"/>
          <w:sz w:val="24"/>
          <w:szCs w:val="24"/>
        </w:rPr>
        <w:endnoteRef/>
      </w:r>
      <w:r w:rsidRPr="00DC1704">
        <w:rPr>
          <w:sz w:val="24"/>
          <w:szCs w:val="24"/>
        </w:rPr>
        <w:t xml:space="preserve">  </w:t>
      </w:r>
      <w:r w:rsidR="00926156" w:rsidRPr="00DC1704">
        <w:rPr>
          <w:sz w:val="24"/>
          <w:szCs w:val="24"/>
        </w:rPr>
        <w:t xml:space="preserve">Blind Citizens Australia, </w:t>
      </w:r>
      <w:r w:rsidRPr="00DC1704">
        <w:rPr>
          <w:sz w:val="24"/>
          <w:szCs w:val="24"/>
        </w:rPr>
        <w:t xml:space="preserve">“Submission: National Disability Insurance Scheme (NDIS) Costs,” March 2017, </w:t>
      </w:r>
      <w:hyperlink r:id="rId16" w:history="1">
        <w:r w:rsidR="00EE798D" w:rsidRPr="00DC1704">
          <w:rPr>
            <w:rStyle w:val="Hyperlink"/>
            <w:sz w:val="24"/>
            <w:szCs w:val="24"/>
          </w:rPr>
          <w:t>https://www.pc.gov.au/__data/assets/pdf_file/0003/215760/sub0130-ndis-costs.pdf</w:t>
        </w:r>
      </w:hyperlink>
      <w:r w:rsidR="00EE798D" w:rsidRPr="00DC1704">
        <w:rPr>
          <w:sz w:val="24"/>
          <w:szCs w:val="24"/>
        </w:rPr>
        <w:t xml:space="preserve"> </w:t>
      </w:r>
      <w:r w:rsidR="0068652D" w:rsidRPr="00DC1704">
        <w:rPr>
          <w:sz w:val="24"/>
          <w:szCs w:val="24"/>
        </w:rPr>
        <w:br/>
      </w:r>
    </w:p>
  </w:endnote>
  <w:endnote w:id="17">
    <w:p w14:paraId="79472384" w14:textId="5B69851C" w:rsidR="0068652D" w:rsidRPr="00DC1704" w:rsidRDefault="0068652D">
      <w:pPr>
        <w:pStyle w:val="EndnoteText"/>
        <w:rPr>
          <w:sz w:val="24"/>
          <w:szCs w:val="24"/>
        </w:rPr>
      </w:pPr>
      <w:r w:rsidRPr="00DC1704">
        <w:rPr>
          <w:rStyle w:val="EndnoteReference"/>
          <w:sz w:val="24"/>
          <w:szCs w:val="24"/>
        </w:rPr>
        <w:endnoteRef/>
      </w:r>
      <w:r w:rsidRPr="00DC1704">
        <w:rPr>
          <w:sz w:val="24"/>
          <w:szCs w:val="24"/>
        </w:rPr>
        <w:t xml:space="preserve"> </w:t>
      </w:r>
      <w:r w:rsidR="007750EA" w:rsidRPr="00DC1704">
        <w:rPr>
          <w:sz w:val="24"/>
          <w:szCs w:val="24"/>
        </w:rPr>
        <w:t>Vision 2020 Australia, “</w:t>
      </w:r>
      <w:r w:rsidR="004B2500" w:rsidRPr="00DC1704">
        <w:rPr>
          <w:sz w:val="24"/>
          <w:szCs w:val="24"/>
        </w:rPr>
        <w:t xml:space="preserve">Setting Australia’s Sights,” accessed 9 February 2023, </w:t>
      </w:r>
      <w:hyperlink r:id="rId17" w:history="1">
        <w:r w:rsidR="00DC1704" w:rsidRPr="00DC1704">
          <w:rPr>
            <w:rStyle w:val="Hyperlink"/>
            <w:sz w:val="24"/>
            <w:szCs w:val="24"/>
          </w:rPr>
          <w:t>https://www.vision2020australia.org.au/our-work/settingaustraliassights/</w:t>
        </w:r>
      </w:hyperlink>
      <w:r w:rsidR="00DC1704" w:rsidRPr="00DC1704">
        <w:rPr>
          <w:sz w:val="24"/>
          <w:szCs w:val="24"/>
        </w:rPr>
        <w:t xml:space="preserve"> </w:t>
      </w:r>
    </w:p>
  </w:endnote>
  <w:endnote w:id="18">
    <w:p w14:paraId="717C2D0C" w14:textId="77777777" w:rsidR="006224B4" w:rsidRPr="00DC1704" w:rsidRDefault="006224B4" w:rsidP="006224B4">
      <w:pPr>
        <w:pStyle w:val="EndnoteText"/>
        <w:spacing w:line="276" w:lineRule="auto"/>
        <w:rPr>
          <w:sz w:val="24"/>
          <w:szCs w:val="24"/>
        </w:rPr>
      </w:pPr>
      <w:r w:rsidRPr="00DC1704">
        <w:rPr>
          <w:sz w:val="24"/>
          <w:szCs w:val="24"/>
        </w:rPr>
        <w:br/>
      </w:r>
      <w:r w:rsidRPr="00DC1704">
        <w:rPr>
          <w:rStyle w:val="EndnoteReference"/>
          <w:sz w:val="24"/>
          <w:szCs w:val="24"/>
        </w:rPr>
        <w:endnoteRef/>
      </w:r>
      <w:r w:rsidRPr="00DC1704">
        <w:rPr>
          <w:sz w:val="24"/>
          <w:szCs w:val="24"/>
        </w:rPr>
        <w:t xml:space="preserve"> Better Health Channel, “Vision Therapy,” accessed 24 January 2023, </w:t>
      </w:r>
      <w:hyperlink r:id="rId18" w:history="1">
        <w:r w:rsidRPr="00DC1704">
          <w:rPr>
            <w:rStyle w:val="Hyperlink"/>
            <w:sz w:val="24"/>
            <w:szCs w:val="24"/>
          </w:rPr>
          <w:t>https://www.betterhealth.vic.gov.au/health/conditionsandtreatments/vision-therapy</w:t>
        </w:r>
      </w:hyperlink>
      <w:r w:rsidRPr="00DC1704">
        <w:rPr>
          <w:sz w:val="24"/>
          <w:szCs w:val="24"/>
        </w:rPr>
        <w:t xml:space="preserve"> </w:t>
      </w:r>
    </w:p>
  </w:endnote>
  <w:endnote w:id="19">
    <w:p w14:paraId="6A511DBE" w14:textId="7774986D" w:rsidR="00BF404A" w:rsidRDefault="00BF404A" w:rsidP="00DE680C">
      <w:pPr>
        <w:pStyle w:val="EndnoteText"/>
        <w:spacing w:line="276" w:lineRule="auto"/>
      </w:pPr>
      <w:r w:rsidRPr="00DC1704">
        <w:rPr>
          <w:sz w:val="24"/>
          <w:szCs w:val="24"/>
        </w:rPr>
        <w:br/>
      </w:r>
      <w:r w:rsidRPr="00DC1704">
        <w:rPr>
          <w:rStyle w:val="EndnoteReference"/>
          <w:sz w:val="24"/>
          <w:szCs w:val="24"/>
        </w:rPr>
        <w:endnoteRef/>
      </w:r>
      <w:r w:rsidRPr="00DC1704">
        <w:rPr>
          <w:sz w:val="24"/>
          <w:szCs w:val="24"/>
        </w:rPr>
        <w:t xml:space="preserve"> </w:t>
      </w:r>
      <w:r w:rsidR="00CC002E" w:rsidRPr="00DC1704">
        <w:rPr>
          <w:sz w:val="24"/>
          <w:szCs w:val="24"/>
        </w:rPr>
        <w:t>Australian Government Department of Health and Aged Care, “</w:t>
      </w:r>
      <w:r w:rsidRPr="00DC1704">
        <w:rPr>
          <w:sz w:val="24"/>
          <w:szCs w:val="24"/>
        </w:rPr>
        <w:t xml:space="preserve">What Medicare Covers,” accessed 24 January 2023, </w:t>
      </w:r>
      <w:hyperlink r:id="rId19" w:history="1">
        <w:r w:rsidR="00EE798D" w:rsidRPr="00DC1704">
          <w:rPr>
            <w:rStyle w:val="Hyperlink"/>
            <w:sz w:val="24"/>
            <w:szCs w:val="24"/>
          </w:rPr>
          <w:t>https://www.health.gov.au/topics/medicare/about/what-medicare-covers</w:t>
        </w:r>
      </w:hyperlink>
      <w:r w:rsidR="00EE798D" w:rsidRPr="00DC1704">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C75A" w14:textId="77777777" w:rsidR="003A1CA7" w:rsidRDefault="003A1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AB19" w14:textId="77777777" w:rsidR="00447C83" w:rsidRPr="00347BC4" w:rsidRDefault="00FF0432"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3F97" w14:textId="77777777" w:rsidR="003A1CA7" w:rsidRDefault="003A1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9629" w14:textId="77777777" w:rsidR="00467BC8" w:rsidRDefault="00467BC8" w:rsidP="00F31950">
      <w:pPr>
        <w:spacing w:before="0" w:line="240" w:lineRule="auto"/>
      </w:pPr>
      <w:r>
        <w:separator/>
      </w:r>
    </w:p>
  </w:footnote>
  <w:footnote w:type="continuationSeparator" w:id="0">
    <w:p w14:paraId="79F456D4" w14:textId="77777777" w:rsidR="00467BC8" w:rsidRDefault="00467BC8" w:rsidP="00F319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4DB6" w14:textId="77777777" w:rsidR="003A1CA7" w:rsidRDefault="003A1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536A" w14:textId="77777777" w:rsidR="003A1CA7" w:rsidRDefault="003A1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7514" w14:textId="77777777" w:rsidR="003A1CA7" w:rsidRDefault="003A1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811"/>
    <w:multiLevelType w:val="hybridMultilevel"/>
    <w:tmpl w:val="1B0E3916"/>
    <w:lvl w:ilvl="0" w:tplc="29AC09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4F14A4"/>
    <w:multiLevelType w:val="hybridMultilevel"/>
    <w:tmpl w:val="D5329196"/>
    <w:lvl w:ilvl="0" w:tplc="C2F6FC3E">
      <w:start w:val="1"/>
      <w:numFmt w:val="decimal"/>
      <w:pStyle w:val="ListParagraph"/>
      <w:lvlText w:val="%1."/>
      <w:lvlJc w:val="left"/>
      <w:pPr>
        <w:ind w:left="927"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15CFC"/>
    <w:multiLevelType w:val="hybridMultilevel"/>
    <w:tmpl w:val="FB72EC88"/>
    <w:lvl w:ilvl="0" w:tplc="857C7C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2950B61"/>
    <w:multiLevelType w:val="hybridMultilevel"/>
    <w:tmpl w:val="708E8E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6C17056"/>
    <w:multiLevelType w:val="hybridMultilevel"/>
    <w:tmpl w:val="B38C7BB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6FE1A39"/>
    <w:multiLevelType w:val="hybridMultilevel"/>
    <w:tmpl w:val="81447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02701A"/>
    <w:multiLevelType w:val="hybridMultilevel"/>
    <w:tmpl w:val="D0E8026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A1F8C"/>
    <w:multiLevelType w:val="hybridMultilevel"/>
    <w:tmpl w:val="CBBA16E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C105289"/>
    <w:multiLevelType w:val="hybridMultilevel"/>
    <w:tmpl w:val="248C9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7E7A01"/>
    <w:multiLevelType w:val="hybridMultilevel"/>
    <w:tmpl w:val="206C3E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DD3750"/>
    <w:multiLevelType w:val="hybridMultilevel"/>
    <w:tmpl w:val="EB640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F936AC"/>
    <w:multiLevelType w:val="hybridMultilevel"/>
    <w:tmpl w:val="2E140CA0"/>
    <w:lvl w:ilvl="0" w:tplc="B33C9580">
      <w:start w:val="1"/>
      <w:numFmt w:val="bullet"/>
      <w:lvlText w:val=""/>
      <w:lvlJc w:val="left"/>
      <w:pPr>
        <w:ind w:left="720" w:hanging="360"/>
      </w:pPr>
      <w:rPr>
        <w:rFonts w:ascii="Symbol" w:hAnsi="Symbol" w:hint="default"/>
      </w:rPr>
    </w:lvl>
    <w:lvl w:ilvl="1" w:tplc="B35A050A">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0F459C"/>
    <w:multiLevelType w:val="hybridMultilevel"/>
    <w:tmpl w:val="6254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CC1502"/>
    <w:multiLevelType w:val="hybridMultilevel"/>
    <w:tmpl w:val="2618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855389"/>
    <w:multiLevelType w:val="hybridMultilevel"/>
    <w:tmpl w:val="6EE820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2B72D1"/>
    <w:multiLevelType w:val="hybridMultilevel"/>
    <w:tmpl w:val="CBA4E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271E5"/>
    <w:multiLevelType w:val="hybridMultilevel"/>
    <w:tmpl w:val="4E1E6A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EC37741"/>
    <w:multiLevelType w:val="hybridMultilevel"/>
    <w:tmpl w:val="80EC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C47A19"/>
    <w:multiLevelType w:val="hybridMultilevel"/>
    <w:tmpl w:val="DCA8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9C55B5"/>
    <w:multiLevelType w:val="hybridMultilevel"/>
    <w:tmpl w:val="ADA4D9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6E57BF0"/>
    <w:multiLevelType w:val="hybridMultilevel"/>
    <w:tmpl w:val="D5F0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2B1AE8"/>
    <w:multiLevelType w:val="hybridMultilevel"/>
    <w:tmpl w:val="D12C056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33001508">
    <w:abstractNumId w:val="12"/>
  </w:num>
  <w:num w:numId="2" w16cid:durableId="1239629280">
    <w:abstractNumId w:val="7"/>
  </w:num>
  <w:num w:numId="3" w16cid:durableId="1051685893">
    <w:abstractNumId w:val="1"/>
  </w:num>
  <w:num w:numId="4" w16cid:durableId="1060791568">
    <w:abstractNumId w:val="19"/>
  </w:num>
  <w:num w:numId="5" w16cid:durableId="1111903158">
    <w:abstractNumId w:val="15"/>
  </w:num>
  <w:num w:numId="6" w16cid:durableId="1617322416">
    <w:abstractNumId w:val="0"/>
  </w:num>
  <w:num w:numId="7" w16cid:durableId="387263970">
    <w:abstractNumId w:val="9"/>
  </w:num>
  <w:num w:numId="8" w16cid:durableId="1080102602">
    <w:abstractNumId w:val="20"/>
  </w:num>
  <w:num w:numId="9" w16cid:durableId="1379819308">
    <w:abstractNumId w:val="18"/>
  </w:num>
  <w:num w:numId="10" w16cid:durableId="2098598233">
    <w:abstractNumId w:val="14"/>
  </w:num>
  <w:num w:numId="11" w16cid:durableId="122581248">
    <w:abstractNumId w:val="11"/>
  </w:num>
  <w:num w:numId="12" w16cid:durableId="1863057637">
    <w:abstractNumId w:val="17"/>
  </w:num>
  <w:num w:numId="13" w16cid:durableId="1962108711">
    <w:abstractNumId w:val="6"/>
  </w:num>
  <w:num w:numId="14" w16cid:durableId="294140074">
    <w:abstractNumId w:val="3"/>
  </w:num>
  <w:num w:numId="15" w16cid:durableId="2513164">
    <w:abstractNumId w:val="4"/>
  </w:num>
  <w:num w:numId="16" w16cid:durableId="2082676943">
    <w:abstractNumId w:val="22"/>
  </w:num>
  <w:num w:numId="17" w16cid:durableId="1641032760">
    <w:abstractNumId w:val="8"/>
  </w:num>
  <w:num w:numId="18" w16cid:durableId="1679037276">
    <w:abstractNumId w:val="21"/>
  </w:num>
  <w:num w:numId="19" w16cid:durableId="1704087160">
    <w:abstractNumId w:val="5"/>
  </w:num>
  <w:num w:numId="20" w16cid:durableId="1722054312">
    <w:abstractNumId w:val="13"/>
  </w:num>
  <w:num w:numId="21" w16cid:durableId="1064374404">
    <w:abstractNumId w:val="16"/>
  </w:num>
  <w:num w:numId="22" w16cid:durableId="1170100736">
    <w:abstractNumId w:val="10"/>
  </w:num>
  <w:num w:numId="23" w16cid:durableId="1043361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Start w:val="4"/>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50"/>
    <w:rsid w:val="00000B6C"/>
    <w:rsid w:val="00001BC4"/>
    <w:rsid w:val="00002D99"/>
    <w:rsid w:val="00004E21"/>
    <w:rsid w:val="00007A10"/>
    <w:rsid w:val="0001178B"/>
    <w:rsid w:val="00014261"/>
    <w:rsid w:val="00014BFA"/>
    <w:rsid w:val="00016820"/>
    <w:rsid w:val="000230D1"/>
    <w:rsid w:val="000234C0"/>
    <w:rsid w:val="000346E4"/>
    <w:rsid w:val="00040EC6"/>
    <w:rsid w:val="000418CE"/>
    <w:rsid w:val="00042718"/>
    <w:rsid w:val="0004391C"/>
    <w:rsid w:val="00043B66"/>
    <w:rsid w:val="000441E3"/>
    <w:rsid w:val="00045FF6"/>
    <w:rsid w:val="0004622B"/>
    <w:rsid w:val="000465C9"/>
    <w:rsid w:val="00051926"/>
    <w:rsid w:val="00051A85"/>
    <w:rsid w:val="000567DF"/>
    <w:rsid w:val="00056ECC"/>
    <w:rsid w:val="00060916"/>
    <w:rsid w:val="000624D6"/>
    <w:rsid w:val="000631A2"/>
    <w:rsid w:val="00063408"/>
    <w:rsid w:val="0006540B"/>
    <w:rsid w:val="00066B80"/>
    <w:rsid w:val="0006756D"/>
    <w:rsid w:val="000758CE"/>
    <w:rsid w:val="00075AB0"/>
    <w:rsid w:val="00076467"/>
    <w:rsid w:val="000804FE"/>
    <w:rsid w:val="00080D39"/>
    <w:rsid w:val="000848C5"/>
    <w:rsid w:val="00085450"/>
    <w:rsid w:val="0009792E"/>
    <w:rsid w:val="000A30A3"/>
    <w:rsid w:val="000A4DEC"/>
    <w:rsid w:val="000B3F1A"/>
    <w:rsid w:val="000B3F6F"/>
    <w:rsid w:val="000D232F"/>
    <w:rsid w:val="000D2683"/>
    <w:rsid w:val="000D4272"/>
    <w:rsid w:val="000D5D49"/>
    <w:rsid w:val="000D5D4F"/>
    <w:rsid w:val="000D5EFC"/>
    <w:rsid w:val="000D64C6"/>
    <w:rsid w:val="000F1A08"/>
    <w:rsid w:val="000F7A91"/>
    <w:rsid w:val="00102C7B"/>
    <w:rsid w:val="0011040C"/>
    <w:rsid w:val="00110B31"/>
    <w:rsid w:val="00113B54"/>
    <w:rsid w:val="001275CF"/>
    <w:rsid w:val="0013365E"/>
    <w:rsid w:val="00137AB1"/>
    <w:rsid w:val="00137CBA"/>
    <w:rsid w:val="00145098"/>
    <w:rsid w:val="00152202"/>
    <w:rsid w:val="001530CB"/>
    <w:rsid w:val="00157B5F"/>
    <w:rsid w:val="00157DF9"/>
    <w:rsid w:val="00160902"/>
    <w:rsid w:val="001667C4"/>
    <w:rsid w:val="001672B3"/>
    <w:rsid w:val="00176096"/>
    <w:rsid w:val="0017708A"/>
    <w:rsid w:val="00183A6A"/>
    <w:rsid w:val="001844CE"/>
    <w:rsid w:val="00185C00"/>
    <w:rsid w:val="00191C1B"/>
    <w:rsid w:val="00193381"/>
    <w:rsid w:val="00194ED0"/>
    <w:rsid w:val="00197553"/>
    <w:rsid w:val="00197EF9"/>
    <w:rsid w:val="001A23AB"/>
    <w:rsid w:val="001A271B"/>
    <w:rsid w:val="001A3712"/>
    <w:rsid w:val="001A457D"/>
    <w:rsid w:val="001B06D1"/>
    <w:rsid w:val="001C2A84"/>
    <w:rsid w:val="001C60E1"/>
    <w:rsid w:val="001D44C0"/>
    <w:rsid w:val="001D5FFD"/>
    <w:rsid w:val="001E0771"/>
    <w:rsid w:val="001E29ED"/>
    <w:rsid w:val="001E3C30"/>
    <w:rsid w:val="001E5CD3"/>
    <w:rsid w:val="001E6F46"/>
    <w:rsid w:val="001E7F0F"/>
    <w:rsid w:val="001F1F49"/>
    <w:rsid w:val="001F58D0"/>
    <w:rsid w:val="0020063D"/>
    <w:rsid w:val="00211037"/>
    <w:rsid w:val="002136F4"/>
    <w:rsid w:val="00213AF2"/>
    <w:rsid w:val="00213C4E"/>
    <w:rsid w:val="00215EFA"/>
    <w:rsid w:val="00220C5F"/>
    <w:rsid w:val="00222BA3"/>
    <w:rsid w:val="00222D7D"/>
    <w:rsid w:val="00222FA8"/>
    <w:rsid w:val="002237A5"/>
    <w:rsid w:val="002249B2"/>
    <w:rsid w:val="00232C3F"/>
    <w:rsid w:val="00232FC0"/>
    <w:rsid w:val="0023483D"/>
    <w:rsid w:val="002378DF"/>
    <w:rsid w:val="00237B63"/>
    <w:rsid w:val="00244637"/>
    <w:rsid w:val="00244788"/>
    <w:rsid w:val="0025312C"/>
    <w:rsid w:val="00257E61"/>
    <w:rsid w:val="00260204"/>
    <w:rsid w:val="002609FA"/>
    <w:rsid w:val="00264521"/>
    <w:rsid w:val="002668EC"/>
    <w:rsid w:val="00266B53"/>
    <w:rsid w:val="00271399"/>
    <w:rsid w:val="0027361D"/>
    <w:rsid w:val="00274674"/>
    <w:rsid w:val="00274D98"/>
    <w:rsid w:val="0028414A"/>
    <w:rsid w:val="00285480"/>
    <w:rsid w:val="002904A2"/>
    <w:rsid w:val="002960ED"/>
    <w:rsid w:val="00296C5E"/>
    <w:rsid w:val="002976FC"/>
    <w:rsid w:val="00297817"/>
    <w:rsid w:val="002A10D2"/>
    <w:rsid w:val="002A1883"/>
    <w:rsid w:val="002A3CE6"/>
    <w:rsid w:val="002A54A8"/>
    <w:rsid w:val="002A6C23"/>
    <w:rsid w:val="002B062F"/>
    <w:rsid w:val="002B1FA4"/>
    <w:rsid w:val="002B3D42"/>
    <w:rsid w:val="002B4163"/>
    <w:rsid w:val="002B4E37"/>
    <w:rsid w:val="002B6B54"/>
    <w:rsid w:val="002B73CB"/>
    <w:rsid w:val="002B7B96"/>
    <w:rsid w:val="002C1587"/>
    <w:rsid w:val="002D7E02"/>
    <w:rsid w:val="002E3CCE"/>
    <w:rsid w:val="002F496C"/>
    <w:rsid w:val="00301773"/>
    <w:rsid w:val="00301821"/>
    <w:rsid w:val="00303D94"/>
    <w:rsid w:val="00310306"/>
    <w:rsid w:val="0031251E"/>
    <w:rsid w:val="00314B13"/>
    <w:rsid w:val="00315A5E"/>
    <w:rsid w:val="003174AA"/>
    <w:rsid w:val="003202F4"/>
    <w:rsid w:val="00322E58"/>
    <w:rsid w:val="00324ADD"/>
    <w:rsid w:val="00325569"/>
    <w:rsid w:val="00331168"/>
    <w:rsid w:val="0033325A"/>
    <w:rsid w:val="00333781"/>
    <w:rsid w:val="0033391B"/>
    <w:rsid w:val="00334A5E"/>
    <w:rsid w:val="00334C01"/>
    <w:rsid w:val="003359BA"/>
    <w:rsid w:val="00337B4F"/>
    <w:rsid w:val="003444CF"/>
    <w:rsid w:val="003479B1"/>
    <w:rsid w:val="0035325B"/>
    <w:rsid w:val="00362D4B"/>
    <w:rsid w:val="00366B50"/>
    <w:rsid w:val="0036756A"/>
    <w:rsid w:val="003700F7"/>
    <w:rsid w:val="00370A23"/>
    <w:rsid w:val="00370DBD"/>
    <w:rsid w:val="00371614"/>
    <w:rsid w:val="003716B1"/>
    <w:rsid w:val="0037574F"/>
    <w:rsid w:val="003761E3"/>
    <w:rsid w:val="00376DA6"/>
    <w:rsid w:val="00380D8D"/>
    <w:rsid w:val="00381342"/>
    <w:rsid w:val="003820B5"/>
    <w:rsid w:val="00383A9F"/>
    <w:rsid w:val="003847B4"/>
    <w:rsid w:val="003872A8"/>
    <w:rsid w:val="00390FD7"/>
    <w:rsid w:val="00391F08"/>
    <w:rsid w:val="003960A8"/>
    <w:rsid w:val="00397097"/>
    <w:rsid w:val="00397ED8"/>
    <w:rsid w:val="003A123B"/>
    <w:rsid w:val="003A13F7"/>
    <w:rsid w:val="003A1CA7"/>
    <w:rsid w:val="003A62CE"/>
    <w:rsid w:val="003B5982"/>
    <w:rsid w:val="003B6A7C"/>
    <w:rsid w:val="003C08AB"/>
    <w:rsid w:val="003C19D4"/>
    <w:rsid w:val="003C2C0F"/>
    <w:rsid w:val="003D53AA"/>
    <w:rsid w:val="003D6BE3"/>
    <w:rsid w:val="003E07E9"/>
    <w:rsid w:val="003E1210"/>
    <w:rsid w:val="003E1289"/>
    <w:rsid w:val="003E35C9"/>
    <w:rsid w:val="003F02CF"/>
    <w:rsid w:val="003F16B2"/>
    <w:rsid w:val="003F565B"/>
    <w:rsid w:val="00405AB7"/>
    <w:rsid w:val="00414D2D"/>
    <w:rsid w:val="00414FDD"/>
    <w:rsid w:val="00416E97"/>
    <w:rsid w:val="004174AB"/>
    <w:rsid w:val="00417C6E"/>
    <w:rsid w:val="00423690"/>
    <w:rsid w:val="004312AE"/>
    <w:rsid w:val="00434312"/>
    <w:rsid w:val="0043441C"/>
    <w:rsid w:val="0043477A"/>
    <w:rsid w:val="00440C44"/>
    <w:rsid w:val="004432D7"/>
    <w:rsid w:val="00447580"/>
    <w:rsid w:val="00450794"/>
    <w:rsid w:val="00453545"/>
    <w:rsid w:val="00463FBE"/>
    <w:rsid w:val="00467BC8"/>
    <w:rsid w:val="004725C8"/>
    <w:rsid w:val="00474CD6"/>
    <w:rsid w:val="00474F96"/>
    <w:rsid w:val="004764AB"/>
    <w:rsid w:val="00477281"/>
    <w:rsid w:val="00481A22"/>
    <w:rsid w:val="004868C3"/>
    <w:rsid w:val="00493F03"/>
    <w:rsid w:val="00495D65"/>
    <w:rsid w:val="004A2FC7"/>
    <w:rsid w:val="004B2500"/>
    <w:rsid w:val="004B59E9"/>
    <w:rsid w:val="004B5AAC"/>
    <w:rsid w:val="004B786F"/>
    <w:rsid w:val="004C0F03"/>
    <w:rsid w:val="004C1635"/>
    <w:rsid w:val="004C2B2F"/>
    <w:rsid w:val="004C4323"/>
    <w:rsid w:val="004C531E"/>
    <w:rsid w:val="004D6AB7"/>
    <w:rsid w:val="004D7B39"/>
    <w:rsid w:val="004E2660"/>
    <w:rsid w:val="004F16B1"/>
    <w:rsid w:val="004F3D67"/>
    <w:rsid w:val="004F6167"/>
    <w:rsid w:val="004F6707"/>
    <w:rsid w:val="00502A5D"/>
    <w:rsid w:val="0050398B"/>
    <w:rsid w:val="00504293"/>
    <w:rsid w:val="0050440A"/>
    <w:rsid w:val="00504E85"/>
    <w:rsid w:val="00505A26"/>
    <w:rsid w:val="00511469"/>
    <w:rsid w:val="005204E0"/>
    <w:rsid w:val="00521B5E"/>
    <w:rsid w:val="00521D0F"/>
    <w:rsid w:val="005336F6"/>
    <w:rsid w:val="00534770"/>
    <w:rsid w:val="00534A74"/>
    <w:rsid w:val="00550BC2"/>
    <w:rsid w:val="005514EB"/>
    <w:rsid w:val="00551A7A"/>
    <w:rsid w:val="00557623"/>
    <w:rsid w:val="005624EB"/>
    <w:rsid w:val="00566FE6"/>
    <w:rsid w:val="00567542"/>
    <w:rsid w:val="00570CF0"/>
    <w:rsid w:val="00572110"/>
    <w:rsid w:val="005726BC"/>
    <w:rsid w:val="00574267"/>
    <w:rsid w:val="0057732D"/>
    <w:rsid w:val="00581CB2"/>
    <w:rsid w:val="00583EC3"/>
    <w:rsid w:val="00584641"/>
    <w:rsid w:val="00585124"/>
    <w:rsid w:val="005859DE"/>
    <w:rsid w:val="00587D27"/>
    <w:rsid w:val="00597D73"/>
    <w:rsid w:val="005A00AC"/>
    <w:rsid w:val="005A216C"/>
    <w:rsid w:val="005A41A1"/>
    <w:rsid w:val="005A5BA3"/>
    <w:rsid w:val="005B02DE"/>
    <w:rsid w:val="005B0525"/>
    <w:rsid w:val="005B334E"/>
    <w:rsid w:val="005B736B"/>
    <w:rsid w:val="005C79ED"/>
    <w:rsid w:val="005D022B"/>
    <w:rsid w:val="005D385C"/>
    <w:rsid w:val="005D4C39"/>
    <w:rsid w:val="005D6DE2"/>
    <w:rsid w:val="005E0CB0"/>
    <w:rsid w:val="005E3DBC"/>
    <w:rsid w:val="005E7675"/>
    <w:rsid w:val="005F2E10"/>
    <w:rsid w:val="005F4BBF"/>
    <w:rsid w:val="005F5A1B"/>
    <w:rsid w:val="006029C7"/>
    <w:rsid w:val="006065B1"/>
    <w:rsid w:val="00610474"/>
    <w:rsid w:val="00612EE3"/>
    <w:rsid w:val="00617044"/>
    <w:rsid w:val="0061776D"/>
    <w:rsid w:val="00620049"/>
    <w:rsid w:val="006224B4"/>
    <w:rsid w:val="006234D3"/>
    <w:rsid w:val="00626FFF"/>
    <w:rsid w:val="0063191C"/>
    <w:rsid w:val="006343A4"/>
    <w:rsid w:val="00635400"/>
    <w:rsid w:val="00652B34"/>
    <w:rsid w:val="006664B3"/>
    <w:rsid w:val="00666B56"/>
    <w:rsid w:val="0066777A"/>
    <w:rsid w:val="00677EEF"/>
    <w:rsid w:val="00682425"/>
    <w:rsid w:val="00682549"/>
    <w:rsid w:val="0068652D"/>
    <w:rsid w:val="00697531"/>
    <w:rsid w:val="006A0B25"/>
    <w:rsid w:val="006A1091"/>
    <w:rsid w:val="006A37B8"/>
    <w:rsid w:val="006B39C9"/>
    <w:rsid w:val="006B5F61"/>
    <w:rsid w:val="006C38BF"/>
    <w:rsid w:val="006C73C2"/>
    <w:rsid w:val="006C7F1A"/>
    <w:rsid w:val="006D026A"/>
    <w:rsid w:val="006D1C5F"/>
    <w:rsid w:val="006D56A4"/>
    <w:rsid w:val="006D67C5"/>
    <w:rsid w:val="006F0B7A"/>
    <w:rsid w:val="006F0D82"/>
    <w:rsid w:val="006F354B"/>
    <w:rsid w:val="006F4EB2"/>
    <w:rsid w:val="006F5ED3"/>
    <w:rsid w:val="007024FD"/>
    <w:rsid w:val="007079EA"/>
    <w:rsid w:val="0071277D"/>
    <w:rsid w:val="00717CA4"/>
    <w:rsid w:val="00721F35"/>
    <w:rsid w:val="0072297B"/>
    <w:rsid w:val="00722D0D"/>
    <w:rsid w:val="00722F1A"/>
    <w:rsid w:val="007357D9"/>
    <w:rsid w:val="007376BA"/>
    <w:rsid w:val="0074008A"/>
    <w:rsid w:val="00740122"/>
    <w:rsid w:val="00746B0D"/>
    <w:rsid w:val="007503C2"/>
    <w:rsid w:val="00760731"/>
    <w:rsid w:val="00762649"/>
    <w:rsid w:val="00762926"/>
    <w:rsid w:val="00763403"/>
    <w:rsid w:val="0076476C"/>
    <w:rsid w:val="00765B1F"/>
    <w:rsid w:val="00770322"/>
    <w:rsid w:val="00772DA6"/>
    <w:rsid w:val="007750EA"/>
    <w:rsid w:val="00775D87"/>
    <w:rsid w:val="00776723"/>
    <w:rsid w:val="00777E34"/>
    <w:rsid w:val="007813FC"/>
    <w:rsid w:val="007820E5"/>
    <w:rsid w:val="007858A8"/>
    <w:rsid w:val="00786B87"/>
    <w:rsid w:val="007A4DC5"/>
    <w:rsid w:val="007A4F4E"/>
    <w:rsid w:val="007B6D49"/>
    <w:rsid w:val="007B7515"/>
    <w:rsid w:val="007C533C"/>
    <w:rsid w:val="007C5EF2"/>
    <w:rsid w:val="007D0777"/>
    <w:rsid w:val="007D0DE1"/>
    <w:rsid w:val="007D3B43"/>
    <w:rsid w:val="007D4838"/>
    <w:rsid w:val="007D58E6"/>
    <w:rsid w:val="007D605F"/>
    <w:rsid w:val="007D6F3B"/>
    <w:rsid w:val="007E4C07"/>
    <w:rsid w:val="007F46F6"/>
    <w:rsid w:val="007F5754"/>
    <w:rsid w:val="00806C9B"/>
    <w:rsid w:val="00810BF8"/>
    <w:rsid w:val="00811D61"/>
    <w:rsid w:val="008177AB"/>
    <w:rsid w:val="008206D7"/>
    <w:rsid w:val="0082458C"/>
    <w:rsid w:val="00826BB3"/>
    <w:rsid w:val="0083094B"/>
    <w:rsid w:val="00831592"/>
    <w:rsid w:val="00834BF1"/>
    <w:rsid w:val="008409E7"/>
    <w:rsid w:val="0084235B"/>
    <w:rsid w:val="00844BF2"/>
    <w:rsid w:val="00852C4D"/>
    <w:rsid w:val="00867C08"/>
    <w:rsid w:val="008715C9"/>
    <w:rsid w:val="008724A5"/>
    <w:rsid w:val="00872C8C"/>
    <w:rsid w:val="00876E57"/>
    <w:rsid w:val="00881EE4"/>
    <w:rsid w:val="00882D0B"/>
    <w:rsid w:val="00883423"/>
    <w:rsid w:val="0088418A"/>
    <w:rsid w:val="00884D36"/>
    <w:rsid w:val="00890A04"/>
    <w:rsid w:val="00890D19"/>
    <w:rsid w:val="008930D7"/>
    <w:rsid w:val="00894D44"/>
    <w:rsid w:val="0089782B"/>
    <w:rsid w:val="008A1CC8"/>
    <w:rsid w:val="008A2264"/>
    <w:rsid w:val="008A3211"/>
    <w:rsid w:val="008A3AF0"/>
    <w:rsid w:val="008A6BF0"/>
    <w:rsid w:val="008B26A9"/>
    <w:rsid w:val="008C5C26"/>
    <w:rsid w:val="008C7B28"/>
    <w:rsid w:val="008D0667"/>
    <w:rsid w:val="008D0FCF"/>
    <w:rsid w:val="008D13D5"/>
    <w:rsid w:val="008D2630"/>
    <w:rsid w:val="008D7F60"/>
    <w:rsid w:val="008E1645"/>
    <w:rsid w:val="008E38D4"/>
    <w:rsid w:val="008E3FBE"/>
    <w:rsid w:val="008E570D"/>
    <w:rsid w:val="008F2BD3"/>
    <w:rsid w:val="009005E5"/>
    <w:rsid w:val="0090268E"/>
    <w:rsid w:val="00902CFD"/>
    <w:rsid w:val="009033F1"/>
    <w:rsid w:val="00906604"/>
    <w:rsid w:val="00910447"/>
    <w:rsid w:val="00910A88"/>
    <w:rsid w:val="009142EA"/>
    <w:rsid w:val="009157CD"/>
    <w:rsid w:val="0092254A"/>
    <w:rsid w:val="0092266C"/>
    <w:rsid w:val="009228EF"/>
    <w:rsid w:val="0092393C"/>
    <w:rsid w:val="009247A0"/>
    <w:rsid w:val="00926156"/>
    <w:rsid w:val="00927D83"/>
    <w:rsid w:val="00944037"/>
    <w:rsid w:val="0095267F"/>
    <w:rsid w:val="009536DF"/>
    <w:rsid w:val="00954549"/>
    <w:rsid w:val="0095563C"/>
    <w:rsid w:val="00956AFB"/>
    <w:rsid w:val="00956DB2"/>
    <w:rsid w:val="009653F9"/>
    <w:rsid w:val="009738F2"/>
    <w:rsid w:val="009743E0"/>
    <w:rsid w:val="00975FB3"/>
    <w:rsid w:val="009772E9"/>
    <w:rsid w:val="00980503"/>
    <w:rsid w:val="009805CA"/>
    <w:rsid w:val="00980BB8"/>
    <w:rsid w:val="00983587"/>
    <w:rsid w:val="009B2A60"/>
    <w:rsid w:val="009B5EE6"/>
    <w:rsid w:val="009B64E1"/>
    <w:rsid w:val="009B679A"/>
    <w:rsid w:val="009B7A79"/>
    <w:rsid w:val="009B7D88"/>
    <w:rsid w:val="009C2A96"/>
    <w:rsid w:val="009D1946"/>
    <w:rsid w:val="009D23C2"/>
    <w:rsid w:val="009E0EE1"/>
    <w:rsid w:val="009E3AF6"/>
    <w:rsid w:val="009E41BE"/>
    <w:rsid w:val="009F1705"/>
    <w:rsid w:val="009F1F73"/>
    <w:rsid w:val="009F386A"/>
    <w:rsid w:val="009F4683"/>
    <w:rsid w:val="00A00767"/>
    <w:rsid w:val="00A03164"/>
    <w:rsid w:val="00A06BE8"/>
    <w:rsid w:val="00A06C3D"/>
    <w:rsid w:val="00A076E7"/>
    <w:rsid w:val="00A15174"/>
    <w:rsid w:val="00A173BC"/>
    <w:rsid w:val="00A2499D"/>
    <w:rsid w:val="00A25CEA"/>
    <w:rsid w:val="00A36990"/>
    <w:rsid w:val="00A36A5D"/>
    <w:rsid w:val="00A37992"/>
    <w:rsid w:val="00A402A4"/>
    <w:rsid w:val="00A40423"/>
    <w:rsid w:val="00A410D4"/>
    <w:rsid w:val="00A41845"/>
    <w:rsid w:val="00A41B63"/>
    <w:rsid w:val="00A5227B"/>
    <w:rsid w:val="00A62F18"/>
    <w:rsid w:val="00A6428F"/>
    <w:rsid w:val="00A720B1"/>
    <w:rsid w:val="00A841E6"/>
    <w:rsid w:val="00A85662"/>
    <w:rsid w:val="00A97F53"/>
    <w:rsid w:val="00AA09B9"/>
    <w:rsid w:val="00AA31BE"/>
    <w:rsid w:val="00AB1A46"/>
    <w:rsid w:val="00AB2D23"/>
    <w:rsid w:val="00AB6B63"/>
    <w:rsid w:val="00AC1F98"/>
    <w:rsid w:val="00AC6E03"/>
    <w:rsid w:val="00AC7B15"/>
    <w:rsid w:val="00AD1862"/>
    <w:rsid w:val="00AD1CBC"/>
    <w:rsid w:val="00AE12A8"/>
    <w:rsid w:val="00AE5334"/>
    <w:rsid w:val="00AE7EE0"/>
    <w:rsid w:val="00AF1138"/>
    <w:rsid w:val="00AF4AB1"/>
    <w:rsid w:val="00AF7582"/>
    <w:rsid w:val="00B02797"/>
    <w:rsid w:val="00B0684D"/>
    <w:rsid w:val="00B10E47"/>
    <w:rsid w:val="00B1289E"/>
    <w:rsid w:val="00B12A80"/>
    <w:rsid w:val="00B13DC3"/>
    <w:rsid w:val="00B227E4"/>
    <w:rsid w:val="00B24592"/>
    <w:rsid w:val="00B26E35"/>
    <w:rsid w:val="00B32D12"/>
    <w:rsid w:val="00B33D12"/>
    <w:rsid w:val="00B34048"/>
    <w:rsid w:val="00B34138"/>
    <w:rsid w:val="00B35C5A"/>
    <w:rsid w:val="00B35E2E"/>
    <w:rsid w:val="00B364E6"/>
    <w:rsid w:val="00B439D0"/>
    <w:rsid w:val="00B46431"/>
    <w:rsid w:val="00B47001"/>
    <w:rsid w:val="00B470AE"/>
    <w:rsid w:val="00B51921"/>
    <w:rsid w:val="00B52679"/>
    <w:rsid w:val="00B5417C"/>
    <w:rsid w:val="00B54469"/>
    <w:rsid w:val="00B558F7"/>
    <w:rsid w:val="00B60E48"/>
    <w:rsid w:val="00B61DEF"/>
    <w:rsid w:val="00B64135"/>
    <w:rsid w:val="00B83435"/>
    <w:rsid w:val="00B83E7E"/>
    <w:rsid w:val="00B85A82"/>
    <w:rsid w:val="00B8760F"/>
    <w:rsid w:val="00BA2EC3"/>
    <w:rsid w:val="00BB6309"/>
    <w:rsid w:val="00BB6310"/>
    <w:rsid w:val="00BB6954"/>
    <w:rsid w:val="00BB76C1"/>
    <w:rsid w:val="00BC01EA"/>
    <w:rsid w:val="00BC439E"/>
    <w:rsid w:val="00BD0960"/>
    <w:rsid w:val="00BD2C7A"/>
    <w:rsid w:val="00BD6F07"/>
    <w:rsid w:val="00BD7061"/>
    <w:rsid w:val="00BE09EE"/>
    <w:rsid w:val="00BE0CF9"/>
    <w:rsid w:val="00BE79A5"/>
    <w:rsid w:val="00BF404A"/>
    <w:rsid w:val="00C031BD"/>
    <w:rsid w:val="00C03717"/>
    <w:rsid w:val="00C0431A"/>
    <w:rsid w:val="00C07309"/>
    <w:rsid w:val="00C121E1"/>
    <w:rsid w:val="00C147D6"/>
    <w:rsid w:val="00C14C46"/>
    <w:rsid w:val="00C23430"/>
    <w:rsid w:val="00C242C4"/>
    <w:rsid w:val="00C24A7F"/>
    <w:rsid w:val="00C25405"/>
    <w:rsid w:val="00C279F3"/>
    <w:rsid w:val="00C33D6E"/>
    <w:rsid w:val="00C34920"/>
    <w:rsid w:val="00C40197"/>
    <w:rsid w:val="00C41EE2"/>
    <w:rsid w:val="00C428C0"/>
    <w:rsid w:val="00C50DA7"/>
    <w:rsid w:val="00C53DAB"/>
    <w:rsid w:val="00C572CB"/>
    <w:rsid w:val="00C6157D"/>
    <w:rsid w:val="00C619E0"/>
    <w:rsid w:val="00C773F5"/>
    <w:rsid w:val="00C82B5A"/>
    <w:rsid w:val="00C83D2D"/>
    <w:rsid w:val="00C85AD8"/>
    <w:rsid w:val="00C8644F"/>
    <w:rsid w:val="00C948F2"/>
    <w:rsid w:val="00CA0DBD"/>
    <w:rsid w:val="00CA2C81"/>
    <w:rsid w:val="00CB3A7D"/>
    <w:rsid w:val="00CC002E"/>
    <w:rsid w:val="00CC0426"/>
    <w:rsid w:val="00CC3F4D"/>
    <w:rsid w:val="00CC6962"/>
    <w:rsid w:val="00CD00B7"/>
    <w:rsid w:val="00CD25BD"/>
    <w:rsid w:val="00CD2DF5"/>
    <w:rsid w:val="00CE21B4"/>
    <w:rsid w:val="00CF312C"/>
    <w:rsid w:val="00CF3914"/>
    <w:rsid w:val="00D12307"/>
    <w:rsid w:val="00D13D60"/>
    <w:rsid w:val="00D14796"/>
    <w:rsid w:val="00D15EAF"/>
    <w:rsid w:val="00D2497B"/>
    <w:rsid w:val="00D250E3"/>
    <w:rsid w:val="00D30C8C"/>
    <w:rsid w:val="00D32391"/>
    <w:rsid w:val="00D42357"/>
    <w:rsid w:val="00D424DC"/>
    <w:rsid w:val="00D46712"/>
    <w:rsid w:val="00D503C5"/>
    <w:rsid w:val="00D52A4B"/>
    <w:rsid w:val="00D53F5C"/>
    <w:rsid w:val="00D6119D"/>
    <w:rsid w:val="00D62A39"/>
    <w:rsid w:val="00D659BD"/>
    <w:rsid w:val="00D86814"/>
    <w:rsid w:val="00D91306"/>
    <w:rsid w:val="00DA1EA4"/>
    <w:rsid w:val="00DB7B02"/>
    <w:rsid w:val="00DC1704"/>
    <w:rsid w:val="00DC24E1"/>
    <w:rsid w:val="00DC399F"/>
    <w:rsid w:val="00DC6A93"/>
    <w:rsid w:val="00DD17CF"/>
    <w:rsid w:val="00DD4C88"/>
    <w:rsid w:val="00DD6D4F"/>
    <w:rsid w:val="00DD6EB6"/>
    <w:rsid w:val="00DE680C"/>
    <w:rsid w:val="00DE773A"/>
    <w:rsid w:val="00DF1029"/>
    <w:rsid w:val="00DF4770"/>
    <w:rsid w:val="00DF75E8"/>
    <w:rsid w:val="00E06F9C"/>
    <w:rsid w:val="00E07B1E"/>
    <w:rsid w:val="00E15084"/>
    <w:rsid w:val="00E238AF"/>
    <w:rsid w:val="00E27014"/>
    <w:rsid w:val="00E31A6B"/>
    <w:rsid w:val="00E33621"/>
    <w:rsid w:val="00E36345"/>
    <w:rsid w:val="00E41456"/>
    <w:rsid w:val="00E51189"/>
    <w:rsid w:val="00E5130D"/>
    <w:rsid w:val="00E53E23"/>
    <w:rsid w:val="00E5541C"/>
    <w:rsid w:val="00E63202"/>
    <w:rsid w:val="00E72790"/>
    <w:rsid w:val="00E747D8"/>
    <w:rsid w:val="00E7515A"/>
    <w:rsid w:val="00E75B76"/>
    <w:rsid w:val="00E76EA9"/>
    <w:rsid w:val="00E77B7B"/>
    <w:rsid w:val="00E81C6C"/>
    <w:rsid w:val="00E83A3E"/>
    <w:rsid w:val="00E84831"/>
    <w:rsid w:val="00E91CD6"/>
    <w:rsid w:val="00E946C3"/>
    <w:rsid w:val="00EA0BA4"/>
    <w:rsid w:val="00EA2AC6"/>
    <w:rsid w:val="00EA31D2"/>
    <w:rsid w:val="00EA61D3"/>
    <w:rsid w:val="00EA680F"/>
    <w:rsid w:val="00EC26C3"/>
    <w:rsid w:val="00EC7CCD"/>
    <w:rsid w:val="00ED1087"/>
    <w:rsid w:val="00EE383D"/>
    <w:rsid w:val="00EE798D"/>
    <w:rsid w:val="00EF0AB7"/>
    <w:rsid w:val="00EF12F6"/>
    <w:rsid w:val="00F015FB"/>
    <w:rsid w:val="00F04826"/>
    <w:rsid w:val="00F122A3"/>
    <w:rsid w:val="00F13FD9"/>
    <w:rsid w:val="00F15527"/>
    <w:rsid w:val="00F155C0"/>
    <w:rsid w:val="00F16D46"/>
    <w:rsid w:val="00F22AC8"/>
    <w:rsid w:val="00F26DC4"/>
    <w:rsid w:val="00F27F4E"/>
    <w:rsid w:val="00F31950"/>
    <w:rsid w:val="00F3227A"/>
    <w:rsid w:val="00F42F1E"/>
    <w:rsid w:val="00F43551"/>
    <w:rsid w:val="00F4496E"/>
    <w:rsid w:val="00F44B36"/>
    <w:rsid w:val="00F46450"/>
    <w:rsid w:val="00F5507B"/>
    <w:rsid w:val="00F561F3"/>
    <w:rsid w:val="00F65E04"/>
    <w:rsid w:val="00F678EB"/>
    <w:rsid w:val="00F754FD"/>
    <w:rsid w:val="00F76C32"/>
    <w:rsid w:val="00F8070B"/>
    <w:rsid w:val="00F8282B"/>
    <w:rsid w:val="00F86278"/>
    <w:rsid w:val="00F9054C"/>
    <w:rsid w:val="00F91039"/>
    <w:rsid w:val="00F916B6"/>
    <w:rsid w:val="00F91730"/>
    <w:rsid w:val="00F97295"/>
    <w:rsid w:val="00FA0009"/>
    <w:rsid w:val="00FA1407"/>
    <w:rsid w:val="00FA16FF"/>
    <w:rsid w:val="00FA523C"/>
    <w:rsid w:val="00FB00A6"/>
    <w:rsid w:val="00FB00E5"/>
    <w:rsid w:val="00FB2F9A"/>
    <w:rsid w:val="00FB421B"/>
    <w:rsid w:val="00FB7418"/>
    <w:rsid w:val="00FB7BFB"/>
    <w:rsid w:val="00FC1FE5"/>
    <w:rsid w:val="00FC35BF"/>
    <w:rsid w:val="00FC3BB5"/>
    <w:rsid w:val="00FD1EF4"/>
    <w:rsid w:val="00FD5982"/>
    <w:rsid w:val="00FD7F02"/>
    <w:rsid w:val="00FE4160"/>
    <w:rsid w:val="00FE53B7"/>
    <w:rsid w:val="00FF0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FB74"/>
  <w15:docId w15:val="{F908AB54-AB8A-4E04-BBBE-CB67333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50"/>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F31950"/>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222BA3"/>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F31950"/>
    <w:pPr>
      <w:keepNext/>
      <w:keepLines/>
      <w:spacing w:before="360"/>
      <w:contextualSpacing/>
      <w:outlineLvl w:val="2"/>
    </w:pPr>
    <w:rPr>
      <w:rFonts w:eastAsia="MS Gothic" w:cs="Times New Roman"/>
      <w:b/>
      <w:color w:val="4F226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950"/>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222BA3"/>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F31950"/>
    <w:rPr>
      <w:rFonts w:ascii="Arial" w:eastAsia="MS Gothic" w:hAnsi="Arial" w:cs="Times New Roman"/>
      <w:b/>
      <w:color w:val="4F2260"/>
      <w:sz w:val="32"/>
      <w:szCs w:val="24"/>
      <w:lang w:eastAsia="ja-JP"/>
    </w:rPr>
  </w:style>
  <w:style w:type="paragraph" w:styleId="Title">
    <w:name w:val="Title"/>
    <w:basedOn w:val="Normal"/>
    <w:link w:val="TitleChar"/>
    <w:uiPriority w:val="1"/>
    <w:rsid w:val="00F31950"/>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F31950"/>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F31950"/>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F31950"/>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F31950"/>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F31950"/>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F31950"/>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qFormat/>
    <w:rsid w:val="00B364E6"/>
    <w:pPr>
      <w:numPr>
        <w:numId w:val="3"/>
      </w:numPr>
      <w:tabs>
        <w:tab w:val="left" w:pos="0"/>
      </w:tabs>
      <w:spacing w:before="0" w:after="160"/>
      <w:ind w:left="1068"/>
      <w:contextualSpacing/>
    </w:pPr>
    <w:rPr>
      <w:rFonts w:eastAsiaTheme="minorHAnsi"/>
      <w:szCs w:val="24"/>
      <w:lang w:eastAsia="en-US"/>
    </w:rPr>
  </w:style>
  <w:style w:type="character" w:styleId="EndnoteReference">
    <w:name w:val="endnote reference"/>
    <w:basedOn w:val="DefaultParagraphFont"/>
    <w:uiPriority w:val="99"/>
    <w:unhideWhenUsed/>
    <w:rsid w:val="00F31950"/>
    <w:rPr>
      <w:vertAlign w:val="superscript"/>
    </w:rPr>
  </w:style>
  <w:style w:type="paragraph" w:styleId="TOC1">
    <w:name w:val="toc 1"/>
    <w:basedOn w:val="Normal"/>
    <w:next w:val="Normal"/>
    <w:autoRedefine/>
    <w:uiPriority w:val="39"/>
    <w:unhideWhenUsed/>
    <w:rsid w:val="00F31950"/>
    <w:pPr>
      <w:spacing w:after="100"/>
    </w:pPr>
  </w:style>
  <w:style w:type="paragraph" w:styleId="TOC2">
    <w:name w:val="toc 2"/>
    <w:basedOn w:val="Normal"/>
    <w:next w:val="Normal"/>
    <w:autoRedefine/>
    <w:uiPriority w:val="39"/>
    <w:unhideWhenUsed/>
    <w:rsid w:val="00F31950"/>
    <w:pPr>
      <w:spacing w:after="100"/>
      <w:ind w:left="240"/>
    </w:pPr>
  </w:style>
  <w:style w:type="paragraph" w:styleId="TOC3">
    <w:name w:val="toc 3"/>
    <w:basedOn w:val="Normal"/>
    <w:next w:val="Normal"/>
    <w:autoRedefine/>
    <w:uiPriority w:val="39"/>
    <w:unhideWhenUsed/>
    <w:rsid w:val="00F31950"/>
    <w:pPr>
      <w:spacing w:after="100"/>
      <w:ind w:left="480"/>
    </w:pPr>
  </w:style>
  <w:style w:type="paragraph" w:styleId="Salutation">
    <w:name w:val="Salutation"/>
    <w:basedOn w:val="Normal"/>
    <w:next w:val="Normal"/>
    <w:link w:val="SalutationChar"/>
    <w:uiPriority w:val="99"/>
    <w:semiHidden/>
    <w:unhideWhenUsed/>
    <w:rsid w:val="00F31950"/>
  </w:style>
  <w:style w:type="character" w:customStyle="1" w:styleId="SalutationChar">
    <w:name w:val="Salutation Char"/>
    <w:basedOn w:val="DefaultParagraphFont"/>
    <w:link w:val="Salutation"/>
    <w:uiPriority w:val="99"/>
    <w:semiHidden/>
    <w:rsid w:val="00F31950"/>
    <w:rPr>
      <w:rFonts w:ascii="Arial" w:eastAsia="MS Mincho" w:hAnsi="Arial" w:cs="Arial"/>
      <w:sz w:val="24"/>
      <w:szCs w:val="16"/>
      <w:lang w:eastAsia="ja-JP"/>
    </w:rPr>
  </w:style>
  <w:style w:type="paragraph" w:styleId="EndnoteText">
    <w:name w:val="endnote text"/>
    <w:basedOn w:val="Normal"/>
    <w:link w:val="EndnoteTextChar"/>
    <w:uiPriority w:val="99"/>
    <w:semiHidden/>
    <w:unhideWhenUsed/>
    <w:rsid w:val="00F31950"/>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31950"/>
    <w:rPr>
      <w:rFonts w:ascii="Arial" w:eastAsia="MS Mincho" w:hAnsi="Arial" w:cs="Arial"/>
      <w:sz w:val="20"/>
      <w:szCs w:val="20"/>
      <w:lang w:eastAsia="ja-JP"/>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locked/>
    <w:rsid w:val="00B364E6"/>
    <w:rPr>
      <w:rFonts w:ascii="Arial" w:hAnsi="Arial" w:cs="Arial"/>
      <w:sz w:val="24"/>
      <w:szCs w:val="24"/>
    </w:rPr>
  </w:style>
  <w:style w:type="character" w:styleId="FollowedHyperlink">
    <w:name w:val="FollowedHyperlink"/>
    <w:basedOn w:val="DefaultParagraphFont"/>
    <w:uiPriority w:val="99"/>
    <w:semiHidden/>
    <w:unhideWhenUsed/>
    <w:rsid w:val="00F15527"/>
    <w:rPr>
      <w:color w:val="954F72" w:themeColor="followedHyperlink"/>
      <w:u w:val="single"/>
    </w:rPr>
  </w:style>
  <w:style w:type="character" w:styleId="UnresolvedMention">
    <w:name w:val="Unresolved Mention"/>
    <w:basedOn w:val="DefaultParagraphFont"/>
    <w:uiPriority w:val="99"/>
    <w:semiHidden/>
    <w:unhideWhenUsed/>
    <w:rsid w:val="000804FE"/>
    <w:rPr>
      <w:color w:val="605E5C"/>
      <w:shd w:val="clear" w:color="auto" w:fill="E1DFDD"/>
    </w:rPr>
  </w:style>
  <w:style w:type="paragraph" w:styleId="FootnoteText">
    <w:name w:val="footnote text"/>
    <w:basedOn w:val="Normal"/>
    <w:link w:val="FootnoteTextChar"/>
    <w:uiPriority w:val="99"/>
    <w:semiHidden/>
    <w:unhideWhenUsed/>
    <w:rsid w:val="009B7D8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B7D88"/>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9B7D88"/>
    <w:rPr>
      <w:vertAlign w:val="superscript"/>
    </w:rPr>
  </w:style>
  <w:style w:type="paragraph" w:styleId="NormalWeb">
    <w:name w:val="Normal (Web)"/>
    <w:basedOn w:val="Normal"/>
    <w:uiPriority w:val="99"/>
    <w:unhideWhenUsed/>
    <w:rsid w:val="006664B3"/>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A1CA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A1CA7"/>
    <w:rPr>
      <w:rFonts w:ascii="Arial" w:eastAsia="MS Mincho" w:hAnsi="Arial" w:cs="Arial"/>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4040">
      <w:bodyDiv w:val="1"/>
      <w:marLeft w:val="0"/>
      <w:marRight w:val="0"/>
      <w:marTop w:val="0"/>
      <w:marBottom w:val="0"/>
      <w:divBdr>
        <w:top w:val="none" w:sz="0" w:space="0" w:color="auto"/>
        <w:left w:val="none" w:sz="0" w:space="0" w:color="auto"/>
        <w:bottom w:val="none" w:sz="0" w:space="0" w:color="auto"/>
        <w:right w:val="none" w:sz="0" w:space="0" w:color="auto"/>
      </w:divBdr>
    </w:div>
    <w:div w:id="945650054">
      <w:bodyDiv w:val="1"/>
      <w:marLeft w:val="0"/>
      <w:marRight w:val="0"/>
      <w:marTop w:val="0"/>
      <w:marBottom w:val="0"/>
      <w:divBdr>
        <w:top w:val="none" w:sz="0" w:space="0" w:color="auto"/>
        <w:left w:val="none" w:sz="0" w:space="0" w:color="auto"/>
        <w:bottom w:val="none" w:sz="0" w:space="0" w:color="auto"/>
        <w:right w:val="none" w:sz="0" w:space="0" w:color="auto"/>
      </w:divBdr>
    </w:div>
    <w:div w:id="1126044675">
      <w:bodyDiv w:val="1"/>
      <w:marLeft w:val="0"/>
      <w:marRight w:val="0"/>
      <w:marTop w:val="0"/>
      <w:marBottom w:val="0"/>
      <w:divBdr>
        <w:top w:val="none" w:sz="0" w:space="0" w:color="auto"/>
        <w:left w:val="none" w:sz="0" w:space="0" w:color="auto"/>
        <w:bottom w:val="none" w:sz="0" w:space="0" w:color="auto"/>
        <w:right w:val="none" w:sz="0" w:space="0" w:color="auto"/>
      </w:divBdr>
    </w:div>
    <w:div w:id="2059890632">
      <w:bodyDiv w:val="1"/>
      <w:marLeft w:val="0"/>
      <w:marRight w:val="0"/>
      <w:marTop w:val="0"/>
      <w:marBottom w:val="0"/>
      <w:divBdr>
        <w:top w:val="none" w:sz="0" w:space="0" w:color="auto"/>
        <w:left w:val="none" w:sz="0" w:space="0" w:color="auto"/>
        <w:bottom w:val="none" w:sz="0" w:space="0" w:color="auto"/>
        <w:right w:val="none" w:sz="0" w:space="0" w:color="auto"/>
      </w:divBdr>
    </w:div>
    <w:div w:id="2129352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ey.crawford@bca.org.au"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bca.org.au/wp-content/uploads/2023/02/BCA-Response-to-Employment-White-Paper-v1.0-FINAL.docx" TargetMode="External"/><Relationship Id="rId13" Type="http://schemas.openxmlformats.org/officeDocument/2006/relationships/hyperlink" Target="https://wwda.org.au/blog/blindness-is-a-spectrum/" TargetMode="External"/><Relationship Id="rId18" Type="http://schemas.openxmlformats.org/officeDocument/2006/relationships/hyperlink" Target="https://www.betterhealth.vic.gov.au/health/conditionsandtreatments/vision-therapy" TargetMode="External"/><Relationship Id="rId3" Type="http://schemas.openxmlformats.org/officeDocument/2006/relationships/hyperlink" Target="https://www.ndis.gov.au/media/4803/download" TargetMode="External"/><Relationship Id="rId7" Type="http://schemas.openxmlformats.org/officeDocument/2006/relationships/hyperlink" Target="https://www.abc.net.au/news/2022-10-01/accessible-television-for-blind-and-vision-impaired-community/101491710" TargetMode="External"/><Relationship Id="rId12" Type="http://schemas.openxmlformats.org/officeDocument/2006/relationships/hyperlink" Target="https://www.bca.org.au/wp-content/uploads/2019/11/RC-Aged-Care-Submission-Oct-2019.docx" TargetMode="External"/><Relationship Id="rId17" Type="http://schemas.openxmlformats.org/officeDocument/2006/relationships/hyperlink" Target="https://www.vision2020australia.org.au/our-work/settingaustraliassights/" TargetMode="External"/><Relationship Id="rId2" Type="http://schemas.openxmlformats.org/officeDocument/2006/relationships/hyperlink" Target="https://www.abc.net.au/news/2022-05-18/australians-not-on-ndis-forgotten/101072632" TargetMode="External"/><Relationship Id="rId16" Type="http://schemas.openxmlformats.org/officeDocument/2006/relationships/hyperlink" Target="https://www.pc.gov.au/__data/assets/pdf_file/0003/215760/sub0130-ndis-costs.pdf"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pc.gov.au/inquiries/completed/disability-support/submissions/subdr0758.pdf" TargetMode="External"/><Relationship Id="rId11" Type="http://schemas.openxmlformats.org/officeDocument/2006/relationships/hyperlink" Target="https://www.bca.org.au/wp-content/uploads/2018/07/Becoming-A-Participant.docx" TargetMode="External"/><Relationship Id="rId5" Type="http://schemas.openxmlformats.org/officeDocument/2006/relationships/hyperlink" Target="https://www.bca.org.au/wp-content/uploads/2019/07/2019-Blindness-Service-Provider-Expectations-Policy-FINAL.docx" TargetMode="External"/><Relationship Id="rId15" Type="http://schemas.openxmlformats.org/officeDocument/2006/relationships/hyperlink" Target="https://www.ndiscommission.gov.au/sites/default/files/2023-01/Own%20Motion%20Inquiry%20FINAL%20Report%20-%2016%20January%202023.pdf" TargetMode="External"/><Relationship Id="rId10" Type="http://schemas.openxmlformats.org/officeDocument/2006/relationships/hyperlink" Target="https://www.bca.org.au/wp-content/uploads/2021/06/BCA-Response-to-Promoting-Inclusion-Issues-Paper-Civic-Participation.docx" TargetMode="External"/><Relationship Id="rId19" Type="http://schemas.openxmlformats.org/officeDocument/2006/relationships/hyperlink" Target="https://www.health.gov.au/topics/medicare/about/what-medicare-covers" TargetMode="External"/><Relationship Id="rId4" Type="http://schemas.openxmlformats.org/officeDocument/2006/relationships/hyperlink" Target="https://www.visability.com.au/funding/" TargetMode="External"/><Relationship Id="rId9" Type="http://schemas.openxmlformats.org/officeDocument/2006/relationships/hyperlink" Target="https://www.arata.org.au/about-at/" TargetMode="External"/><Relationship Id="rId14" Type="http://schemas.openxmlformats.org/officeDocument/2006/relationships/hyperlink" Target="https://assistivetechforall.org.au/wp-ontent/uploads/2022/10/Australian_AT_Equity_Studies_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999D93F6-4E40-45DE-B8A8-338509D2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E0530-EF79-40BF-B219-9F44D17340E8}">
  <ds:schemaRefs>
    <ds:schemaRef ds:uri="http://schemas.openxmlformats.org/officeDocument/2006/bibliography"/>
  </ds:schemaRefs>
</ds:datastoreItem>
</file>

<file path=customXml/itemProps3.xml><?xml version="1.0" encoding="utf-8"?>
<ds:datastoreItem xmlns:ds="http://schemas.openxmlformats.org/officeDocument/2006/customXml" ds:itemID="{0F29C88C-B2F0-491F-867F-E2E31C227739}">
  <ds:schemaRefs>
    <ds:schemaRef ds:uri="http://schemas.microsoft.com/sharepoint/v3/contenttype/forms"/>
  </ds:schemaRefs>
</ds:datastoreItem>
</file>

<file path=customXml/itemProps4.xml><?xml version="1.0" encoding="utf-8"?>
<ds:datastoreItem xmlns:ds="http://schemas.openxmlformats.org/officeDocument/2006/customXml" ds:itemID="{2F133596-A3F9-4083-8A32-67AE1A8A62A7}">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21</Pages>
  <Words>5801</Words>
  <Characters>33072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769</cp:revision>
  <dcterms:created xsi:type="dcterms:W3CDTF">2023-01-30T07:44:00Z</dcterms:created>
  <dcterms:modified xsi:type="dcterms:W3CDTF">2023-04-03T09:02:00Z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