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Pr="00041591" w:rsidR="00A36708" w:rsidP="0081753A" w:rsidRDefault="00A36708" w14:paraId="63BDD9B6" w14:textId="77777777">
      <w:pPr>
        <w:pStyle w:val="Heading1"/>
      </w:pPr>
      <w:bookmarkStart w:name="_Toc121911083" w:id="0"/>
      <w:r w:rsidRPr="00041591">
        <w:rPr>
          <w:noProof/>
        </w:rPr>
        <w:drawing>
          <wp:inline distT="0" distB="0" distL="0" distR="0" wp14:anchorId="73E99BA4" wp14:editId="6404DB5C">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0"/>
                    <a:stretch>
                      <a:fillRect/>
                    </a:stretch>
                  </pic:blipFill>
                  <pic:spPr>
                    <a:xfrm>
                      <a:off x="0" y="0"/>
                      <a:ext cx="5547133" cy="832070"/>
                    </a:xfrm>
                    <a:prstGeom prst="rect">
                      <a:avLst/>
                    </a:prstGeom>
                  </pic:spPr>
                </pic:pic>
              </a:graphicData>
            </a:graphic>
          </wp:inline>
        </w:drawing>
      </w:r>
      <w:bookmarkEnd w:id="0"/>
    </w:p>
    <w:p w:rsidRPr="00041591" w:rsidR="00A36708" w:rsidP="00A36708" w:rsidRDefault="00A36708" w14:paraId="0555FBA1" w14:textId="77777777">
      <w:pPr>
        <w:pStyle w:val="Date"/>
      </w:pPr>
      <w:bookmarkStart w:name="_Toc83292715" w:id="1"/>
      <w:r w:rsidRPr="00041591">
        <w:t>Ph</w:t>
      </w:r>
      <w:bookmarkEnd w:id="1"/>
      <w:r w:rsidRPr="00041591">
        <w:t xml:space="preserve"> 1800 033 660 | E </w:t>
      </w:r>
      <w:hyperlink w:history="1" r:id="rId11">
        <w:r w:rsidRPr="00041591">
          <w:rPr>
            <w:rStyle w:val="Hyperlink"/>
          </w:rPr>
          <w:t>bca@bca.org.au</w:t>
        </w:r>
      </w:hyperlink>
      <w:r w:rsidRPr="00041591">
        <w:rPr>
          <w:rStyle w:val="Hyperlink"/>
        </w:rPr>
        <w:t xml:space="preserve"> </w:t>
      </w:r>
      <w:r w:rsidRPr="00041591">
        <w:t xml:space="preserve"> |  W </w:t>
      </w:r>
      <w:hyperlink w:tooltip="click to go to BCA website" w:history="1" r:id="rId12">
        <w:r w:rsidRPr="00041591">
          <w:rPr>
            <w:rStyle w:val="Hyperlink"/>
          </w:rPr>
          <w:t>bca.org.au</w:t>
        </w:r>
      </w:hyperlink>
      <w:r w:rsidRPr="00041591">
        <w:rPr>
          <w:rStyle w:val="Hyperlink"/>
          <w:u w:val="none"/>
        </w:rPr>
        <w:t xml:space="preserve"> | </w:t>
      </w:r>
      <w:r w:rsidRPr="00041591">
        <w:rPr>
          <w:rStyle w:val="Hyperlink"/>
        </w:rPr>
        <w:t>ABN</w:t>
      </w:r>
      <w:r w:rsidRPr="00041591">
        <w:t xml:space="preserve"> 90 006 985 226</w:t>
      </w:r>
    </w:p>
    <w:p w:rsidRPr="0081753A" w:rsidR="00A36708" w:rsidP="0081753A" w:rsidRDefault="0081753A" w14:paraId="4EA3012A" w14:textId="15A749A4">
      <w:pPr>
        <w:pStyle w:val="Heading1"/>
      </w:pPr>
      <w:r w:rsidRPr="0081753A">
        <w:t xml:space="preserve">Position Paper on </w:t>
      </w:r>
      <w:r w:rsidR="00003E04">
        <w:t>Employment</w:t>
      </w:r>
    </w:p>
    <w:p w:rsidRPr="00041591" w:rsidR="00A36708" w:rsidP="0081753A" w:rsidRDefault="0081753A" w14:paraId="605C1B3D" w14:textId="527DED59">
      <w:bookmarkStart w:name="_Toc59048282" w:id="2"/>
      <w:r>
        <w:t>September</w:t>
      </w:r>
      <w:r w:rsidRPr="00041591" w:rsidR="00267F05">
        <w:t xml:space="preserve"> </w:t>
      </w:r>
      <w:r w:rsidRPr="00041591" w:rsidR="00A36708">
        <w:t>202</w:t>
      </w:r>
      <w:r>
        <w:t>3</w:t>
      </w:r>
    </w:p>
    <w:bookmarkEnd w:id="2"/>
    <w:p w:rsidRPr="0081753A" w:rsidR="00A36708" w:rsidP="0081753A" w:rsidRDefault="0081753A" w14:paraId="0B02D357" w14:textId="67B59BE5">
      <w:pPr>
        <w:pStyle w:val="Heading2"/>
      </w:pPr>
      <w:r>
        <w:t>Background</w:t>
      </w:r>
    </w:p>
    <w:p w:rsidR="00003E04" w:rsidP="00003E04" w:rsidRDefault="00003E04" w14:paraId="20491743" w14:textId="77777777">
      <w:bookmarkStart w:name="_Toc59048284" w:id="3"/>
      <w:r>
        <w:t xml:space="preserve">Employment is the cornerstone of social inclusion. Paid work provides dignity, a source of income and a sense of purpose. People who are blind or vision impaired can and should be meaningfully employed. </w:t>
      </w:r>
    </w:p>
    <w:p w:rsidR="00003E04" w:rsidP="00003E04" w:rsidRDefault="00003E04" w14:paraId="2F0E2D7F" w14:textId="77777777">
      <w:r>
        <w:t xml:space="preserve">People who are blind or vision impaired are excellent employees. They are flexible, </w:t>
      </w:r>
      <w:proofErr w:type="gramStart"/>
      <w:r>
        <w:t>skilful</w:t>
      </w:r>
      <w:proofErr w:type="gramEnd"/>
      <w:r>
        <w:t xml:space="preserve"> and creative. They are also resilient and often possess strong leadership skills, which are honed by the barriers they encounter each day. </w:t>
      </w:r>
    </w:p>
    <w:p w:rsidR="00A36708" w:rsidP="00003E04" w:rsidRDefault="00003E04" w14:paraId="6E9E5DFA" w14:textId="4DF437E7">
      <w:r>
        <w:t xml:space="preserve">People who are blind or vision impaired work in a wide variety of occupations – from accounting, </w:t>
      </w:r>
      <w:proofErr w:type="gramStart"/>
      <w:r>
        <w:t>administration</w:t>
      </w:r>
      <w:proofErr w:type="gramEnd"/>
      <w:r>
        <w:t xml:space="preserve"> and allied healthcare to manufacturing, meteorology and music. Blind Citizens Australia (BCA) is committed to promoting the reliability, dedication and job readiness of people who are blind or vision impaired, most notably through the ‘Eye to the Future’ initiative</w:t>
      </w:r>
      <w:r w:rsidRPr="00041591" w:rsidR="00A36708">
        <w:t xml:space="preserve">. </w:t>
      </w:r>
    </w:p>
    <w:bookmarkEnd w:id="3"/>
    <w:p w:rsidRPr="00041591" w:rsidR="00A36708" w:rsidP="0081753A" w:rsidRDefault="00003E04" w14:paraId="49037135" w14:textId="1EA0FDA7">
      <w:pPr>
        <w:pStyle w:val="Heading2"/>
      </w:pPr>
      <w:r>
        <w:t>Responses to common concerns by Employers</w:t>
      </w:r>
    </w:p>
    <w:p w:rsidR="00553D41" w:rsidP="00553D41" w:rsidRDefault="00553D41" w14:paraId="76748292" w14:textId="2FFD458F">
      <w:pPr>
        <w:pStyle w:val="Heading3"/>
      </w:pPr>
      <w:r>
        <w:t>Workplace Health and Safety</w:t>
      </w:r>
    </w:p>
    <w:p w:rsidRPr="00A97A07" w:rsidR="00553D41" w:rsidP="00553D41" w:rsidRDefault="00553D41" w14:paraId="6E72B011" w14:textId="1ED9550E">
      <w:pPr>
        <w:rPr>
          <w:szCs w:val="24"/>
        </w:rPr>
      </w:pPr>
      <w:r>
        <w:rPr>
          <w:rFonts w:eastAsia="Calibri"/>
          <w:szCs w:val="24"/>
        </w:rPr>
        <w:t xml:space="preserve">In our advocacy work, BCA has encountered several prevailing myths that often prevent employers from hiring people who are blind or vision impaired. Chief amongst them is the fear that people who are blind or vision impaired are at higher risk of experiencing occupational injury. In fact, there is no evidence that people who are blind or vision impaired are more likely to be injured at work than people without a disability. </w:t>
      </w:r>
    </w:p>
    <w:p w:rsidR="00553D41" w:rsidP="00553D41" w:rsidRDefault="00553D41" w14:paraId="40D96F57" w14:textId="77777777">
      <w:pPr>
        <w:rPr>
          <w:rFonts w:eastAsia="Calibri"/>
          <w:szCs w:val="24"/>
        </w:rPr>
      </w:pPr>
      <w:r>
        <w:rPr>
          <w:rFonts w:eastAsia="Calibri"/>
          <w:szCs w:val="24"/>
        </w:rPr>
        <w:t xml:space="preserve">People who are blind or vision impaired learn strategies to get around safely – often with a white cane or a dog guide – and are, in fact, more likely to take caution and show attentiveness when navigating their surrounds. Handrails and tactile ground surface indicators assist people who are </w:t>
      </w:r>
      <w:proofErr w:type="gramStart"/>
      <w:r>
        <w:rPr>
          <w:rFonts w:eastAsia="Calibri"/>
          <w:szCs w:val="24"/>
        </w:rPr>
        <w:t>blind</w:t>
      </w:r>
      <w:proofErr w:type="gramEnd"/>
      <w:r>
        <w:rPr>
          <w:rFonts w:eastAsia="Calibri"/>
          <w:szCs w:val="24"/>
        </w:rPr>
        <w:t xml:space="preserve"> or vision impaired in using stairs.</w:t>
      </w:r>
    </w:p>
    <w:p w:rsidR="00553D41" w:rsidP="00553D41" w:rsidRDefault="00553D41" w14:paraId="70913D7C" w14:textId="77777777">
      <w:pPr>
        <w:rPr>
          <w:rFonts w:eastAsia="Calibri"/>
          <w:szCs w:val="24"/>
        </w:rPr>
      </w:pPr>
      <w:r>
        <w:rPr>
          <w:rFonts w:eastAsia="Calibri"/>
          <w:szCs w:val="24"/>
        </w:rPr>
        <w:t>Australian researchers have found that occupational health and safety incidents are six times lower, and workers’ compensation incidents four times lower, for people with disability than for other employees.</w:t>
      </w:r>
      <w:r>
        <w:rPr>
          <w:rStyle w:val="EndnoteReference"/>
          <w:rFonts w:eastAsia="Calibri"/>
        </w:rPr>
        <w:endnoteReference w:id="1"/>
      </w:r>
      <w:r>
        <w:rPr>
          <w:rFonts w:eastAsia="Calibri"/>
          <w:szCs w:val="24"/>
        </w:rPr>
        <w:t xml:space="preserve"> People with disability are also less likely to take sick leave than other employees.</w:t>
      </w:r>
      <w:r>
        <w:rPr>
          <w:rStyle w:val="EndnoteReference"/>
          <w:rFonts w:eastAsia="Calibri"/>
        </w:rPr>
        <w:endnoteReference w:id="2"/>
      </w:r>
      <w:r>
        <w:rPr>
          <w:rFonts w:eastAsia="Calibri"/>
          <w:szCs w:val="24"/>
        </w:rPr>
        <w:t xml:space="preserve"> Vision Australia, which employs 100 people who are blind or vision impaired, has not had a single workplace safety incident over a six-year period.</w:t>
      </w:r>
      <w:r>
        <w:rPr>
          <w:rStyle w:val="EndnoteReference"/>
          <w:rFonts w:eastAsia="Calibri"/>
        </w:rPr>
        <w:endnoteReference w:id="3"/>
      </w:r>
    </w:p>
    <w:p w:rsidR="00553D41" w:rsidP="00553D41" w:rsidRDefault="00553D41" w14:paraId="0EF0B8EF" w14:textId="77777777">
      <w:pPr>
        <w:rPr>
          <w:rFonts w:eastAsia="Calibri"/>
          <w:szCs w:val="24"/>
        </w:rPr>
      </w:pPr>
      <w:r>
        <w:rPr>
          <w:rFonts w:eastAsia="Calibri"/>
          <w:szCs w:val="24"/>
        </w:rPr>
        <w:t xml:space="preserve">Employers are legally required to maintain a safe workplace for all employees, regardless of whether there is an employee who is blind or vision impaired. All employees benefit from good lighting, clear </w:t>
      </w:r>
      <w:proofErr w:type="gramStart"/>
      <w:r>
        <w:rPr>
          <w:rFonts w:eastAsia="Calibri"/>
          <w:szCs w:val="24"/>
        </w:rPr>
        <w:t>signage</w:t>
      </w:r>
      <w:proofErr w:type="gramEnd"/>
      <w:r>
        <w:rPr>
          <w:rFonts w:eastAsia="Calibri"/>
          <w:szCs w:val="24"/>
        </w:rPr>
        <w:t xml:space="preserve"> and an obstacle-free workplace. </w:t>
      </w:r>
    </w:p>
    <w:p w:rsidR="005D73B0" w:rsidP="00553D41" w:rsidRDefault="00553D41" w14:paraId="30C35081" w14:textId="43F3581B">
      <w:r>
        <w:rPr>
          <w:rFonts w:eastAsia="Calibri"/>
          <w:szCs w:val="24"/>
        </w:rPr>
        <w:t>There is, ultimately, no workplace health and safety basis for not hiring a person who is blind or vision impaired. Having employed a person who is blind or vision impaired, an employer must ensure that evacuation procedures are clearly communicated and accessible to all employees</w:t>
      </w:r>
      <w:r w:rsidRPr="00041591" w:rsidR="00E371BD">
        <w:t>.</w:t>
      </w:r>
    </w:p>
    <w:p w:rsidR="00553D41" w:rsidP="00553D41" w:rsidRDefault="00553D41" w14:paraId="319ED2F0" w14:textId="73E3C529">
      <w:pPr>
        <w:pStyle w:val="Heading3"/>
      </w:pPr>
      <w:r>
        <w:t>Expense of Workplace Adjustments</w:t>
      </w:r>
    </w:p>
    <w:p w:rsidR="00553D41" w:rsidP="00553D41" w:rsidRDefault="00553D41" w14:paraId="20A678ED" w14:textId="3F026CDA">
      <w:pPr>
        <w:rPr>
          <w:rFonts w:eastAsia="Calibri"/>
          <w:szCs w:val="24"/>
        </w:rPr>
      </w:pPr>
      <w:r>
        <w:rPr>
          <w:rFonts w:eastAsia="Calibri"/>
          <w:szCs w:val="24"/>
        </w:rPr>
        <w:t xml:space="preserve">Employers often express concern that it is more expensive to hire employees who are blind or vision impaired, due to the need to purchase equipment and conduct special training. However, people who are blind or vision impaired are often eligible for government-funded assistive technology schemes. </w:t>
      </w:r>
    </w:p>
    <w:p w:rsidR="00553D41" w:rsidP="7952EC9D" w:rsidRDefault="00553D41" w14:paraId="2D79EA8D" w14:textId="4156B8B1">
      <w:pPr>
        <w:rPr>
          <w:rFonts w:eastAsia="Calibri"/>
        </w:rPr>
      </w:pPr>
      <w:r w:rsidRPr="7952EC9D" w:rsidR="00553D41">
        <w:rPr>
          <w:rFonts w:eastAsia="Calibri"/>
        </w:rPr>
        <w:t xml:space="preserve">Federal government programs such as </w:t>
      </w:r>
      <w:r w:rsidRPr="7952EC9D" w:rsidR="00553D41">
        <w:rPr>
          <w:rFonts w:eastAsia="Calibri"/>
        </w:rPr>
        <w:t>JobAccess</w:t>
      </w:r>
      <w:r w:rsidRPr="7952EC9D" w:rsidR="00553D41">
        <w:rPr>
          <w:rFonts w:eastAsia="Calibri"/>
        </w:rPr>
        <w:t xml:space="preserve"> and the Employment Assistance Fund (EAF) </w:t>
      </w:r>
      <w:r w:rsidRPr="7952EC9D" w:rsidR="00553D41">
        <w:rPr>
          <w:rFonts w:eastAsia="Calibri"/>
        </w:rPr>
        <w:t xml:space="preserve">facilitate</w:t>
      </w:r>
      <w:r w:rsidRPr="7952EC9D" w:rsidR="00553D41">
        <w:rPr>
          <w:rFonts w:eastAsia="Calibri"/>
        </w:rPr>
        <w:t xml:space="preserve"> the purchase of work-related modifications, equipment, workplace </w:t>
      </w:r>
      <w:r w:rsidRPr="7952EC9D" w:rsidR="00553D41">
        <w:rPr>
          <w:rFonts w:eastAsia="Calibri"/>
        </w:rPr>
        <w:t xml:space="preserve">assistance</w:t>
      </w:r>
      <w:r w:rsidRPr="7952EC9D" w:rsidR="00553D41">
        <w:rPr>
          <w:rFonts w:eastAsia="Calibri"/>
        </w:rPr>
        <w:t xml:space="preserve"> and support </w:t>
      </w:r>
      <w:r w:rsidRPr="7952EC9D" w:rsidR="00553D41">
        <w:rPr>
          <w:rFonts w:eastAsia="Calibri"/>
        </w:rPr>
        <w:t xml:space="preserve">services.</w:t>
      </w:r>
      <w:r>
        <w:rPr>
          <w:rStyle w:val="EndnoteReference"/>
          <w:rFonts w:eastAsia="Calibri"/>
        </w:rPr>
        <w:endnoteReference w:id="4"/>
      </w:r>
      <w:r w:rsidRPr="7952EC9D" w:rsidR="00553D41">
        <w:rPr>
          <w:rFonts w:eastAsia="Calibri"/>
        </w:rPr>
        <w:t xml:space="preserve"> These schemes involve employers and employees w</w:t>
      </w:r>
      <w:r w:rsidRPr="7952EC9D" w:rsidR="0ADB450D">
        <w:rPr>
          <w:rFonts w:eastAsia="Calibri"/>
        </w:rPr>
        <w:t xml:space="preserve">ith disability</w:t>
      </w:r>
      <w:r w:rsidRPr="7952EC9D" w:rsidR="00553D41">
        <w:rPr>
          <w:rFonts w:eastAsia="Calibri"/>
        </w:rPr>
        <w:t xml:space="preserve"> working together to make reasonable adjustments for their specific needs.</w:t>
      </w:r>
    </w:p>
    <w:p w:rsidR="00553D41" w:rsidP="00553D41" w:rsidRDefault="00553D41" w14:paraId="3927DD85" w14:textId="77777777">
      <w:pPr>
        <w:rPr>
          <w:rFonts w:eastAsia="Calibri"/>
          <w:szCs w:val="24"/>
        </w:rPr>
      </w:pPr>
      <w:r>
        <w:rPr>
          <w:rFonts w:eastAsia="Calibri"/>
          <w:szCs w:val="24"/>
        </w:rPr>
        <w:t xml:space="preserve">Employers may </w:t>
      </w:r>
      <w:proofErr w:type="gramStart"/>
      <w:r>
        <w:rPr>
          <w:rFonts w:eastAsia="Calibri"/>
          <w:szCs w:val="24"/>
        </w:rPr>
        <w:t>actually reduce</w:t>
      </w:r>
      <w:proofErr w:type="gramEnd"/>
      <w:r>
        <w:rPr>
          <w:rFonts w:eastAsia="Calibri"/>
          <w:szCs w:val="24"/>
        </w:rPr>
        <w:t xml:space="preserve"> expenses by hiring people who are blind or vision impaired. There are certain things that other employees utilise each day, such as on-site parking and many office supplies, that people who are blind or vision impaired will typically not require. </w:t>
      </w:r>
    </w:p>
    <w:p w:rsidR="00553D41" w:rsidP="00553D41" w:rsidRDefault="00553D41" w14:paraId="0EA5AF40" w14:textId="4969F6EE">
      <w:pPr>
        <w:rPr>
          <w:rFonts w:eastAsia="Calibri"/>
          <w:szCs w:val="24"/>
        </w:rPr>
      </w:pPr>
      <w:r>
        <w:rPr>
          <w:rFonts w:eastAsia="Calibri"/>
          <w:szCs w:val="24"/>
        </w:rPr>
        <w:t>And because of the higher employment retention rates of people who are blind or vision impaired – research by Vision Australia indicates that 43 per cent of people who are blind or vision impaired stay in the same job for more than five years – employers can also save on recruitment and training costs for new employees.</w:t>
      </w:r>
      <w:r>
        <w:rPr>
          <w:rStyle w:val="EndnoteReference"/>
          <w:rFonts w:eastAsia="Calibri"/>
        </w:rPr>
        <w:endnoteReference w:id="5"/>
      </w:r>
    </w:p>
    <w:p w:rsidR="00553D41" w:rsidP="00553D41" w:rsidRDefault="00553D41" w14:paraId="17126B16" w14:textId="3ADBAEC1">
      <w:pPr>
        <w:pStyle w:val="Heading3"/>
      </w:pPr>
      <w:r>
        <w:t>Productivity</w:t>
      </w:r>
    </w:p>
    <w:p w:rsidR="00553D41" w:rsidP="00553D41" w:rsidRDefault="00553D41" w14:paraId="5CA03B79" w14:textId="0A69195F">
      <w:pPr>
        <w:rPr>
          <w:rFonts w:eastAsia="Calibri"/>
          <w:szCs w:val="24"/>
        </w:rPr>
      </w:pPr>
      <w:r>
        <w:rPr>
          <w:rFonts w:eastAsia="Calibri"/>
          <w:szCs w:val="24"/>
        </w:rPr>
        <w:t>Some employers have expressed concern about the productivity of people who are blind or vision impaired. When given the right tools, however, people who are blind or vision impaired get the job done. Australian researchers have found that people who are blind or vision impaired are highly adept at using modern technologies such as smartphones.</w:t>
      </w:r>
      <w:r>
        <w:rPr>
          <w:rStyle w:val="EndnoteReference"/>
          <w:rFonts w:eastAsia="Calibri"/>
        </w:rPr>
        <w:endnoteReference w:id="6"/>
      </w:r>
      <w:r>
        <w:rPr>
          <w:rFonts w:eastAsia="Calibri"/>
          <w:szCs w:val="24"/>
        </w:rPr>
        <w:t xml:space="preserve"> All that is required of employers is to give people who are </w:t>
      </w:r>
      <w:proofErr w:type="gramStart"/>
      <w:r>
        <w:rPr>
          <w:rFonts w:eastAsia="Calibri"/>
          <w:szCs w:val="24"/>
        </w:rPr>
        <w:t>blind</w:t>
      </w:r>
      <w:proofErr w:type="gramEnd"/>
      <w:r>
        <w:rPr>
          <w:rFonts w:eastAsia="Calibri"/>
          <w:szCs w:val="24"/>
        </w:rPr>
        <w:t xml:space="preserve"> or vision impaired a chance. </w:t>
      </w:r>
    </w:p>
    <w:p w:rsidR="00553D41" w:rsidP="00553D41" w:rsidRDefault="00553D41" w14:paraId="40DC858E" w14:textId="0A166EEC">
      <w:pPr>
        <w:rPr>
          <w:rFonts w:eastAsia="Calibri"/>
          <w:szCs w:val="24"/>
        </w:rPr>
      </w:pPr>
      <w:r>
        <w:rPr>
          <w:rFonts w:eastAsia="Calibri"/>
          <w:szCs w:val="24"/>
        </w:rPr>
        <w:t>When implementing new technology – e.g., databases, email systems and phone systems – employers must be mindful that the technology is compatible with the assistive technology – e.g., screen reading software – used by employees who are blind or vision impaired.</w:t>
      </w:r>
    </w:p>
    <w:p w:rsidR="00553D41" w:rsidP="00553D41" w:rsidRDefault="00553D41" w14:paraId="3ADCCEF9" w14:textId="7F4F4238">
      <w:pPr>
        <w:pStyle w:val="Heading3"/>
      </w:pPr>
      <w:r>
        <w:t>Transport</w:t>
      </w:r>
    </w:p>
    <w:p w:rsidR="00553D41" w:rsidP="00553D41" w:rsidRDefault="00553D41" w14:paraId="27C4C3E1" w14:textId="77777777">
      <w:pPr>
        <w:rPr>
          <w:rFonts w:eastAsia="Calibri"/>
          <w:szCs w:val="24"/>
        </w:rPr>
      </w:pPr>
      <w:r>
        <w:rPr>
          <w:rFonts w:eastAsia="Calibri"/>
          <w:szCs w:val="24"/>
        </w:rPr>
        <w:t xml:space="preserve">Many job advertisements include possession of a driver’s licence as a mandatory requirement or desirable attribute. There are a select few roles – e.g., driving a taxi or delivery van – that </w:t>
      </w:r>
      <w:proofErr w:type="gramStart"/>
      <w:r>
        <w:rPr>
          <w:rFonts w:eastAsia="Calibri"/>
          <w:szCs w:val="24"/>
        </w:rPr>
        <w:t>actually require</w:t>
      </w:r>
      <w:proofErr w:type="gramEnd"/>
      <w:r>
        <w:rPr>
          <w:rFonts w:eastAsia="Calibri"/>
          <w:szCs w:val="24"/>
        </w:rPr>
        <w:t xml:space="preserve"> a driver’s licence. Unnecessary inclusion of a driver’s licence requirement dissuades people who are </w:t>
      </w:r>
      <w:proofErr w:type="gramStart"/>
      <w:r>
        <w:rPr>
          <w:rFonts w:eastAsia="Calibri"/>
          <w:szCs w:val="24"/>
        </w:rPr>
        <w:t>blind</w:t>
      </w:r>
      <w:proofErr w:type="gramEnd"/>
      <w:r>
        <w:rPr>
          <w:rFonts w:eastAsia="Calibri"/>
          <w:szCs w:val="24"/>
        </w:rPr>
        <w:t xml:space="preserve"> or vision impaired from applying for a position which they may otherwise be perfect for. </w:t>
      </w:r>
    </w:p>
    <w:p w:rsidRPr="00553D41" w:rsidR="00553D41" w:rsidP="00553D41" w:rsidRDefault="00553D41" w14:paraId="53BCCD13" w14:textId="38770765">
      <w:r>
        <w:rPr>
          <w:rFonts w:eastAsia="Calibri"/>
          <w:szCs w:val="24"/>
        </w:rPr>
        <w:t xml:space="preserve">Removing reference to a driver’s licence where it is not a genuine requirement may benefit employers.  People who are blind or vision impaired manage their transport in a variety of ways without the use of a car. They may choose to walk, catch public transport, take a </w:t>
      </w:r>
      <w:proofErr w:type="gramStart"/>
      <w:r>
        <w:rPr>
          <w:rFonts w:eastAsia="Calibri"/>
          <w:szCs w:val="24"/>
        </w:rPr>
        <w:t>taxi</w:t>
      </w:r>
      <w:proofErr w:type="gramEnd"/>
      <w:r>
        <w:rPr>
          <w:rFonts w:eastAsia="Calibri"/>
          <w:szCs w:val="24"/>
        </w:rPr>
        <w:t xml:space="preserve"> or rideshare, or use technology for virtual meetings. Employing a person who is blind or vision impaired may </w:t>
      </w:r>
      <w:proofErr w:type="gramStart"/>
      <w:r>
        <w:rPr>
          <w:rFonts w:eastAsia="Calibri"/>
          <w:szCs w:val="24"/>
        </w:rPr>
        <w:t>actually save</w:t>
      </w:r>
      <w:proofErr w:type="gramEnd"/>
      <w:r>
        <w:rPr>
          <w:rFonts w:eastAsia="Calibri"/>
          <w:szCs w:val="24"/>
        </w:rPr>
        <w:t xml:space="preserve"> money by eliminating unnecessary business trips.</w:t>
      </w:r>
    </w:p>
    <w:p w:rsidR="00A36708" w:rsidP="0081753A" w:rsidRDefault="0081753A" w14:paraId="35AA540B" w14:textId="2B8232E3">
      <w:pPr>
        <w:pStyle w:val="Heading2"/>
      </w:pPr>
      <w:r>
        <w:t>Policy Solutions</w:t>
      </w:r>
    </w:p>
    <w:p w:rsidR="00553D41" w:rsidP="00553D41" w:rsidRDefault="00553D41" w14:paraId="11220961" w14:textId="77777777">
      <w:pPr>
        <w:rPr>
          <w:szCs w:val="24"/>
        </w:rPr>
      </w:pPr>
      <w:r>
        <w:rPr>
          <w:szCs w:val="24"/>
        </w:rPr>
        <w:t xml:space="preserve">The barriers to employment for people who are </w:t>
      </w:r>
      <w:proofErr w:type="gramStart"/>
      <w:r>
        <w:rPr>
          <w:szCs w:val="24"/>
        </w:rPr>
        <w:t>blind</w:t>
      </w:r>
      <w:proofErr w:type="gramEnd"/>
      <w:r>
        <w:rPr>
          <w:szCs w:val="24"/>
        </w:rPr>
        <w:t xml:space="preserve"> or vision impaired remain unacceptably high. In 2021, the publication of Ernst &amp; Young’s decade-long survey of 1,000 employers revealed that 92 per cent of people involved in recruitment had concerns about hiring someone who was blind or vision impaired.</w:t>
      </w:r>
      <w:r>
        <w:rPr>
          <w:rStyle w:val="EndnoteReference"/>
        </w:rPr>
        <w:endnoteReference w:id="7"/>
      </w:r>
      <w:r>
        <w:rPr>
          <w:szCs w:val="24"/>
        </w:rPr>
        <w:t xml:space="preserve"> The main concerns of these employers – workplace health and safety, expense of workplace adjustments, </w:t>
      </w:r>
      <w:proofErr w:type="gramStart"/>
      <w:r>
        <w:rPr>
          <w:szCs w:val="24"/>
        </w:rPr>
        <w:t>productivity</w:t>
      </w:r>
      <w:proofErr w:type="gramEnd"/>
      <w:r>
        <w:rPr>
          <w:szCs w:val="24"/>
        </w:rPr>
        <w:t xml:space="preserve"> and transport – have been addressed in this Position Paper.</w:t>
      </w:r>
    </w:p>
    <w:p w:rsidRPr="0081753A" w:rsidR="0081753A" w:rsidP="00553D41" w:rsidRDefault="00553D41" w14:paraId="3B958BE5" w14:textId="7AD22D5E">
      <w:r>
        <w:rPr>
          <w:szCs w:val="24"/>
        </w:rPr>
        <w:t>Employers should increasingly employ people with disability. In so doing, they would gain access to an underutilised source of labour and make their products more appealing to Australian consumers, one in five of whom lives with some form of disability. To spur this action, BCA recommends the following legislative action be taken by the federal government</w:t>
      </w:r>
      <w:r w:rsidR="0081753A">
        <w:t>.</w:t>
      </w:r>
    </w:p>
    <w:p w:rsidRPr="00041591" w:rsidR="00563203" w:rsidP="0081753A" w:rsidRDefault="0081753A" w14:paraId="4955583E" w14:textId="49CD140F">
      <w:pPr>
        <w:pStyle w:val="Heading2"/>
      </w:pPr>
      <w:r>
        <w:t>Recommendations</w:t>
      </w:r>
    </w:p>
    <w:p w:rsidR="00EC4C36" w:rsidP="00695BA5" w:rsidRDefault="00553D41" w14:paraId="61EA9ACD" w14:textId="7A568F11">
      <w:r w:rsidRPr="00D22C8D">
        <w:rPr>
          <w:szCs w:val="24"/>
        </w:rPr>
        <w:t xml:space="preserve">To </w:t>
      </w:r>
      <w:r>
        <w:rPr>
          <w:szCs w:val="24"/>
        </w:rPr>
        <w:t>encourage the employment of people who are blind or vision impaired, BCA recommends the federal government undertake the following reforms</w:t>
      </w:r>
      <w:r w:rsidRPr="009406C7" w:rsidR="0088774E">
        <w:t>:</w:t>
      </w:r>
    </w:p>
    <w:p w:rsidR="00553D41" w:rsidP="00553D41" w:rsidRDefault="00553D41" w14:paraId="6AB7E821" w14:textId="77777777">
      <w:pPr>
        <w:numPr>
          <w:ilvl w:val="0"/>
          <w:numId w:val="22"/>
        </w:numPr>
        <w:tabs>
          <w:tab w:val="left" w:pos="0"/>
        </w:tabs>
        <w:spacing w:after="120"/>
        <w:rPr>
          <w:szCs w:val="32"/>
        </w:rPr>
      </w:pPr>
      <w:r>
        <w:rPr>
          <w:szCs w:val="32"/>
        </w:rPr>
        <w:t xml:space="preserve">Strengthen the Disability Discrimination Act 1992 (DDA) to require employers to actively eliminate systemic discrimination in the workplace. </w:t>
      </w:r>
    </w:p>
    <w:p w:rsidR="00553D41" w:rsidP="00553D41" w:rsidRDefault="00553D41" w14:paraId="2C5136F8" w14:textId="77777777">
      <w:pPr>
        <w:numPr>
          <w:ilvl w:val="0"/>
          <w:numId w:val="22"/>
        </w:numPr>
        <w:tabs>
          <w:tab w:val="left" w:pos="0"/>
        </w:tabs>
        <w:spacing w:after="120"/>
        <w:rPr>
          <w:szCs w:val="32"/>
        </w:rPr>
      </w:pPr>
      <w:r>
        <w:rPr>
          <w:szCs w:val="32"/>
        </w:rPr>
        <w:t xml:space="preserve">Provide sufficient funding to ensure people with disability can take employment-related breaches of the DDA to the Australian Human Rights Commission at low or no cost. </w:t>
      </w:r>
    </w:p>
    <w:p w:rsidR="00553D41" w:rsidP="00553D41" w:rsidRDefault="00553D41" w14:paraId="42B6A109" w14:textId="77777777">
      <w:pPr>
        <w:numPr>
          <w:ilvl w:val="0"/>
          <w:numId w:val="22"/>
        </w:numPr>
        <w:tabs>
          <w:tab w:val="left" w:pos="0"/>
        </w:tabs>
        <w:spacing w:after="120"/>
        <w:rPr>
          <w:szCs w:val="32"/>
        </w:rPr>
      </w:pPr>
      <w:r>
        <w:rPr>
          <w:szCs w:val="32"/>
        </w:rPr>
        <w:t xml:space="preserve">Employ a greater number of people with disability in the Australian Public Service, including in leadership positions. </w:t>
      </w:r>
    </w:p>
    <w:p w:rsidR="00553D41" w:rsidP="00553D41" w:rsidRDefault="00553D41" w14:paraId="734CA10C" w14:textId="77777777">
      <w:pPr>
        <w:numPr>
          <w:ilvl w:val="0"/>
          <w:numId w:val="22"/>
        </w:numPr>
        <w:tabs>
          <w:tab w:val="left" w:pos="0"/>
        </w:tabs>
        <w:spacing w:after="120"/>
        <w:rPr>
          <w:szCs w:val="32"/>
        </w:rPr>
      </w:pPr>
      <w:r>
        <w:rPr>
          <w:szCs w:val="32"/>
        </w:rPr>
        <w:t>Establish disability employment support services for people over the age of 65, as people over 65 cannot currently access Disability Employment Service (DES) providers.</w:t>
      </w:r>
    </w:p>
    <w:p w:rsidRPr="0088774E" w:rsidR="0088774E" w:rsidP="00553D41" w:rsidRDefault="00553D41" w14:paraId="0324B1F4" w14:textId="5DCB2DD6">
      <w:pPr>
        <w:pStyle w:val="ListParagraph"/>
        <w:numPr>
          <w:ilvl w:val="0"/>
          <w:numId w:val="22"/>
        </w:numPr>
      </w:pPr>
      <w:r>
        <w:rPr>
          <w:rFonts w:eastAsia="MS Mincho"/>
          <w:szCs w:val="32"/>
          <w:lang w:eastAsia="ja-JP"/>
        </w:rPr>
        <w:t xml:space="preserve">Develop an awareness campaign to inform employers of the existence of </w:t>
      </w:r>
      <w:proofErr w:type="spellStart"/>
      <w:r>
        <w:rPr>
          <w:rFonts w:eastAsia="MS Mincho"/>
          <w:szCs w:val="32"/>
          <w:lang w:eastAsia="ja-JP"/>
        </w:rPr>
        <w:t>JobAccess</w:t>
      </w:r>
      <w:proofErr w:type="spellEnd"/>
      <w:r>
        <w:rPr>
          <w:rFonts w:eastAsia="MS Mincho"/>
          <w:szCs w:val="32"/>
          <w:lang w:eastAsia="ja-JP"/>
        </w:rPr>
        <w:t xml:space="preserve"> and other such schemes to purchase workplace equipment and employment supports for people who are blind or vision impaired</w:t>
      </w:r>
      <w:r w:rsidR="00695BA5">
        <w:t>.</w:t>
      </w:r>
    </w:p>
    <w:sectPr w:rsidRPr="0088774E" w:rsidR="0088774E" w:rsidSect="00C62F51">
      <w:footerReference w:type="default" r:id="rId13"/>
      <w:endnotePr>
        <w:numFmt w:val="decimal"/>
      </w:endnotePr>
      <w:type w:val="continuous"/>
      <w:pgSz w:w="12240" w:h="15840" w:orient="portrait"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54AE3" w:rsidP="00E67E32" w:rsidRDefault="00D54AE3" w14:paraId="06B316F6" w14:textId="77777777">
      <w:pPr>
        <w:spacing w:before="0" w:line="240" w:lineRule="auto"/>
      </w:pPr>
      <w:r>
        <w:separator/>
      </w:r>
    </w:p>
  </w:endnote>
  <w:endnote w:type="continuationSeparator" w:id="0">
    <w:p w:rsidR="00D54AE3" w:rsidP="00E67E32" w:rsidRDefault="00D54AE3" w14:paraId="3B2C68DB" w14:textId="77777777">
      <w:pPr>
        <w:spacing w:before="0" w:line="240" w:lineRule="auto"/>
      </w:pPr>
      <w:r>
        <w:continuationSeparator/>
      </w:r>
    </w:p>
  </w:endnote>
  <w:endnote w:id="1">
    <w:p w:rsidRPr="00553D41" w:rsidR="00553D41" w:rsidP="00553D41" w:rsidRDefault="00553D41" w14:paraId="6987CEE2" w14:textId="77777777">
      <w:pPr>
        <w:pStyle w:val="EndnoteText"/>
        <w:rPr>
          <w:lang w:val="en-GB"/>
        </w:rPr>
      </w:pPr>
      <w:r w:rsidRPr="00553D41">
        <w:rPr>
          <w:rStyle w:val="EndnoteReference"/>
        </w:rPr>
        <w:endnoteRef/>
      </w:r>
      <w:r w:rsidRPr="00553D41">
        <w:t xml:space="preserve"> Blind Citizens Australia, “Hello Employers: How to Successfully Work With and Integrate People </w:t>
      </w:r>
      <w:r w:rsidRPr="00553D41">
        <w:br/>
      </w:r>
      <w:r w:rsidRPr="00553D41">
        <w:t xml:space="preserve">Who are Blind or Vision Impaired in Your Team,” accessed 18 September 2023, </w:t>
      </w:r>
      <w:hyperlink w:history="1" r:id="rId1">
        <w:r w:rsidRPr="00553D41">
          <w:rPr>
            <w:rStyle w:val="Hyperlink"/>
          </w:rPr>
          <w:t>https://www.bca.org.au/attachments/policies/for_employers.doc</w:t>
        </w:r>
      </w:hyperlink>
      <w:r w:rsidRPr="00553D41">
        <w:t xml:space="preserve">  </w:t>
      </w:r>
      <w:r w:rsidRPr="00553D41">
        <w:rPr>
          <w:lang w:val="en-GB"/>
        </w:rPr>
        <w:br/>
      </w:r>
    </w:p>
  </w:endnote>
  <w:endnote w:id="2">
    <w:p w:rsidRPr="00553D41" w:rsidR="00553D41" w:rsidP="00553D41" w:rsidRDefault="00553D41" w14:paraId="1A18B475" w14:textId="77777777">
      <w:pPr>
        <w:pStyle w:val="EndnoteText"/>
        <w:rPr>
          <w:lang w:val="en-GB"/>
        </w:rPr>
      </w:pPr>
      <w:r w:rsidRPr="00553D41">
        <w:rPr>
          <w:rStyle w:val="EndnoteReference"/>
        </w:rPr>
        <w:endnoteRef/>
      </w:r>
      <w:r w:rsidRPr="00553D41">
        <w:t xml:space="preserve"> Blind Citizens Australia, “Myths About Employment and People Who are Blind or Vision Impaired, </w:t>
      </w:r>
      <w:r w:rsidRPr="00553D41">
        <w:br/>
      </w:r>
      <w:r w:rsidRPr="00553D41">
        <w:t xml:space="preserve">accessed 18 September 2023, </w:t>
      </w:r>
      <w:hyperlink w:history="1" r:id="rId2">
        <w:r w:rsidRPr="00553D41">
          <w:rPr>
            <w:rStyle w:val="Hyperlink"/>
          </w:rPr>
          <w:t>https://www.bca.org.au/attachments/policies/mythbusters.doc</w:t>
        </w:r>
      </w:hyperlink>
      <w:r w:rsidRPr="00553D41">
        <w:t xml:space="preserve"> </w:t>
      </w:r>
      <w:r w:rsidRPr="00553D41">
        <w:br/>
      </w:r>
      <w:r w:rsidRPr="00553D41">
        <w:t xml:space="preserve"> </w:t>
      </w:r>
    </w:p>
  </w:endnote>
  <w:endnote w:id="3">
    <w:p w:rsidRPr="00553D41" w:rsidR="00553D41" w:rsidP="00553D41" w:rsidRDefault="00553D41" w14:paraId="40CFA5C0" w14:textId="77777777">
      <w:pPr>
        <w:pStyle w:val="EndnoteText"/>
        <w:rPr>
          <w:lang w:val="en-GB"/>
        </w:rPr>
      </w:pPr>
      <w:r w:rsidRPr="00553D41">
        <w:rPr>
          <w:rStyle w:val="EndnoteReference"/>
        </w:rPr>
        <w:endnoteRef/>
      </w:r>
      <w:r w:rsidRPr="00553D41">
        <w:t xml:space="preserve"> ABC News, “People with Vision Impairment Still Face Discrimination When Looking for Work, Survey Finds,” 7 September 2021, </w:t>
      </w:r>
      <w:hyperlink w:history="1" r:id="rId3">
        <w:r w:rsidRPr="00553D41">
          <w:rPr>
            <w:rStyle w:val="Hyperlink"/>
          </w:rPr>
          <w:t>https://www.abc.net.au/news/2021-09-07/vision-australia-finds-attitudes-still-barrier-to-work/100436490</w:t>
        </w:r>
      </w:hyperlink>
      <w:r w:rsidRPr="00553D41">
        <w:t xml:space="preserve"> </w:t>
      </w:r>
      <w:r w:rsidRPr="00553D41">
        <w:rPr>
          <w:lang w:val="en-GB"/>
        </w:rPr>
        <w:br/>
      </w:r>
    </w:p>
  </w:endnote>
  <w:endnote w:id="4">
    <w:p w:rsidRPr="00553D41" w:rsidR="00553D41" w:rsidP="00553D41" w:rsidRDefault="00553D41" w14:paraId="0132EA79" w14:textId="77777777">
      <w:pPr>
        <w:pStyle w:val="EndnoteText"/>
        <w:rPr>
          <w:lang w:val="en-GB"/>
        </w:rPr>
      </w:pPr>
      <w:r w:rsidRPr="00553D41">
        <w:rPr>
          <w:rStyle w:val="EndnoteReference"/>
        </w:rPr>
        <w:endnoteRef/>
      </w:r>
      <w:r w:rsidRPr="00553D41">
        <w:t xml:space="preserve"> </w:t>
      </w:r>
      <w:proofErr w:type="spellStart"/>
      <w:r w:rsidRPr="00553D41">
        <w:t>JobAccess</w:t>
      </w:r>
      <w:proofErr w:type="spellEnd"/>
      <w:r w:rsidRPr="00553D41">
        <w:t xml:space="preserve">, “Employment Assistance Fund (EAF),” 9 November 2022,  </w:t>
      </w:r>
      <w:hyperlink w:history="1" r:id="rId4">
        <w:r w:rsidRPr="00553D41">
          <w:rPr>
            <w:rStyle w:val="Hyperlink"/>
          </w:rPr>
          <w:t>https://www.jobaccess.gov.au/employment-assistance-fund-eaf</w:t>
        </w:r>
      </w:hyperlink>
      <w:r w:rsidRPr="00553D41">
        <w:t xml:space="preserve"> </w:t>
      </w:r>
      <w:r w:rsidRPr="00553D41">
        <w:br/>
      </w:r>
    </w:p>
  </w:endnote>
  <w:endnote w:id="5">
    <w:p w:rsidRPr="00553D41" w:rsidR="00553D41" w:rsidP="00553D41" w:rsidRDefault="00553D41" w14:paraId="1959C78D" w14:textId="77777777">
      <w:pPr>
        <w:pStyle w:val="EndnoteText"/>
        <w:rPr>
          <w:lang w:val="en-GB"/>
        </w:rPr>
      </w:pPr>
      <w:r w:rsidRPr="00553D41">
        <w:rPr>
          <w:rStyle w:val="EndnoteReference"/>
        </w:rPr>
        <w:endnoteRef/>
      </w:r>
      <w:r w:rsidRPr="00553D41">
        <w:t xml:space="preserve"> Blind Citizens Australia, “Hello Recruiters: How to Successfully Recruit a Person Who is Blind or Vision Impaired,” accessed 18 September 2023, </w:t>
      </w:r>
      <w:hyperlink w:history="1" r:id="rId5">
        <w:r w:rsidRPr="00553D41">
          <w:rPr>
            <w:rStyle w:val="Hyperlink"/>
          </w:rPr>
          <w:t>https://www.bca.org.au/attachments/policies/for_recruiters.doc</w:t>
        </w:r>
      </w:hyperlink>
      <w:r w:rsidRPr="00553D41">
        <w:t xml:space="preserve"> </w:t>
      </w:r>
      <w:r w:rsidRPr="00553D41">
        <w:rPr>
          <w:lang w:val="en-GB"/>
        </w:rPr>
        <w:br/>
      </w:r>
    </w:p>
  </w:endnote>
  <w:endnote w:id="6">
    <w:p w:rsidRPr="00553D41" w:rsidR="00553D41" w:rsidP="00553D41" w:rsidRDefault="00553D41" w14:paraId="19A9FEAC" w14:textId="77777777">
      <w:pPr>
        <w:pStyle w:val="EndnoteText"/>
        <w:rPr>
          <w:lang w:val="en-GB"/>
        </w:rPr>
      </w:pPr>
      <w:r w:rsidRPr="00553D41">
        <w:rPr>
          <w:rStyle w:val="EndnoteReference"/>
        </w:rPr>
        <w:endnoteRef/>
      </w:r>
      <w:r w:rsidRPr="00553D41">
        <w:t xml:space="preserve"> Kathryn </w:t>
      </w:r>
      <w:bookmarkStart w:name="_Hlk143112155" w:id="4"/>
      <w:r w:rsidRPr="00553D41">
        <w:t xml:space="preserve">Locke et al., “Smartphones and Equal Access for People Who Are Blind or Have Low Vision,” </w:t>
      </w:r>
      <w:bookmarkEnd w:id="4"/>
      <w:r w:rsidRPr="00553D41">
        <w:br/>
      </w:r>
      <w:r w:rsidRPr="00553D41">
        <w:t xml:space="preserve">Curtin University, August 2020, </w:t>
      </w:r>
      <w:hyperlink w:history="1" r:id="rId6">
        <w:r w:rsidRPr="00553D41">
          <w:rPr>
            <w:rStyle w:val="Hyperlink"/>
          </w:rPr>
          <w:t>https://ccat.curtin.edu.au/wp-content/uploads/sites/33/2021/01/</w:t>
        </w:r>
        <w:r w:rsidRPr="00553D41">
          <w:rPr>
            <w:rStyle w:val="Hyperlink"/>
          </w:rPr>
          <w:br/>
        </w:r>
        <w:r w:rsidRPr="00553D41">
          <w:rPr>
            <w:rStyle w:val="Hyperlink"/>
          </w:rPr>
          <w:t>VisionAustraliaSmartphoneReportACC.pdf</w:t>
        </w:r>
      </w:hyperlink>
      <w:r w:rsidRPr="00553D41">
        <w:br/>
      </w:r>
    </w:p>
  </w:endnote>
  <w:endnote w:id="7">
    <w:p w:rsidRPr="009F173C" w:rsidR="00553D41" w:rsidP="00553D41" w:rsidRDefault="00553D41" w14:paraId="4B5E6F20" w14:textId="77777777">
      <w:pPr>
        <w:pStyle w:val="EndnoteText"/>
        <w:rPr>
          <w:lang w:val="en-GB"/>
        </w:rPr>
      </w:pPr>
      <w:r w:rsidRPr="00553D41">
        <w:rPr>
          <w:rStyle w:val="EndnoteReference"/>
        </w:rPr>
        <w:endnoteRef/>
      </w:r>
      <w:r w:rsidRPr="00553D41">
        <w:t xml:space="preserve"> ABC News, “People with Vision Impairment Still Face Discrimination When Looking for Work.”</w:t>
      </w:r>
      <w:r>
        <w:rPr>
          <w:lang w:val="en-GB"/>
        </w:rPr>
        <w:b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47BC4" w:rsidR="00A47853" w:rsidP="00447C83" w:rsidRDefault="009D49C7" w14:paraId="2E56D041" w14:textId="77777777">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54AE3" w:rsidP="00E67E32" w:rsidRDefault="00D54AE3" w14:paraId="329A46A4" w14:textId="77777777">
      <w:pPr>
        <w:spacing w:before="0" w:line="240" w:lineRule="auto"/>
      </w:pPr>
      <w:r>
        <w:separator/>
      </w:r>
    </w:p>
  </w:footnote>
  <w:footnote w:type="continuationSeparator" w:id="0">
    <w:p w:rsidR="00D54AE3" w:rsidP="00E67E32" w:rsidRDefault="00D54AE3" w14:paraId="5DB8ABD0" w14:textId="77777777">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E61E6"/>
    <w:multiLevelType w:val="hybridMultilevel"/>
    <w:tmpl w:val="1B5C09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EBB4822"/>
    <w:multiLevelType w:val="hybridMultilevel"/>
    <w:tmpl w:val="126E53A2"/>
    <w:lvl w:ilvl="0" w:tplc="123ABDB2">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2" w15:restartNumberingAfterBreak="0">
    <w:nsid w:val="0FDC17EB"/>
    <w:multiLevelType w:val="hybridMultilevel"/>
    <w:tmpl w:val="6C14BEEE"/>
    <w:lvl w:ilvl="0" w:tplc="2BD8801E">
      <w:start w:val="1"/>
      <w:numFmt w:val="decimal"/>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573862"/>
    <w:multiLevelType w:val="hybridMultilevel"/>
    <w:tmpl w:val="8564D460"/>
    <w:lvl w:ilvl="0" w:tplc="26423D66">
      <w:start w:val="1"/>
      <w:numFmt w:val="bullet"/>
      <w:lvlText w:val=""/>
      <w:lvlJc w:val="left"/>
      <w:pPr>
        <w:ind w:left="720" w:hanging="360"/>
      </w:pPr>
      <w:rPr>
        <w:rFonts w:hint="default" w:ascii="Symbol" w:hAnsi="Symbol"/>
      </w:rPr>
    </w:lvl>
    <w:lvl w:ilvl="1" w:tplc="E2F09EE0">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1E5E22E7"/>
    <w:multiLevelType w:val="hybridMultilevel"/>
    <w:tmpl w:val="C624EF64"/>
    <w:lvl w:ilvl="0" w:tplc="566E4D9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5" w15:restartNumberingAfterBreak="0">
    <w:nsid w:val="1EBE206B"/>
    <w:multiLevelType w:val="hybridMultilevel"/>
    <w:tmpl w:val="C7CECD8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20DD0369"/>
    <w:multiLevelType w:val="hybridMultilevel"/>
    <w:tmpl w:val="210635E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7" w15:restartNumberingAfterBreak="0">
    <w:nsid w:val="244D65F0"/>
    <w:multiLevelType w:val="hybridMultilevel"/>
    <w:tmpl w:val="E6668188"/>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88C4E45"/>
    <w:multiLevelType w:val="hybridMultilevel"/>
    <w:tmpl w:val="F1FC0CD4"/>
    <w:lvl w:ilvl="0" w:tplc="95F0997E">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2D02594B"/>
    <w:multiLevelType w:val="hybridMultilevel"/>
    <w:tmpl w:val="ABDA6EA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308D3D2E"/>
    <w:multiLevelType w:val="hybridMultilevel"/>
    <w:tmpl w:val="77C431B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34612BDC"/>
    <w:multiLevelType w:val="hybridMultilevel"/>
    <w:tmpl w:val="D31EC7CE"/>
    <w:lvl w:ilvl="0" w:tplc="1A0202F0">
      <w:start w:val="1"/>
      <w:numFmt w:val="bullet"/>
      <w:lvlText w:val=""/>
      <w:lvlJc w:val="left"/>
      <w:pPr>
        <w:ind w:left="720" w:hanging="360"/>
      </w:pPr>
      <w:rPr>
        <w:rFonts w:hint="default" w:ascii="Symbol" w:hAnsi="Symbol"/>
      </w:rPr>
    </w:lvl>
    <w:lvl w:ilvl="1" w:tplc="C03095DE">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2" w15:restartNumberingAfterBreak="0">
    <w:nsid w:val="35EE2D9F"/>
    <w:multiLevelType w:val="multilevel"/>
    <w:tmpl w:val="1B980F58"/>
    <w:lvl w:ilvl="0">
      <w:start w:val="1"/>
      <w:numFmt w:val="decimal"/>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3" w15:restartNumberingAfterBreak="0">
    <w:nsid w:val="383F099F"/>
    <w:multiLevelType w:val="hybridMultilevel"/>
    <w:tmpl w:val="935EF2B0"/>
    <w:lvl w:ilvl="0" w:tplc="E24C118E">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ED52ED9"/>
    <w:multiLevelType w:val="hybridMultilevel"/>
    <w:tmpl w:val="06A4186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05627F"/>
    <w:multiLevelType w:val="hybridMultilevel"/>
    <w:tmpl w:val="D76A98CA"/>
    <w:lvl w:ilvl="0" w:tplc="8F509C52">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727B97"/>
    <w:multiLevelType w:val="hybridMultilevel"/>
    <w:tmpl w:val="3CE0B89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46DE078A"/>
    <w:multiLevelType w:val="hybridMultilevel"/>
    <w:tmpl w:val="3E186BBE"/>
    <w:lvl w:ilvl="0" w:tplc="A80C42CE">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B3F7A07"/>
    <w:multiLevelType w:val="hybridMultilevel"/>
    <w:tmpl w:val="3E50E34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9" w15:restartNumberingAfterBreak="0">
    <w:nsid w:val="564A1298"/>
    <w:multiLevelType w:val="hybridMultilevel"/>
    <w:tmpl w:val="0D667AA2"/>
    <w:lvl w:ilvl="0" w:tplc="1916C348">
      <w:start w:val="1"/>
      <w:numFmt w:val="bullet"/>
      <w:pStyle w:val="FirstDotPoin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639A4D08"/>
    <w:multiLevelType w:val="hybridMultilevel"/>
    <w:tmpl w:val="B31CC3A2"/>
    <w:lvl w:ilvl="0" w:tplc="BF3836CC">
      <w:start w:val="1"/>
      <w:numFmt w:val="decimal"/>
      <w:lvlText w:val="%1."/>
      <w:lvlJc w:val="left"/>
      <w:pPr>
        <w:ind w:left="1080" w:hanging="72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5FD616F"/>
    <w:multiLevelType w:val="hybridMultilevel"/>
    <w:tmpl w:val="C87CBCA2"/>
    <w:lvl w:ilvl="0" w:tplc="37901E9C">
      <w:start w:val="1"/>
      <w:numFmt w:val="bullet"/>
      <w:pStyle w:val="ListParagraph"/>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68EB3A84"/>
    <w:multiLevelType w:val="hybridMultilevel"/>
    <w:tmpl w:val="3CB8C8AA"/>
    <w:lvl w:ilvl="0" w:tplc="A8E854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AE648F8"/>
    <w:multiLevelType w:val="multilevel"/>
    <w:tmpl w:val="57060E24"/>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hint="default" w:ascii="Symbol" w:hAnsi="Symbol"/>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4" w15:restartNumberingAfterBreak="0">
    <w:nsid w:val="6B881FCB"/>
    <w:multiLevelType w:val="hybridMultilevel"/>
    <w:tmpl w:val="E7EA9444"/>
    <w:lvl w:ilvl="0" w:tplc="123ABDB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708F7473"/>
    <w:multiLevelType w:val="hybridMultilevel"/>
    <w:tmpl w:val="36C6A3A8"/>
    <w:lvl w:ilvl="0" w:tplc="123ABDB2">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474566378">
    <w:abstractNumId w:val="12"/>
  </w:num>
  <w:num w:numId="2" w16cid:durableId="862790814">
    <w:abstractNumId w:val="25"/>
  </w:num>
  <w:num w:numId="3" w16cid:durableId="1814830652">
    <w:abstractNumId w:val="1"/>
  </w:num>
  <w:num w:numId="4" w16cid:durableId="634064675">
    <w:abstractNumId w:val="24"/>
  </w:num>
  <w:num w:numId="5" w16cid:durableId="1049382667">
    <w:abstractNumId w:val="4"/>
  </w:num>
  <w:num w:numId="6" w16cid:durableId="1874802248">
    <w:abstractNumId w:val="10"/>
  </w:num>
  <w:num w:numId="7" w16cid:durableId="739643436">
    <w:abstractNumId w:val="6"/>
  </w:num>
  <w:num w:numId="8" w16cid:durableId="733167605">
    <w:abstractNumId w:val="19"/>
  </w:num>
  <w:num w:numId="9" w16cid:durableId="665476424">
    <w:abstractNumId w:val="22"/>
  </w:num>
  <w:num w:numId="10" w16cid:durableId="2090232563">
    <w:abstractNumId w:val="9"/>
  </w:num>
  <w:num w:numId="11" w16cid:durableId="1106079240">
    <w:abstractNumId w:val="14"/>
  </w:num>
  <w:num w:numId="12" w16cid:durableId="1348826371">
    <w:abstractNumId w:val="18"/>
  </w:num>
  <w:num w:numId="13" w16cid:durableId="1551333625">
    <w:abstractNumId w:val="8"/>
  </w:num>
  <w:num w:numId="14" w16cid:durableId="1133714664">
    <w:abstractNumId w:val="11"/>
  </w:num>
  <w:num w:numId="15" w16cid:durableId="1804427604">
    <w:abstractNumId w:val="3"/>
  </w:num>
  <w:num w:numId="16" w16cid:durableId="1196578231">
    <w:abstractNumId w:val="2"/>
  </w:num>
  <w:num w:numId="17" w16cid:durableId="358966753">
    <w:abstractNumId w:val="16"/>
  </w:num>
  <w:num w:numId="18" w16cid:durableId="2079933715">
    <w:abstractNumId w:val="15"/>
  </w:num>
  <w:num w:numId="19" w16cid:durableId="376510962">
    <w:abstractNumId w:val="0"/>
  </w:num>
  <w:num w:numId="20" w16cid:durableId="755517646">
    <w:abstractNumId w:val="13"/>
  </w:num>
  <w:num w:numId="21" w16cid:durableId="616562724">
    <w:abstractNumId w:val="7"/>
  </w:num>
  <w:num w:numId="22" w16cid:durableId="1257398166">
    <w:abstractNumId w:val="17"/>
  </w:num>
  <w:num w:numId="23" w16cid:durableId="1247688963">
    <w:abstractNumId w:val="20"/>
  </w:num>
  <w:num w:numId="24" w16cid:durableId="1562403513">
    <w:abstractNumId w:val="5"/>
  </w:num>
  <w:num w:numId="25" w16cid:durableId="531303697">
    <w:abstractNumId w:val="21"/>
  </w:num>
  <w:num w:numId="26" w16cid:durableId="109015921">
    <w:abstractNumId w:val="23"/>
  </w:num>
  <w:num w:numId="27" w16cid:durableId="704523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E32"/>
    <w:rsid w:val="00003E04"/>
    <w:rsid w:val="00004F44"/>
    <w:rsid w:val="00005C86"/>
    <w:rsid w:val="00041591"/>
    <w:rsid w:val="00047E50"/>
    <w:rsid w:val="00055750"/>
    <w:rsid w:val="00063521"/>
    <w:rsid w:val="00065AFA"/>
    <w:rsid w:val="00066D22"/>
    <w:rsid w:val="00070851"/>
    <w:rsid w:val="00080B05"/>
    <w:rsid w:val="000A1E8E"/>
    <w:rsid w:val="000A26BF"/>
    <w:rsid w:val="000B2EEF"/>
    <w:rsid w:val="000D2FFE"/>
    <w:rsid w:val="000E57A6"/>
    <w:rsid w:val="00107D83"/>
    <w:rsid w:val="00126398"/>
    <w:rsid w:val="0014614C"/>
    <w:rsid w:val="00152E2A"/>
    <w:rsid w:val="00194BDC"/>
    <w:rsid w:val="001B3C43"/>
    <w:rsid w:val="001C0B82"/>
    <w:rsid w:val="001C1E7B"/>
    <w:rsid w:val="001D0F47"/>
    <w:rsid w:val="001D40F1"/>
    <w:rsid w:val="001D4F4A"/>
    <w:rsid w:val="001E0757"/>
    <w:rsid w:val="001E07F5"/>
    <w:rsid w:val="001E2A71"/>
    <w:rsid w:val="001E5B4A"/>
    <w:rsid w:val="001E68DA"/>
    <w:rsid w:val="00203806"/>
    <w:rsid w:val="00213185"/>
    <w:rsid w:val="00213D45"/>
    <w:rsid w:val="0021497D"/>
    <w:rsid w:val="00227140"/>
    <w:rsid w:val="00231858"/>
    <w:rsid w:val="00237C0A"/>
    <w:rsid w:val="00242F8B"/>
    <w:rsid w:val="0024465A"/>
    <w:rsid w:val="00267F05"/>
    <w:rsid w:val="0028650C"/>
    <w:rsid w:val="0028793E"/>
    <w:rsid w:val="002929DD"/>
    <w:rsid w:val="00295F12"/>
    <w:rsid w:val="00296A88"/>
    <w:rsid w:val="002A73F8"/>
    <w:rsid w:val="002B4156"/>
    <w:rsid w:val="002B4198"/>
    <w:rsid w:val="002C46F4"/>
    <w:rsid w:val="002D200E"/>
    <w:rsid w:val="002D4653"/>
    <w:rsid w:val="002D6FA4"/>
    <w:rsid w:val="002D7FF6"/>
    <w:rsid w:val="002E3FD6"/>
    <w:rsid w:val="002E6BB1"/>
    <w:rsid w:val="00312FFF"/>
    <w:rsid w:val="003155B9"/>
    <w:rsid w:val="00317188"/>
    <w:rsid w:val="00321AE6"/>
    <w:rsid w:val="00334FA4"/>
    <w:rsid w:val="00341B22"/>
    <w:rsid w:val="00353F1E"/>
    <w:rsid w:val="00357404"/>
    <w:rsid w:val="0037125C"/>
    <w:rsid w:val="00377A7D"/>
    <w:rsid w:val="0038390D"/>
    <w:rsid w:val="003C57F2"/>
    <w:rsid w:val="003E0699"/>
    <w:rsid w:val="003F0E9A"/>
    <w:rsid w:val="0040799B"/>
    <w:rsid w:val="00413108"/>
    <w:rsid w:val="00415373"/>
    <w:rsid w:val="00416D87"/>
    <w:rsid w:val="004317E0"/>
    <w:rsid w:val="00444274"/>
    <w:rsid w:val="00446F46"/>
    <w:rsid w:val="004513D3"/>
    <w:rsid w:val="00452F58"/>
    <w:rsid w:val="00453E23"/>
    <w:rsid w:val="004772E2"/>
    <w:rsid w:val="004815D7"/>
    <w:rsid w:val="00496B7D"/>
    <w:rsid w:val="004A4C36"/>
    <w:rsid w:val="004B088B"/>
    <w:rsid w:val="004C768C"/>
    <w:rsid w:val="004D180C"/>
    <w:rsid w:val="004E2A2A"/>
    <w:rsid w:val="004E394B"/>
    <w:rsid w:val="004E4869"/>
    <w:rsid w:val="004E6346"/>
    <w:rsid w:val="004F274F"/>
    <w:rsid w:val="004F5892"/>
    <w:rsid w:val="004F5E65"/>
    <w:rsid w:val="005071D0"/>
    <w:rsid w:val="00514122"/>
    <w:rsid w:val="005144D3"/>
    <w:rsid w:val="0051749F"/>
    <w:rsid w:val="00521462"/>
    <w:rsid w:val="00522820"/>
    <w:rsid w:val="005242DA"/>
    <w:rsid w:val="00536819"/>
    <w:rsid w:val="005404BD"/>
    <w:rsid w:val="00550C9B"/>
    <w:rsid w:val="0055292F"/>
    <w:rsid w:val="00553D41"/>
    <w:rsid w:val="005548B2"/>
    <w:rsid w:val="00555F1C"/>
    <w:rsid w:val="00563203"/>
    <w:rsid w:val="00572BF4"/>
    <w:rsid w:val="00572E0F"/>
    <w:rsid w:val="00574A2D"/>
    <w:rsid w:val="00574F38"/>
    <w:rsid w:val="00592B2E"/>
    <w:rsid w:val="00593ABB"/>
    <w:rsid w:val="005B0DD6"/>
    <w:rsid w:val="005B5B57"/>
    <w:rsid w:val="005B7EC8"/>
    <w:rsid w:val="005C32EF"/>
    <w:rsid w:val="005D1213"/>
    <w:rsid w:val="005D1338"/>
    <w:rsid w:val="005D73B0"/>
    <w:rsid w:val="00600113"/>
    <w:rsid w:val="00607F42"/>
    <w:rsid w:val="00611F88"/>
    <w:rsid w:val="006130EA"/>
    <w:rsid w:val="00614B80"/>
    <w:rsid w:val="0062656C"/>
    <w:rsid w:val="006266B8"/>
    <w:rsid w:val="006323F6"/>
    <w:rsid w:val="006471F2"/>
    <w:rsid w:val="0066239B"/>
    <w:rsid w:val="0066761D"/>
    <w:rsid w:val="006723BA"/>
    <w:rsid w:val="006774A8"/>
    <w:rsid w:val="00677B7A"/>
    <w:rsid w:val="00682FB5"/>
    <w:rsid w:val="00692DA0"/>
    <w:rsid w:val="00693A1A"/>
    <w:rsid w:val="00695BA5"/>
    <w:rsid w:val="006A0D79"/>
    <w:rsid w:val="006A208F"/>
    <w:rsid w:val="006A38FA"/>
    <w:rsid w:val="006A4CA1"/>
    <w:rsid w:val="006A692F"/>
    <w:rsid w:val="006B0057"/>
    <w:rsid w:val="006C2E49"/>
    <w:rsid w:val="006C3375"/>
    <w:rsid w:val="006C35B5"/>
    <w:rsid w:val="006D7572"/>
    <w:rsid w:val="006D7B6F"/>
    <w:rsid w:val="00705D17"/>
    <w:rsid w:val="00707C4D"/>
    <w:rsid w:val="007218B0"/>
    <w:rsid w:val="00722506"/>
    <w:rsid w:val="00723E6C"/>
    <w:rsid w:val="007264C6"/>
    <w:rsid w:val="00732436"/>
    <w:rsid w:val="00732C7E"/>
    <w:rsid w:val="0074710F"/>
    <w:rsid w:val="007532DD"/>
    <w:rsid w:val="00760036"/>
    <w:rsid w:val="00780F0F"/>
    <w:rsid w:val="00781843"/>
    <w:rsid w:val="00782942"/>
    <w:rsid w:val="00782AC9"/>
    <w:rsid w:val="007854FC"/>
    <w:rsid w:val="007A26D4"/>
    <w:rsid w:val="007B2DA0"/>
    <w:rsid w:val="007C05B8"/>
    <w:rsid w:val="007C4E55"/>
    <w:rsid w:val="007C6848"/>
    <w:rsid w:val="007F3B24"/>
    <w:rsid w:val="0081753A"/>
    <w:rsid w:val="0083436E"/>
    <w:rsid w:val="00846DF1"/>
    <w:rsid w:val="008717EF"/>
    <w:rsid w:val="00871CAF"/>
    <w:rsid w:val="008857ED"/>
    <w:rsid w:val="0088774E"/>
    <w:rsid w:val="008902FA"/>
    <w:rsid w:val="00897856"/>
    <w:rsid w:val="008A125C"/>
    <w:rsid w:val="008A1806"/>
    <w:rsid w:val="008A3D5E"/>
    <w:rsid w:val="008B1DAF"/>
    <w:rsid w:val="008B7F31"/>
    <w:rsid w:val="008D2EB9"/>
    <w:rsid w:val="008E0B9D"/>
    <w:rsid w:val="009256A8"/>
    <w:rsid w:val="00930B6E"/>
    <w:rsid w:val="00937EA7"/>
    <w:rsid w:val="009406C7"/>
    <w:rsid w:val="00945940"/>
    <w:rsid w:val="00951EF6"/>
    <w:rsid w:val="00957B46"/>
    <w:rsid w:val="00971E0B"/>
    <w:rsid w:val="009869BC"/>
    <w:rsid w:val="009B0071"/>
    <w:rsid w:val="009B6889"/>
    <w:rsid w:val="009C799E"/>
    <w:rsid w:val="009D49C7"/>
    <w:rsid w:val="009F118A"/>
    <w:rsid w:val="009F3782"/>
    <w:rsid w:val="00A008AB"/>
    <w:rsid w:val="00A05AE2"/>
    <w:rsid w:val="00A1211B"/>
    <w:rsid w:val="00A16358"/>
    <w:rsid w:val="00A24C1A"/>
    <w:rsid w:val="00A313B9"/>
    <w:rsid w:val="00A36708"/>
    <w:rsid w:val="00A42818"/>
    <w:rsid w:val="00A42E53"/>
    <w:rsid w:val="00A47853"/>
    <w:rsid w:val="00A50622"/>
    <w:rsid w:val="00A525ED"/>
    <w:rsid w:val="00A529F2"/>
    <w:rsid w:val="00A56F44"/>
    <w:rsid w:val="00A62533"/>
    <w:rsid w:val="00AA1609"/>
    <w:rsid w:val="00AB4C8F"/>
    <w:rsid w:val="00AC0C71"/>
    <w:rsid w:val="00AC1AAC"/>
    <w:rsid w:val="00AC1B13"/>
    <w:rsid w:val="00AD1E53"/>
    <w:rsid w:val="00AF416B"/>
    <w:rsid w:val="00B0012A"/>
    <w:rsid w:val="00B10947"/>
    <w:rsid w:val="00B2074A"/>
    <w:rsid w:val="00B2503F"/>
    <w:rsid w:val="00B31EA9"/>
    <w:rsid w:val="00B42D71"/>
    <w:rsid w:val="00B45736"/>
    <w:rsid w:val="00B45871"/>
    <w:rsid w:val="00B53117"/>
    <w:rsid w:val="00B61422"/>
    <w:rsid w:val="00B627E8"/>
    <w:rsid w:val="00B64508"/>
    <w:rsid w:val="00B67E2F"/>
    <w:rsid w:val="00B77249"/>
    <w:rsid w:val="00BA064A"/>
    <w:rsid w:val="00BA5AEA"/>
    <w:rsid w:val="00BC7DC8"/>
    <w:rsid w:val="00BD3BDC"/>
    <w:rsid w:val="00BE42DD"/>
    <w:rsid w:val="00BF0283"/>
    <w:rsid w:val="00BF12E1"/>
    <w:rsid w:val="00C121FA"/>
    <w:rsid w:val="00C15A05"/>
    <w:rsid w:val="00C2400F"/>
    <w:rsid w:val="00C3737F"/>
    <w:rsid w:val="00C55082"/>
    <w:rsid w:val="00C62F51"/>
    <w:rsid w:val="00C6621B"/>
    <w:rsid w:val="00C8426A"/>
    <w:rsid w:val="00C92A77"/>
    <w:rsid w:val="00C9635A"/>
    <w:rsid w:val="00C9738E"/>
    <w:rsid w:val="00CA4DD6"/>
    <w:rsid w:val="00CC147C"/>
    <w:rsid w:val="00CC1EEA"/>
    <w:rsid w:val="00CC2B7B"/>
    <w:rsid w:val="00CC3E33"/>
    <w:rsid w:val="00CD5095"/>
    <w:rsid w:val="00CE68A9"/>
    <w:rsid w:val="00CE6EEF"/>
    <w:rsid w:val="00CF09FA"/>
    <w:rsid w:val="00CF40E1"/>
    <w:rsid w:val="00D053CC"/>
    <w:rsid w:val="00D31B1F"/>
    <w:rsid w:val="00D34C56"/>
    <w:rsid w:val="00D368C3"/>
    <w:rsid w:val="00D40D1D"/>
    <w:rsid w:val="00D51632"/>
    <w:rsid w:val="00D54AE3"/>
    <w:rsid w:val="00D807C9"/>
    <w:rsid w:val="00D83592"/>
    <w:rsid w:val="00D837A8"/>
    <w:rsid w:val="00D86135"/>
    <w:rsid w:val="00D91641"/>
    <w:rsid w:val="00DA3127"/>
    <w:rsid w:val="00DA6165"/>
    <w:rsid w:val="00DB211B"/>
    <w:rsid w:val="00DB2BF2"/>
    <w:rsid w:val="00DB582E"/>
    <w:rsid w:val="00DD1491"/>
    <w:rsid w:val="00DD3C82"/>
    <w:rsid w:val="00DE6D95"/>
    <w:rsid w:val="00E052FC"/>
    <w:rsid w:val="00E074E6"/>
    <w:rsid w:val="00E2239D"/>
    <w:rsid w:val="00E339A5"/>
    <w:rsid w:val="00E371BD"/>
    <w:rsid w:val="00E37ACC"/>
    <w:rsid w:val="00E44D9A"/>
    <w:rsid w:val="00E5725F"/>
    <w:rsid w:val="00E65B3C"/>
    <w:rsid w:val="00E67E32"/>
    <w:rsid w:val="00E72A16"/>
    <w:rsid w:val="00E73A4E"/>
    <w:rsid w:val="00E915ED"/>
    <w:rsid w:val="00EA3CA4"/>
    <w:rsid w:val="00EA639F"/>
    <w:rsid w:val="00EA7CC3"/>
    <w:rsid w:val="00EB206D"/>
    <w:rsid w:val="00EC0A2E"/>
    <w:rsid w:val="00EC1524"/>
    <w:rsid w:val="00EC23C0"/>
    <w:rsid w:val="00EC4C36"/>
    <w:rsid w:val="00EC56EE"/>
    <w:rsid w:val="00EC5A00"/>
    <w:rsid w:val="00EF07C3"/>
    <w:rsid w:val="00F03E26"/>
    <w:rsid w:val="00F33C25"/>
    <w:rsid w:val="00F44D86"/>
    <w:rsid w:val="00F52F70"/>
    <w:rsid w:val="00F540CC"/>
    <w:rsid w:val="00F54315"/>
    <w:rsid w:val="00F96468"/>
    <w:rsid w:val="00F96916"/>
    <w:rsid w:val="00FA0669"/>
    <w:rsid w:val="00FF4A78"/>
    <w:rsid w:val="0ADB450D"/>
    <w:rsid w:val="7952EC9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E6732"/>
  <w15:chartTrackingRefBased/>
  <w15:docId w15:val="{BFE2C440-6363-4143-93F3-73C92B90946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4"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67E32"/>
    <w:pPr>
      <w:spacing w:before="120" w:after="0" w:line="360" w:lineRule="auto"/>
    </w:pPr>
    <w:rPr>
      <w:rFonts w:ascii="Arial" w:hAnsi="Arial" w:eastAsia="MS Mincho" w:cs="Arial"/>
      <w:sz w:val="24"/>
      <w:szCs w:val="16"/>
      <w:lang w:eastAsia="ja-JP"/>
    </w:rPr>
  </w:style>
  <w:style w:type="paragraph" w:styleId="Heading1">
    <w:name w:val="heading 1"/>
    <w:basedOn w:val="Title"/>
    <w:link w:val="Heading1Char"/>
    <w:uiPriority w:val="9"/>
    <w:qFormat/>
    <w:rsid w:val="0081753A"/>
    <w:pPr>
      <w:spacing w:before="240" w:line="360" w:lineRule="auto"/>
      <w:outlineLvl w:val="0"/>
    </w:pPr>
    <w:rPr>
      <w:rFonts w:ascii="Arial" w:hAnsi="Arial" w:cs="Arial"/>
      <w:b/>
      <w:bCs/>
      <w:color w:val="500061"/>
      <w:sz w:val="40"/>
      <w:szCs w:val="36"/>
      <w:lang w:eastAsia="en-US"/>
    </w:rPr>
  </w:style>
  <w:style w:type="paragraph" w:styleId="Heading2">
    <w:name w:val="heading 2"/>
    <w:basedOn w:val="Normal"/>
    <w:next w:val="Normal"/>
    <w:link w:val="Heading2Char"/>
    <w:autoRedefine/>
    <w:uiPriority w:val="9"/>
    <w:unhideWhenUsed/>
    <w:qFormat/>
    <w:rsid w:val="0081753A"/>
    <w:pPr>
      <w:keepNext/>
      <w:pBdr>
        <w:bottom w:val="single" w:color="E7E6E6" w:themeColor="background2" w:sz="8" w:space="4"/>
      </w:pBdr>
      <w:spacing w:before="240" w:after="240"/>
      <w:contextualSpacing/>
      <w:outlineLvl w:val="1"/>
    </w:pPr>
    <w:rPr>
      <w:rFonts w:eastAsia="MS Gothic"/>
      <w:b/>
      <w:color w:val="4F2260"/>
      <w:kern w:val="28"/>
      <w:sz w:val="32"/>
      <w:szCs w:val="32"/>
    </w:rPr>
  </w:style>
  <w:style w:type="paragraph" w:styleId="Heading3">
    <w:name w:val="heading 3"/>
    <w:basedOn w:val="Normal"/>
    <w:next w:val="Normal"/>
    <w:link w:val="Heading3Char"/>
    <w:uiPriority w:val="9"/>
    <w:unhideWhenUsed/>
    <w:qFormat/>
    <w:rsid w:val="0081753A"/>
    <w:pPr>
      <w:keepNext/>
      <w:keepLines/>
      <w:spacing w:before="360"/>
      <w:contextualSpacing/>
      <w:outlineLvl w:val="2"/>
    </w:pPr>
    <w:rPr>
      <w:rFonts w:eastAsia="MS Gothic"/>
      <w:b/>
      <w:color w:val="4F2260"/>
      <w:sz w:val="28"/>
      <w:szCs w:val="28"/>
    </w:rPr>
  </w:style>
  <w:style w:type="paragraph" w:styleId="Heading4">
    <w:name w:val="heading 4"/>
    <w:basedOn w:val="Normal"/>
    <w:next w:val="Normal"/>
    <w:link w:val="Heading4Char"/>
    <w:uiPriority w:val="9"/>
    <w:unhideWhenUsed/>
    <w:qFormat/>
    <w:rsid w:val="0028650C"/>
    <w:pPr>
      <w:keepNext/>
      <w:keepLines/>
      <w:spacing w:before="40"/>
      <w:ind w:left="284"/>
      <w:contextualSpacing/>
      <w:outlineLvl w:val="3"/>
    </w:pPr>
    <w:rPr>
      <w:rFonts w:eastAsia="MS Gothic" w:cs="Times New Roman"/>
      <w:bCs/>
      <w:iCs/>
      <w:color w:val="4F2260"/>
      <w:sz w:val="28"/>
      <w:szCs w:val="24"/>
    </w:rPr>
  </w:style>
  <w:style w:type="paragraph" w:styleId="Heading5">
    <w:name w:val="heading 5"/>
    <w:basedOn w:val="Normal"/>
    <w:next w:val="Normal"/>
    <w:link w:val="Heading5Char"/>
    <w:uiPriority w:val="9"/>
    <w:unhideWhenUsed/>
    <w:qFormat/>
    <w:rsid w:val="00522820"/>
    <w:pPr>
      <w:keepNext/>
      <w:keepLines/>
      <w:spacing w:before="40"/>
      <w:outlineLvl w:val="4"/>
    </w:pPr>
    <w:rPr>
      <w:rFonts w:eastAsiaTheme="majorEastAsia"/>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1753A"/>
    <w:rPr>
      <w:rFonts w:ascii="Arial" w:hAnsi="Arial" w:cs="Arial" w:eastAsiaTheme="majorEastAsia"/>
      <w:b/>
      <w:bCs/>
      <w:color w:val="500061"/>
      <w:kern w:val="28"/>
      <w:sz w:val="40"/>
      <w:szCs w:val="36"/>
    </w:rPr>
  </w:style>
  <w:style w:type="character" w:styleId="Heading2Char" w:customStyle="1">
    <w:name w:val="Heading 2 Char"/>
    <w:basedOn w:val="DefaultParagraphFont"/>
    <w:link w:val="Heading2"/>
    <w:uiPriority w:val="9"/>
    <w:rsid w:val="0081753A"/>
    <w:rPr>
      <w:rFonts w:ascii="Arial" w:hAnsi="Arial" w:eastAsia="MS Gothic" w:cs="Arial"/>
      <w:b/>
      <w:color w:val="4F2260"/>
      <w:kern w:val="28"/>
      <w:sz w:val="32"/>
      <w:szCs w:val="32"/>
      <w:lang w:eastAsia="ja-JP"/>
    </w:rPr>
  </w:style>
  <w:style w:type="character" w:styleId="Heading3Char" w:customStyle="1">
    <w:name w:val="Heading 3 Char"/>
    <w:basedOn w:val="DefaultParagraphFont"/>
    <w:link w:val="Heading3"/>
    <w:uiPriority w:val="9"/>
    <w:rsid w:val="0081753A"/>
    <w:rPr>
      <w:rFonts w:ascii="Arial" w:hAnsi="Arial" w:eastAsia="MS Gothic" w:cs="Arial"/>
      <w:b/>
      <w:color w:val="4F2260"/>
      <w:sz w:val="28"/>
      <w:szCs w:val="28"/>
      <w:lang w:eastAsia="ja-JP"/>
    </w:rPr>
  </w:style>
  <w:style w:type="character" w:styleId="Heading4Char" w:customStyle="1">
    <w:name w:val="Heading 4 Char"/>
    <w:basedOn w:val="DefaultParagraphFont"/>
    <w:link w:val="Heading4"/>
    <w:uiPriority w:val="9"/>
    <w:rsid w:val="0028650C"/>
    <w:rPr>
      <w:rFonts w:ascii="Arial" w:hAnsi="Arial" w:eastAsia="MS Gothic" w:cs="Times New Roman"/>
      <w:bCs/>
      <w:iCs/>
      <w:color w:val="4F2260"/>
      <w:sz w:val="28"/>
      <w:szCs w:val="24"/>
      <w:lang w:eastAsia="ja-JP"/>
    </w:rPr>
  </w:style>
  <w:style w:type="paragraph" w:styleId="Title">
    <w:name w:val="Title"/>
    <w:basedOn w:val="Normal"/>
    <w:link w:val="TitleChar"/>
    <w:uiPriority w:val="1"/>
    <w:rsid w:val="00E67E32"/>
    <w:pPr>
      <w:spacing w:after="300" w:line="240" w:lineRule="auto"/>
      <w:contextualSpacing/>
    </w:pPr>
    <w:rPr>
      <w:rFonts w:asciiTheme="majorHAnsi" w:hAnsiTheme="majorHAnsi" w:eastAsiaTheme="majorEastAsia" w:cstheme="majorBidi"/>
      <w:kern w:val="28"/>
      <w:sz w:val="60"/>
      <w:szCs w:val="60"/>
    </w:rPr>
  </w:style>
  <w:style w:type="character" w:styleId="TitleChar" w:customStyle="1">
    <w:name w:val="Title Char"/>
    <w:basedOn w:val="DefaultParagraphFont"/>
    <w:link w:val="Title"/>
    <w:uiPriority w:val="1"/>
    <w:rsid w:val="00E67E32"/>
    <w:rPr>
      <w:rFonts w:asciiTheme="majorHAnsi" w:hAnsiTheme="majorHAnsi" w:eastAsiaTheme="majorEastAsia" w:cstheme="majorBidi"/>
      <w:kern w:val="28"/>
      <w:sz w:val="60"/>
      <w:szCs w:val="60"/>
      <w:lang w:eastAsia="ja-JP"/>
    </w:rPr>
  </w:style>
  <w:style w:type="paragraph" w:styleId="Date">
    <w:name w:val="Date"/>
    <w:aliases w:val="Address"/>
    <w:basedOn w:val="Title"/>
    <w:next w:val="Salutation"/>
    <w:link w:val="DateChar"/>
    <w:uiPriority w:val="4"/>
    <w:unhideWhenUsed/>
    <w:qFormat/>
    <w:rsid w:val="00E67E32"/>
    <w:pPr>
      <w:pBdr>
        <w:bottom w:val="single" w:color="44546A" w:themeColor="text2" w:sz="8" w:space="10"/>
      </w:pBdr>
      <w:spacing w:after="0"/>
    </w:pPr>
    <w:rPr>
      <w:rFonts w:ascii="Arial" w:hAnsi="Arial" w:cs="Arial" w:eastAsiaTheme="minorEastAsia"/>
      <w:bCs/>
      <w:color w:val="500061"/>
      <w:kern w:val="0"/>
      <w:sz w:val="24"/>
      <w:szCs w:val="24"/>
    </w:rPr>
  </w:style>
  <w:style w:type="character" w:styleId="DateChar" w:customStyle="1">
    <w:name w:val="Date Char"/>
    <w:aliases w:val="Address Char"/>
    <w:basedOn w:val="DefaultParagraphFont"/>
    <w:link w:val="Date"/>
    <w:uiPriority w:val="4"/>
    <w:rsid w:val="00E67E32"/>
    <w:rPr>
      <w:rFonts w:ascii="Arial" w:hAnsi="Arial" w:cs="Arial" w:eastAsiaTheme="minorEastAsia"/>
      <w:bCs/>
      <w:color w:val="500061"/>
      <w:sz w:val="24"/>
      <w:szCs w:val="24"/>
      <w:lang w:eastAsia="ja-JP"/>
    </w:rPr>
  </w:style>
  <w:style w:type="paragraph" w:styleId="Footer">
    <w:name w:val="footer"/>
    <w:basedOn w:val="Normal"/>
    <w:link w:val="FooterChar"/>
    <w:uiPriority w:val="99"/>
    <w:unhideWhenUsed/>
    <w:rsid w:val="00E67E32"/>
    <w:pPr>
      <w:pBdr>
        <w:top w:val="single" w:color="44546A" w:themeColor="text2" w:sz="4" w:space="4"/>
      </w:pBdr>
      <w:spacing w:line="240" w:lineRule="auto"/>
      <w:jc w:val="right"/>
    </w:pPr>
    <w:rPr>
      <w:i/>
      <w:iCs/>
      <w:color w:val="2F5496" w:themeColor="accent1" w:themeShade="BF"/>
    </w:rPr>
  </w:style>
  <w:style w:type="character" w:styleId="FooterChar" w:customStyle="1">
    <w:name w:val="Footer Char"/>
    <w:basedOn w:val="DefaultParagraphFont"/>
    <w:link w:val="Footer"/>
    <w:uiPriority w:val="99"/>
    <w:rsid w:val="00E67E32"/>
    <w:rPr>
      <w:rFonts w:ascii="Arial" w:hAnsi="Arial" w:eastAsia="MS Mincho" w:cs="Arial"/>
      <w:i/>
      <w:iCs/>
      <w:color w:val="2F5496" w:themeColor="accent1" w:themeShade="BF"/>
      <w:sz w:val="24"/>
      <w:szCs w:val="16"/>
      <w:lang w:eastAsia="ja-JP"/>
    </w:rPr>
  </w:style>
  <w:style w:type="character" w:styleId="Hyperlink">
    <w:name w:val="Hyperlink"/>
    <w:basedOn w:val="DefaultParagraphFont"/>
    <w:uiPriority w:val="99"/>
    <w:unhideWhenUsed/>
    <w:rsid w:val="00E67E32"/>
    <w:rPr>
      <w:color w:val="44546A" w:themeColor="text2"/>
      <w:u w:val="single"/>
    </w:rPr>
  </w:style>
  <w:style w:type="paragraph" w:styleId="ListParagraph">
    <w:name w:val="List Paragraph"/>
    <w:aliases w:val="Recommendation,L,List Paragraph1,List Paragraph11,Bullet Point,Bullet points,Content descriptions,Bullet point,CV text,F5 List Paragraph,Dot pt,List Paragraph111,Medium Grid 1 - Accent 21,Numbered Paragraph,NFP GP Bulleted List,Table,Main"/>
    <w:basedOn w:val="Normal"/>
    <w:link w:val="ListParagraphChar"/>
    <w:autoRedefine/>
    <w:uiPriority w:val="34"/>
    <w:qFormat/>
    <w:rsid w:val="0081753A"/>
    <w:pPr>
      <w:numPr>
        <w:numId w:val="25"/>
      </w:numPr>
      <w:tabs>
        <w:tab w:val="left" w:pos="0"/>
      </w:tabs>
      <w:spacing w:before="0" w:after="120"/>
    </w:pPr>
    <w:rPr>
      <w:rFonts w:eastAsia="Times New Roman"/>
      <w:lang w:eastAsia="en-AU"/>
    </w:rPr>
  </w:style>
  <w:style w:type="character" w:styleId="EndnoteReference">
    <w:name w:val="endnote reference"/>
    <w:basedOn w:val="DefaultParagraphFont"/>
    <w:uiPriority w:val="99"/>
    <w:unhideWhenUsed/>
    <w:rsid w:val="00E67E32"/>
    <w:rPr>
      <w:vertAlign w:val="superscript"/>
    </w:rPr>
  </w:style>
  <w:style w:type="paragraph" w:styleId="EndnoteText">
    <w:name w:val="endnote text"/>
    <w:basedOn w:val="Normal"/>
    <w:link w:val="EndnoteTextChar"/>
    <w:uiPriority w:val="99"/>
    <w:unhideWhenUsed/>
    <w:rsid w:val="00E67E32"/>
    <w:pPr>
      <w:spacing w:before="0" w:line="240" w:lineRule="auto"/>
    </w:pPr>
    <w:rPr>
      <w:sz w:val="20"/>
      <w:szCs w:val="20"/>
    </w:rPr>
  </w:style>
  <w:style w:type="character" w:styleId="EndnoteTextChar" w:customStyle="1">
    <w:name w:val="Endnote Text Char"/>
    <w:basedOn w:val="DefaultParagraphFont"/>
    <w:link w:val="EndnoteText"/>
    <w:uiPriority w:val="99"/>
    <w:rsid w:val="00E67E32"/>
    <w:rPr>
      <w:rFonts w:ascii="Arial" w:hAnsi="Arial" w:eastAsia="MS Mincho" w:cs="Arial"/>
      <w:sz w:val="20"/>
      <w:szCs w:val="20"/>
      <w:lang w:eastAsia="ja-JP"/>
    </w:rPr>
  </w:style>
  <w:style w:type="paragraph" w:styleId="TOC1">
    <w:name w:val="toc 1"/>
    <w:basedOn w:val="Normal"/>
    <w:next w:val="Normal"/>
    <w:autoRedefine/>
    <w:uiPriority w:val="39"/>
    <w:unhideWhenUsed/>
    <w:rsid w:val="00E67E32"/>
    <w:pPr>
      <w:spacing w:after="100"/>
    </w:pPr>
  </w:style>
  <w:style w:type="paragraph" w:styleId="TOC2">
    <w:name w:val="toc 2"/>
    <w:basedOn w:val="Normal"/>
    <w:next w:val="Normal"/>
    <w:autoRedefine/>
    <w:uiPriority w:val="39"/>
    <w:unhideWhenUsed/>
    <w:rsid w:val="00E67E32"/>
    <w:pPr>
      <w:spacing w:after="100"/>
      <w:ind w:left="240"/>
    </w:pPr>
  </w:style>
  <w:style w:type="paragraph" w:styleId="TOC3">
    <w:name w:val="toc 3"/>
    <w:basedOn w:val="Normal"/>
    <w:next w:val="Normal"/>
    <w:autoRedefine/>
    <w:uiPriority w:val="39"/>
    <w:unhideWhenUsed/>
    <w:rsid w:val="00E67E32"/>
    <w:pPr>
      <w:spacing w:after="100"/>
      <w:ind w:left="480"/>
    </w:pPr>
  </w:style>
  <w:style w:type="paragraph" w:styleId="Salutation">
    <w:name w:val="Salutation"/>
    <w:basedOn w:val="Normal"/>
    <w:next w:val="Normal"/>
    <w:link w:val="SalutationChar"/>
    <w:uiPriority w:val="99"/>
    <w:semiHidden/>
    <w:unhideWhenUsed/>
    <w:rsid w:val="00E67E32"/>
  </w:style>
  <w:style w:type="character" w:styleId="SalutationChar" w:customStyle="1">
    <w:name w:val="Salutation Char"/>
    <w:basedOn w:val="DefaultParagraphFont"/>
    <w:link w:val="Salutation"/>
    <w:uiPriority w:val="99"/>
    <w:semiHidden/>
    <w:rsid w:val="00E67E32"/>
    <w:rPr>
      <w:rFonts w:ascii="Arial" w:hAnsi="Arial" w:eastAsia="MS Mincho" w:cs="Arial"/>
      <w:sz w:val="24"/>
      <w:szCs w:val="16"/>
      <w:lang w:eastAsia="ja-JP"/>
    </w:rPr>
  </w:style>
  <w:style w:type="paragraph" w:styleId="Revision">
    <w:name w:val="Revision"/>
    <w:hidden/>
    <w:uiPriority w:val="99"/>
    <w:semiHidden/>
    <w:rsid w:val="00317188"/>
    <w:pPr>
      <w:spacing w:after="0" w:line="240" w:lineRule="auto"/>
    </w:pPr>
    <w:rPr>
      <w:rFonts w:ascii="Arial" w:hAnsi="Arial" w:eastAsia="MS Mincho" w:cs="Arial"/>
      <w:sz w:val="24"/>
      <w:szCs w:val="16"/>
      <w:lang w:eastAsia="ja-JP"/>
    </w:rPr>
  </w:style>
  <w:style w:type="character" w:styleId="UnresolvedMention">
    <w:name w:val="Unresolved Mention"/>
    <w:basedOn w:val="DefaultParagraphFont"/>
    <w:uiPriority w:val="99"/>
    <w:semiHidden/>
    <w:unhideWhenUsed/>
    <w:rsid w:val="00296A88"/>
    <w:rPr>
      <w:color w:val="605E5C"/>
      <w:shd w:val="clear" w:color="auto" w:fill="E1DFDD"/>
    </w:rPr>
  </w:style>
  <w:style w:type="character" w:styleId="CommentReference">
    <w:name w:val="annotation reference"/>
    <w:basedOn w:val="DefaultParagraphFont"/>
    <w:uiPriority w:val="99"/>
    <w:semiHidden/>
    <w:unhideWhenUsed/>
    <w:rsid w:val="00377A7D"/>
    <w:rPr>
      <w:sz w:val="16"/>
      <w:szCs w:val="16"/>
    </w:rPr>
  </w:style>
  <w:style w:type="paragraph" w:styleId="CommentText">
    <w:name w:val="annotation text"/>
    <w:basedOn w:val="Normal"/>
    <w:link w:val="CommentTextChar"/>
    <w:uiPriority w:val="99"/>
    <w:unhideWhenUsed/>
    <w:rsid w:val="00377A7D"/>
    <w:pPr>
      <w:spacing w:line="240" w:lineRule="auto"/>
    </w:pPr>
    <w:rPr>
      <w:sz w:val="20"/>
      <w:szCs w:val="20"/>
    </w:rPr>
  </w:style>
  <w:style w:type="character" w:styleId="CommentTextChar" w:customStyle="1">
    <w:name w:val="Comment Text Char"/>
    <w:basedOn w:val="DefaultParagraphFont"/>
    <w:link w:val="CommentText"/>
    <w:uiPriority w:val="99"/>
    <w:rsid w:val="00377A7D"/>
    <w:rPr>
      <w:rFonts w:ascii="Arial" w:hAnsi="Arial" w:eastAsia="MS Mincho" w:cs="Arial"/>
      <w:sz w:val="20"/>
      <w:szCs w:val="20"/>
      <w:lang w:eastAsia="ja-JP"/>
    </w:rPr>
  </w:style>
  <w:style w:type="paragraph" w:styleId="CommentSubject">
    <w:name w:val="annotation subject"/>
    <w:basedOn w:val="CommentText"/>
    <w:next w:val="CommentText"/>
    <w:link w:val="CommentSubjectChar"/>
    <w:uiPriority w:val="99"/>
    <w:semiHidden/>
    <w:unhideWhenUsed/>
    <w:rsid w:val="00377A7D"/>
    <w:rPr>
      <w:b/>
      <w:bCs/>
    </w:rPr>
  </w:style>
  <w:style w:type="character" w:styleId="CommentSubjectChar" w:customStyle="1">
    <w:name w:val="Comment Subject Char"/>
    <w:basedOn w:val="CommentTextChar"/>
    <w:link w:val="CommentSubject"/>
    <w:uiPriority w:val="99"/>
    <w:semiHidden/>
    <w:rsid w:val="00377A7D"/>
    <w:rPr>
      <w:rFonts w:ascii="Arial" w:hAnsi="Arial" w:eastAsia="MS Mincho" w:cs="Arial"/>
      <w:b/>
      <w:bCs/>
      <w:sz w:val="20"/>
      <w:szCs w:val="20"/>
      <w:lang w:eastAsia="ja-JP"/>
    </w:rPr>
  </w:style>
  <w:style w:type="paragraph" w:styleId="NormalWeb">
    <w:name w:val="Normal (Web)"/>
    <w:basedOn w:val="Normal"/>
    <w:uiPriority w:val="99"/>
    <w:semiHidden/>
    <w:unhideWhenUsed/>
    <w:rsid w:val="00041591"/>
    <w:pPr>
      <w:spacing w:before="100" w:beforeAutospacing="1" w:after="100" w:afterAutospacing="1" w:line="240" w:lineRule="auto"/>
    </w:pPr>
    <w:rPr>
      <w:rFonts w:ascii="Times New Roman" w:hAnsi="Times New Roman" w:eastAsia="Times New Roman" w:cs="Times New Roman"/>
      <w:szCs w:val="24"/>
      <w:lang w:eastAsia="en-AU"/>
    </w:rPr>
  </w:style>
  <w:style w:type="paragraph" w:styleId="Header">
    <w:name w:val="header"/>
    <w:basedOn w:val="Normal"/>
    <w:link w:val="HeaderChar"/>
    <w:uiPriority w:val="99"/>
    <w:unhideWhenUsed/>
    <w:rsid w:val="003155B9"/>
    <w:pPr>
      <w:tabs>
        <w:tab w:val="center" w:pos="4513"/>
        <w:tab w:val="right" w:pos="9026"/>
      </w:tabs>
      <w:spacing w:before="0" w:line="240" w:lineRule="auto"/>
    </w:pPr>
  </w:style>
  <w:style w:type="character" w:styleId="HeaderChar" w:customStyle="1">
    <w:name w:val="Header Char"/>
    <w:basedOn w:val="DefaultParagraphFont"/>
    <w:link w:val="Header"/>
    <w:uiPriority w:val="99"/>
    <w:rsid w:val="003155B9"/>
    <w:rPr>
      <w:rFonts w:ascii="Arial" w:hAnsi="Arial" w:eastAsia="MS Mincho" w:cs="Arial"/>
      <w:sz w:val="24"/>
      <w:szCs w:val="16"/>
      <w:lang w:eastAsia="ja-JP"/>
    </w:rPr>
  </w:style>
  <w:style w:type="paragraph" w:styleId="FootnoteText">
    <w:name w:val="footnote text"/>
    <w:basedOn w:val="Normal"/>
    <w:link w:val="FootnoteTextChar"/>
    <w:uiPriority w:val="99"/>
    <w:semiHidden/>
    <w:unhideWhenUsed/>
    <w:rsid w:val="00B2503F"/>
    <w:pPr>
      <w:spacing w:before="0" w:line="240" w:lineRule="auto"/>
    </w:pPr>
    <w:rPr>
      <w:sz w:val="20"/>
      <w:szCs w:val="20"/>
    </w:rPr>
  </w:style>
  <w:style w:type="character" w:styleId="FootnoteTextChar" w:customStyle="1">
    <w:name w:val="Footnote Text Char"/>
    <w:basedOn w:val="DefaultParagraphFont"/>
    <w:link w:val="FootnoteText"/>
    <w:uiPriority w:val="99"/>
    <w:semiHidden/>
    <w:rsid w:val="00B2503F"/>
    <w:rPr>
      <w:rFonts w:ascii="Arial" w:hAnsi="Arial" w:eastAsia="MS Mincho" w:cs="Arial"/>
      <w:sz w:val="20"/>
      <w:szCs w:val="20"/>
      <w:lang w:eastAsia="ja-JP"/>
    </w:rPr>
  </w:style>
  <w:style w:type="character" w:styleId="FootnoteReference">
    <w:name w:val="footnote reference"/>
    <w:basedOn w:val="DefaultParagraphFont"/>
    <w:uiPriority w:val="99"/>
    <w:semiHidden/>
    <w:unhideWhenUsed/>
    <w:rsid w:val="00B2503F"/>
    <w:rPr>
      <w:vertAlign w:val="superscript"/>
    </w:rPr>
  </w:style>
  <w:style w:type="paragraph" w:styleId="FirstDotPoint" w:customStyle="1">
    <w:name w:val="First Dot Point"/>
    <w:basedOn w:val="ListParagraph"/>
    <w:link w:val="FirstDotPointChar"/>
    <w:qFormat/>
    <w:rsid w:val="00D053CC"/>
    <w:pPr>
      <w:numPr>
        <w:numId w:val="8"/>
      </w:numPr>
    </w:pPr>
  </w:style>
  <w:style w:type="character" w:styleId="ListParagraphChar" w:customStyle="1">
    <w:name w:val="List Paragraph Char"/>
    <w:aliases w:val="Recommendation Char,L Char,List Paragraph1 Char,List Paragraph11 Char,Bullet Point Char,Bullet points Char,Content descriptions Char,Bullet point Char,CV text Char,F5 List Paragraph Char,Dot pt Char,List Paragraph111 Char,Table Char"/>
    <w:basedOn w:val="DefaultParagraphFont"/>
    <w:link w:val="ListParagraph"/>
    <w:uiPriority w:val="34"/>
    <w:rsid w:val="0081753A"/>
    <w:rPr>
      <w:rFonts w:ascii="Arial" w:hAnsi="Arial" w:eastAsia="Times New Roman" w:cs="Arial"/>
      <w:sz w:val="24"/>
      <w:szCs w:val="16"/>
      <w:lang w:eastAsia="en-AU"/>
    </w:rPr>
  </w:style>
  <w:style w:type="character" w:styleId="FirstDotPointChar" w:customStyle="1">
    <w:name w:val="First Dot Point Char"/>
    <w:basedOn w:val="ListParagraphChar"/>
    <w:link w:val="FirstDotPoint"/>
    <w:rsid w:val="00D053CC"/>
    <w:rPr>
      <w:rFonts w:ascii="Arial" w:hAnsi="Arial" w:eastAsia="Times New Roman" w:cs="Arial"/>
      <w:color w:val="002060"/>
      <w:sz w:val="24"/>
      <w:szCs w:val="16"/>
      <w:lang w:eastAsia="en-AU"/>
    </w:rPr>
  </w:style>
  <w:style w:type="character" w:styleId="Heading5Char" w:customStyle="1">
    <w:name w:val="Heading 5 Char"/>
    <w:basedOn w:val="DefaultParagraphFont"/>
    <w:link w:val="Heading5"/>
    <w:uiPriority w:val="9"/>
    <w:rsid w:val="00522820"/>
    <w:rPr>
      <w:rFonts w:ascii="Arial" w:hAnsi="Arial" w:cs="Arial" w:eastAsiaTheme="majorEastAsia"/>
      <w:color w:val="2F5496" w:themeColor="accent1" w:themeShade="BF"/>
      <w:sz w:val="24"/>
      <w:szCs w:val="16"/>
      <w:lang w:eastAsia="ja-JP"/>
    </w:rPr>
  </w:style>
  <w:style w:type="paragraph" w:styleId="Multilevellist" w:customStyle="1">
    <w:name w:val="Multi level list"/>
    <w:basedOn w:val="Normal"/>
    <w:rsid w:val="00553D41"/>
    <w:pPr>
      <w:tabs>
        <w:tab w:val="left" w:pos="0"/>
      </w:tabs>
      <w:spacing w:before="0" w:after="120"/>
      <w:ind w:left="1871" w:hanging="251"/>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2301">
      <w:bodyDiv w:val="1"/>
      <w:marLeft w:val="0"/>
      <w:marRight w:val="0"/>
      <w:marTop w:val="0"/>
      <w:marBottom w:val="0"/>
      <w:divBdr>
        <w:top w:val="none" w:sz="0" w:space="0" w:color="auto"/>
        <w:left w:val="none" w:sz="0" w:space="0" w:color="auto"/>
        <w:bottom w:val="none" w:sz="0" w:space="0" w:color="auto"/>
        <w:right w:val="none" w:sz="0" w:space="0" w:color="auto"/>
      </w:divBdr>
    </w:div>
    <w:div w:id="326593021">
      <w:bodyDiv w:val="1"/>
      <w:marLeft w:val="0"/>
      <w:marRight w:val="0"/>
      <w:marTop w:val="0"/>
      <w:marBottom w:val="0"/>
      <w:divBdr>
        <w:top w:val="none" w:sz="0" w:space="0" w:color="auto"/>
        <w:left w:val="none" w:sz="0" w:space="0" w:color="auto"/>
        <w:bottom w:val="none" w:sz="0" w:space="0" w:color="auto"/>
        <w:right w:val="none" w:sz="0" w:space="0" w:color="auto"/>
      </w:divBdr>
    </w:div>
    <w:div w:id="436411223">
      <w:bodyDiv w:val="1"/>
      <w:marLeft w:val="0"/>
      <w:marRight w:val="0"/>
      <w:marTop w:val="0"/>
      <w:marBottom w:val="0"/>
      <w:divBdr>
        <w:top w:val="none" w:sz="0" w:space="0" w:color="auto"/>
        <w:left w:val="none" w:sz="0" w:space="0" w:color="auto"/>
        <w:bottom w:val="none" w:sz="0" w:space="0" w:color="auto"/>
        <w:right w:val="none" w:sz="0" w:space="0" w:color="auto"/>
      </w:divBdr>
    </w:div>
    <w:div w:id="556554949">
      <w:bodyDiv w:val="1"/>
      <w:marLeft w:val="0"/>
      <w:marRight w:val="0"/>
      <w:marTop w:val="0"/>
      <w:marBottom w:val="0"/>
      <w:divBdr>
        <w:top w:val="none" w:sz="0" w:space="0" w:color="auto"/>
        <w:left w:val="none" w:sz="0" w:space="0" w:color="auto"/>
        <w:bottom w:val="none" w:sz="0" w:space="0" w:color="auto"/>
        <w:right w:val="none" w:sz="0" w:space="0" w:color="auto"/>
      </w:divBdr>
    </w:div>
    <w:div w:id="583612290">
      <w:bodyDiv w:val="1"/>
      <w:marLeft w:val="0"/>
      <w:marRight w:val="0"/>
      <w:marTop w:val="0"/>
      <w:marBottom w:val="0"/>
      <w:divBdr>
        <w:top w:val="none" w:sz="0" w:space="0" w:color="auto"/>
        <w:left w:val="none" w:sz="0" w:space="0" w:color="auto"/>
        <w:bottom w:val="none" w:sz="0" w:space="0" w:color="auto"/>
        <w:right w:val="none" w:sz="0" w:space="0" w:color="auto"/>
      </w:divBdr>
    </w:div>
    <w:div w:id="1040325955">
      <w:bodyDiv w:val="1"/>
      <w:marLeft w:val="0"/>
      <w:marRight w:val="0"/>
      <w:marTop w:val="0"/>
      <w:marBottom w:val="0"/>
      <w:divBdr>
        <w:top w:val="none" w:sz="0" w:space="0" w:color="auto"/>
        <w:left w:val="none" w:sz="0" w:space="0" w:color="auto"/>
        <w:bottom w:val="none" w:sz="0" w:space="0" w:color="auto"/>
        <w:right w:val="none" w:sz="0" w:space="0" w:color="auto"/>
      </w:divBdr>
    </w:div>
    <w:div w:id="1074203211">
      <w:bodyDiv w:val="1"/>
      <w:marLeft w:val="0"/>
      <w:marRight w:val="0"/>
      <w:marTop w:val="0"/>
      <w:marBottom w:val="0"/>
      <w:divBdr>
        <w:top w:val="none" w:sz="0" w:space="0" w:color="auto"/>
        <w:left w:val="none" w:sz="0" w:space="0" w:color="auto"/>
        <w:bottom w:val="none" w:sz="0" w:space="0" w:color="auto"/>
        <w:right w:val="none" w:sz="0" w:space="0" w:color="auto"/>
      </w:divBdr>
    </w:div>
    <w:div w:id="1088428460">
      <w:bodyDiv w:val="1"/>
      <w:marLeft w:val="0"/>
      <w:marRight w:val="0"/>
      <w:marTop w:val="0"/>
      <w:marBottom w:val="0"/>
      <w:divBdr>
        <w:top w:val="none" w:sz="0" w:space="0" w:color="auto"/>
        <w:left w:val="none" w:sz="0" w:space="0" w:color="auto"/>
        <w:bottom w:val="none" w:sz="0" w:space="0" w:color="auto"/>
        <w:right w:val="none" w:sz="0" w:space="0" w:color="auto"/>
      </w:divBdr>
    </w:div>
    <w:div w:id="1091393220">
      <w:bodyDiv w:val="1"/>
      <w:marLeft w:val="0"/>
      <w:marRight w:val="0"/>
      <w:marTop w:val="0"/>
      <w:marBottom w:val="0"/>
      <w:divBdr>
        <w:top w:val="none" w:sz="0" w:space="0" w:color="auto"/>
        <w:left w:val="none" w:sz="0" w:space="0" w:color="auto"/>
        <w:bottom w:val="none" w:sz="0" w:space="0" w:color="auto"/>
        <w:right w:val="none" w:sz="0" w:space="0" w:color="auto"/>
      </w:divBdr>
    </w:div>
    <w:div w:id="1151286339">
      <w:bodyDiv w:val="1"/>
      <w:marLeft w:val="0"/>
      <w:marRight w:val="0"/>
      <w:marTop w:val="0"/>
      <w:marBottom w:val="0"/>
      <w:divBdr>
        <w:top w:val="none" w:sz="0" w:space="0" w:color="auto"/>
        <w:left w:val="none" w:sz="0" w:space="0" w:color="auto"/>
        <w:bottom w:val="none" w:sz="0" w:space="0" w:color="auto"/>
        <w:right w:val="none" w:sz="0" w:space="0" w:color="auto"/>
      </w:divBdr>
    </w:div>
    <w:div w:id="1246961846">
      <w:bodyDiv w:val="1"/>
      <w:marLeft w:val="0"/>
      <w:marRight w:val="0"/>
      <w:marTop w:val="0"/>
      <w:marBottom w:val="0"/>
      <w:divBdr>
        <w:top w:val="none" w:sz="0" w:space="0" w:color="auto"/>
        <w:left w:val="none" w:sz="0" w:space="0" w:color="auto"/>
        <w:bottom w:val="none" w:sz="0" w:space="0" w:color="auto"/>
        <w:right w:val="none" w:sz="0" w:space="0" w:color="auto"/>
      </w:divBdr>
    </w:div>
    <w:div w:id="1314793167">
      <w:bodyDiv w:val="1"/>
      <w:marLeft w:val="0"/>
      <w:marRight w:val="0"/>
      <w:marTop w:val="0"/>
      <w:marBottom w:val="0"/>
      <w:divBdr>
        <w:top w:val="none" w:sz="0" w:space="0" w:color="auto"/>
        <w:left w:val="none" w:sz="0" w:space="0" w:color="auto"/>
        <w:bottom w:val="none" w:sz="0" w:space="0" w:color="auto"/>
        <w:right w:val="none" w:sz="0" w:space="0" w:color="auto"/>
      </w:divBdr>
    </w:div>
    <w:div w:id="1370299032">
      <w:bodyDiv w:val="1"/>
      <w:marLeft w:val="0"/>
      <w:marRight w:val="0"/>
      <w:marTop w:val="0"/>
      <w:marBottom w:val="0"/>
      <w:divBdr>
        <w:top w:val="none" w:sz="0" w:space="0" w:color="auto"/>
        <w:left w:val="none" w:sz="0" w:space="0" w:color="auto"/>
        <w:bottom w:val="none" w:sz="0" w:space="0" w:color="auto"/>
        <w:right w:val="none" w:sz="0" w:space="0" w:color="auto"/>
      </w:divBdr>
    </w:div>
    <w:div w:id="1547177325">
      <w:bodyDiv w:val="1"/>
      <w:marLeft w:val="0"/>
      <w:marRight w:val="0"/>
      <w:marTop w:val="0"/>
      <w:marBottom w:val="0"/>
      <w:divBdr>
        <w:top w:val="none" w:sz="0" w:space="0" w:color="auto"/>
        <w:left w:val="none" w:sz="0" w:space="0" w:color="auto"/>
        <w:bottom w:val="none" w:sz="0" w:space="0" w:color="auto"/>
        <w:right w:val="none" w:sz="0" w:space="0" w:color="auto"/>
      </w:divBdr>
    </w:div>
    <w:div w:id="156194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bca.org.au/"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bca@bca.org.au"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endnotes.xml.rels><?xml version="1.0" encoding="UTF-8" standalone="yes"?>
<Relationships xmlns="http://schemas.openxmlformats.org/package/2006/relationships"><Relationship Id="rId3" Type="http://schemas.openxmlformats.org/officeDocument/2006/relationships/hyperlink" Target="https://www.abc.net.au/news/2021-09-07/vision-australia-finds-attitudes-still-barrier-to-work/100436490" TargetMode="External"/><Relationship Id="rId2" Type="http://schemas.openxmlformats.org/officeDocument/2006/relationships/hyperlink" Target="https://www.bca.org.au/attachments/policies/mythbusters.doc" TargetMode="External"/><Relationship Id="rId1" Type="http://schemas.openxmlformats.org/officeDocument/2006/relationships/hyperlink" Target="https://www.bca.org.au/attachments/policies/for_employers.doc" TargetMode="External"/><Relationship Id="rId6" Type="http://schemas.openxmlformats.org/officeDocument/2006/relationships/hyperlink" Target="https://ccat.curtin.edu.au/wp-content/uploads/sites/33/2021/01/VisionAustraliaSmartphoneReportACC.pdf" TargetMode="External"/><Relationship Id="rId5" Type="http://schemas.openxmlformats.org/officeDocument/2006/relationships/hyperlink" Target="https://www.bca.org.au/attachments/policies/for_recruiters.doc" TargetMode="External"/><Relationship Id="rId4" Type="http://schemas.openxmlformats.org/officeDocument/2006/relationships/hyperlink" Target="https://www.jobaccess.gov.au/employment-assistance-fund-e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15FAF-33B6-4E01-8A2B-4461EBCA2A9B}">
  <ds:schemaRefs>
    <ds:schemaRef ds:uri="http://schemas.microsoft.com/sharepoint/v3/contenttype/forms"/>
  </ds:schemaRefs>
</ds:datastoreItem>
</file>

<file path=customXml/itemProps2.xml><?xml version="1.0" encoding="utf-8"?>
<ds:datastoreItem xmlns:ds="http://schemas.openxmlformats.org/officeDocument/2006/customXml" ds:itemID="{309F77DE-BE61-4EA0-A884-71B99A714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1E34EF-BE4C-40C2-A112-5E5ECDACA6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Jackson Reynolds-Ryan</dc:creator>
  <keywords/>
  <dc:description/>
  <lastModifiedBy>Angela Jaeschke</lastModifiedBy>
  <revision>3</revision>
  <dcterms:created xsi:type="dcterms:W3CDTF">2023-09-19T05:20:00.0000000Z</dcterms:created>
  <dcterms:modified xsi:type="dcterms:W3CDTF">2023-09-19T05:24:10.2424039Z</dcterms:modified>
</coreProperties>
</file>