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1B1AA2" w:rsidP="001B1AA2" w:rsidRDefault="001B1AA2" w14:paraId="704A2AC7" w14:textId="77777777">
      <w:pPr>
        <w:pStyle w:val="Title"/>
        <w:ind w:left="-284"/>
      </w:pPr>
      <w:r>
        <w:rPr>
          <w:noProof/>
        </w:rPr>
        <w:drawing>
          <wp:inline distT="0" distB="0" distL="0" distR="0" wp14:anchorId="778AFE82" wp14:editId="2A52C301">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p>
    <w:p w:rsidRPr="00A67164" w:rsidR="001B1AA2" w:rsidP="001B1AA2" w:rsidRDefault="001B1AA2" w14:paraId="6857F6BF" w14:textId="77777777">
      <w:pPr>
        <w:pStyle w:val="Date"/>
      </w:pPr>
      <w:r w:rsidRPr="00306E88">
        <w:rPr>
          <w:rStyle w:val="Heading2Char"/>
          <w:bCs w:val="0"/>
          <w:color w:val="500061"/>
        </w:rPr>
        <w:t>Ph</w:t>
      </w:r>
      <w:r w:rsidRPr="00306E88">
        <w:t xml:space="preserve"> 1800 033 660  |  </w:t>
      </w:r>
      <w:r w:rsidRPr="00306E88">
        <w:rPr>
          <w:rStyle w:val="Heading2Char"/>
          <w:bCs w:val="0"/>
          <w:color w:val="500061"/>
        </w:rPr>
        <w:t>E</w:t>
      </w:r>
      <w:r w:rsidRPr="00306E88">
        <w:t xml:space="preserve"> </w:t>
      </w:r>
      <w:hyperlink w:history="1" r:id="rId11">
        <w:r w:rsidRPr="00306E88">
          <w:rPr>
            <w:rStyle w:val="Hyperlink"/>
          </w:rPr>
          <w:t>bca@bca.org.au</w:t>
        </w:r>
      </w:hyperlink>
      <w:r w:rsidRPr="00306E88">
        <w:rPr>
          <w:rStyle w:val="Hyperlink"/>
        </w:rPr>
        <w:t xml:space="preserve"> </w:t>
      </w:r>
      <w:r w:rsidRPr="00306E88">
        <w:t xml:space="preserve"> |  </w:t>
      </w:r>
      <w:r w:rsidRPr="00306E88">
        <w:rPr>
          <w:rStyle w:val="Heading2Char"/>
          <w:bCs w:val="0"/>
          <w:color w:val="500061"/>
        </w:rPr>
        <w:t>W</w:t>
      </w:r>
      <w:r w:rsidRPr="00306E88">
        <w:t xml:space="preserve"> </w:t>
      </w:r>
      <w:hyperlink w:tooltip="click to go to BCA website" w:history="1" r:id="rId12">
        <w:r w:rsidRPr="00306E88">
          <w:rPr>
            <w:rStyle w:val="Hyperlink"/>
          </w:rPr>
          <w:t>bca.org.au</w:t>
        </w:r>
      </w:hyperlink>
      <w:r w:rsidRPr="008B3C55">
        <w:rPr>
          <w:rStyle w:val="Hyperlink"/>
          <w:u w:val="none"/>
        </w:rPr>
        <w:t xml:space="preserve"> |  </w:t>
      </w:r>
      <w:r w:rsidRPr="00306E88">
        <w:rPr>
          <w:rStyle w:val="Heading2Char"/>
          <w:bCs w:val="0"/>
          <w:color w:val="500061"/>
        </w:rPr>
        <w:t>ABN</w:t>
      </w:r>
      <w:r w:rsidRPr="00306E88">
        <w:t xml:space="preserve"> 90 006 985 226</w:t>
      </w:r>
    </w:p>
    <w:p w:rsidRPr="00DF166E" w:rsidR="001B1AA2" w:rsidP="001B1AA2" w:rsidRDefault="001B1AA2" w14:paraId="11A1F14E" w14:textId="28062F14">
      <w:pPr>
        <w:pStyle w:val="Heading1"/>
      </w:pPr>
      <w:bookmarkStart w:name="_Hlk47640120" w:id="0"/>
      <w:r w:rsidRPr="00DF166E">
        <w:t xml:space="preserve">Position </w:t>
      </w:r>
      <w:r w:rsidR="002E2A3D">
        <w:t>Paper</w:t>
      </w:r>
      <w:r w:rsidRPr="00DF166E">
        <w:t xml:space="preserve"> on </w:t>
      </w:r>
      <w:r w:rsidR="002E2A3D">
        <w:t>Personal Mobility Devices (PMDs)</w:t>
      </w:r>
    </w:p>
    <w:p w:rsidR="00860BF2" w:rsidP="001B1AA2" w:rsidRDefault="00860BF2" w14:paraId="6FF66F1A" w14:textId="39478CDC">
      <w:pPr>
        <w:rPr>
          <w:lang w:eastAsia="en-US"/>
        </w:rPr>
      </w:pPr>
      <w:r>
        <w:rPr>
          <w:lang w:eastAsia="en-US"/>
        </w:rPr>
        <w:t>September 2023</w:t>
      </w:r>
    </w:p>
    <w:p w:rsidRPr="00DF166E" w:rsidR="001B1AA2" w:rsidP="001B1AA2" w:rsidRDefault="001B1AA2" w14:paraId="47CA4D5D" w14:textId="3283AA56">
      <w:pPr>
        <w:pStyle w:val="Heading2"/>
        <w:rPr>
          <w:bCs/>
          <w:iCs/>
        </w:rPr>
      </w:pPr>
      <w:r w:rsidRPr="00DF166E">
        <w:t>B</w:t>
      </w:r>
      <w:r w:rsidR="00900506">
        <w:t>ackground</w:t>
      </w:r>
    </w:p>
    <w:p w:rsidR="009102DD" w:rsidP="00F72AF2" w:rsidRDefault="002042D0" w14:paraId="79CFADD6" w14:textId="1EA62FB1">
      <w:r>
        <w:t>In recent years there has been rapid</w:t>
      </w:r>
      <w:r w:rsidR="005F60AF">
        <w:t xml:space="preserve"> and significant</w:t>
      </w:r>
      <w:r>
        <w:t xml:space="preserve"> growth in the popularity and availability of e-scooters</w:t>
      </w:r>
      <w:r w:rsidR="005F60AF">
        <w:t xml:space="preserve"> </w:t>
      </w:r>
      <w:r>
        <w:t>and other</w:t>
      </w:r>
      <w:r w:rsidR="005F60AF">
        <w:t xml:space="preserve"> </w:t>
      </w:r>
      <w:r w:rsidR="009102DD">
        <w:t>P</w:t>
      </w:r>
      <w:r w:rsidR="005F60AF">
        <w:t xml:space="preserve">ersonal </w:t>
      </w:r>
      <w:r w:rsidR="009102DD">
        <w:t>M</w:t>
      </w:r>
      <w:r w:rsidR="005F60AF">
        <w:t>obility</w:t>
      </w:r>
      <w:r>
        <w:t xml:space="preserve"> </w:t>
      </w:r>
      <w:r w:rsidR="009102DD">
        <w:t>D</w:t>
      </w:r>
      <w:r>
        <w:t>evices</w:t>
      </w:r>
      <w:r w:rsidR="00237749">
        <w:t xml:space="preserve">, </w:t>
      </w:r>
      <w:r w:rsidRPr="00237749" w:rsidR="00237749">
        <w:t>w</w:t>
      </w:r>
      <w:r w:rsidR="009102DD">
        <w:t xml:space="preserve">hile </w:t>
      </w:r>
      <w:r w:rsidRPr="00237749" w:rsidR="00237749">
        <w:t xml:space="preserve">legislation and regulation </w:t>
      </w:r>
      <w:r w:rsidR="009102DD">
        <w:t xml:space="preserve">has </w:t>
      </w:r>
      <w:r w:rsidRPr="00237749" w:rsidR="00237749">
        <w:t>strugg</w:t>
      </w:r>
      <w:r w:rsidR="009102DD">
        <w:t>led</w:t>
      </w:r>
      <w:r w:rsidRPr="00237749" w:rsidR="00237749">
        <w:t xml:space="preserve"> to keep up.</w:t>
      </w:r>
      <w:r w:rsidR="009102DD">
        <w:t xml:space="preserve"> Personal Mobility Devices (PMDs) or ‘e-ridables’ are broad terms that can refer to </w:t>
      </w:r>
      <w:r w:rsidRPr="00C16131" w:rsidR="009102DD">
        <w:t>a wide range of electric powered devices</w:t>
      </w:r>
      <w:r w:rsidR="009102DD">
        <w:t>,</w:t>
      </w:r>
      <w:r w:rsidRPr="00C16131" w:rsidR="009102DD">
        <w:t xml:space="preserve"> including e-scooters, electric unicycles, electric skateboards, </w:t>
      </w:r>
      <w:r w:rsidR="009102DD">
        <w:t>‘</w:t>
      </w:r>
      <w:r w:rsidRPr="00C16131" w:rsidR="009102DD">
        <w:t>hoverboards</w:t>
      </w:r>
      <w:r w:rsidR="009102DD">
        <w:t>’ and Segways</w:t>
      </w:r>
      <w:r w:rsidRPr="00C16131" w:rsidR="009102DD">
        <w:t>.</w:t>
      </w:r>
    </w:p>
    <w:p w:rsidR="005F60AF" w:rsidP="002042D0" w:rsidRDefault="00F72AF2" w14:paraId="6CCA3A55" w14:textId="46157644">
      <w:r>
        <w:t xml:space="preserve">Blind Citizens Australia (BCA) recognises the ongoing role </w:t>
      </w:r>
      <w:r w:rsidR="009102DD">
        <w:t>PMDs</w:t>
      </w:r>
      <w:r>
        <w:t xml:space="preserve"> are likely to play as a way of providing a practical, ecological and economical alternative to city traffic, and as “last-mile” </w:t>
      </w:r>
      <w:r w:rsidR="009102DD">
        <w:t>transportation</w:t>
      </w:r>
      <w:r>
        <w:t xml:space="preserve"> to help bridge connections with</w:t>
      </w:r>
      <w:r w:rsidR="009102DD">
        <w:t>in</w:t>
      </w:r>
      <w:r>
        <w:t xml:space="preserve"> public transport</w:t>
      </w:r>
      <w:r w:rsidR="009102DD">
        <w:t xml:space="preserve"> networks</w:t>
      </w:r>
      <w:r>
        <w:t>. However, these devices</w:t>
      </w:r>
      <w:r w:rsidR="008B3C55">
        <w:t xml:space="preserve"> can</w:t>
      </w:r>
      <w:r>
        <w:t xml:space="preserve"> pose significant risks to people who are blind or vision impaired. It is </w:t>
      </w:r>
      <w:r w:rsidR="009102DD">
        <w:t xml:space="preserve">therefore </w:t>
      </w:r>
      <w:r>
        <w:t>crucial that governments across Australia introduce consistent rules regulating their use to promote the safety of both users and pedestrians.</w:t>
      </w:r>
    </w:p>
    <w:p w:rsidRPr="00DF166E" w:rsidR="001B1AA2" w:rsidP="001B1AA2" w:rsidRDefault="001B1AA2" w14:paraId="084BC2AD" w14:textId="25656DF9">
      <w:pPr>
        <w:pStyle w:val="Heading2"/>
        <w:rPr>
          <w:lang w:eastAsia="en-US"/>
        </w:rPr>
      </w:pPr>
      <w:r>
        <w:rPr>
          <w:lang w:eastAsia="en-AU"/>
        </w:rPr>
        <w:t>Where are e-bikes and e-scooters legal in Australia?</w:t>
      </w:r>
    </w:p>
    <w:p w:rsidRPr="00DF166E" w:rsidR="001B1AA2" w:rsidP="00DD3293" w:rsidRDefault="00DD3293" w14:paraId="5D78251D" w14:textId="10C8C3D1">
      <w:pPr>
        <w:rPr>
          <w:rFonts w:eastAsia="Calibri"/>
          <w:szCs w:val="24"/>
          <w:lang w:eastAsia="en-US"/>
        </w:rPr>
      </w:pPr>
      <w:r w:rsidRPr="00DD3293">
        <w:rPr>
          <w:rFonts w:eastAsia="Calibri"/>
          <w:szCs w:val="24"/>
          <w:lang w:eastAsia="en-US"/>
        </w:rPr>
        <w:t xml:space="preserve">The </w:t>
      </w:r>
      <w:r w:rsidR="008B3C55">
        <w:rPr>
          <w:rFonts w:eastAsia="Calibri"/>
          <w:szCs w:val="24"/>
          <w:lang w:eastAsia="en-US"/>
        </w:rPr>
        <w:t>laws</w:t>
      </w:r>
      <w:r w:rsidR="009102DD">
        <w:rPr>
          <w:rFonts w:eastAsia="Calibri"/>
          <w:szCs w:val="24"/>
          <w:lang w:eastAsia="en-US"/>
        </w:rPr>
        <w:t xml:space="preserve"> on the use of </w:t>
      </w:r>
      <w:r w:rsidRPr="00DD3293">
        <w:rPr>
          <w:rFonts w:eastAsia="Calibri"/>
          <w:szCs w:val="24"/>
          <w:lang w:eastAsia="en-US"/>
        </w:rPr>
        <w:t xml:space="preserve">e-scooters and </w:t>
      </w:r>
      <w:r w:rsidR="008B3C55">
        <w:rPr>
          <w:rFonts w:eastAsia="Calibri"/>
          <w:szCs w:val="24"/>
          <w:lang w:eastAsia="en-US"/>
        </w:rPr>
        <w:t>other PMDs</w:t>
      </w:r>
      <w:r w:rsidRPr="00DD3293">
        <w:rPr>
          <w:rFonts w:eastAsia="Calibri"/>
          <w:szCs w:val="24"/>
          <w:lang w:eastAsia="en-US"/>
        </w:rPr>
        <w:t xml:space="preserve"> </w:t>
      </w:r>
      <w:r w:rsidR="008B3C55">
        <w:rPr>
          <w:rFonts w:eastAsia="Calibri"/>
          <w:szCs w:val="24"/>
          <w:lang w:eastAsia="en-US"/>
        </w:rPr>
        <w:t>currently varies significantly across Australia</w:t>
      </w:r>
      <w:r w:rsidRPr="00DD3293">
        <w:rPr>
          <w:rFonts w:eastAsia="Calibri"/>
          <w:szCs w:val="24"/>
          <w:lang w:eastAsia="en-US"/>
        </w:rPr>
        <w:t>.</w:t>
      </w:r>
      <w:r w:rsidR="008B3C55">
        <w:rPr>
          <w:rFonts w:eastAsia="Calibri"/>
          <w:szCs w:val="24"/>
          <w:lang w:eastAsia="en-US"/>
        </w:rPr>
        <w:t xml:space="preserve"> </w:t>
      </w:r>
      <w:r w:rsidRPr="008B3C55" w:rsidR="008B3C55">
        <w:rPr>
          <w:rFonts w:eastAsia="Calibri"/>
          <w:szCs w:val="24"/>
          <w:lang w:eastAsia="en-US"/>
        </w:rPr>
        <w:t xml:space="preserve">Some governments – such as </w:t>
      </w:r>
      <w:r w:rsidR="008B3C55">
        <w:rPr>
          <w:rFonts w:eastAsia="Calibri"/>
          <w:szCs w:val="24"/>
          <w:lang w:eastAsia="en-US"/>
        </w:rPr>
        <w:t xml:space="preserve">in </w:t>
      </w:r>
      <w:r w:rsidRPr="008B3C55" w:rsidR="008B3C55">
        <w:rPr>
          <w:rFonts w:eastAsia="Calibri"/>
          <w:szCs w:val="24"/>
          <w:lang w:eastAsia="en-US"/>
        </w:rPr>
        <w:t xml:space="preserve">Tasmania and </w:t>
      </w:r>
      <w:r w:rsidR="008B3C55">
        <w:rPr>
          <w:rFonts w:eastAsia="Calibri"/>
          <w:szCs w:val="24"/>
          <w:lang w:eastAsia="en-US"/>
        </w:rPr>
        <w:t>Western Australia</w:t>
      </w:r>
      <w:r w:rsidRPr="008B3C55" w:rsidR="008B3C55">
        <w:rPr>
          <w:rFonts w:eastAsia="Calibri"/>
          <w:szCs w:val="24"/>
          <w:lang w:eastAsia="en-US"/>
        </w:rPr>
        <w:t xml:space="preserve"> – have</w:t>
      </w:r>
      <w:r w:rsidR="008B3C55">
        <w:rPr>
          <w:rFonts w:eastAsia="Calibri"/>
          <w:szCs w:val="24"/>
          <w:lang w:eastAsia="en-US"/>
        </w:rPr>
        <w:t xml:space="preserve"> allowed</w:t>
      </w:r>
      <w:r w:rsidRPr="008B3C55" w:rsidR="008B3C55">
        <w:rPr>
          <w:rFonts w:eastAsia="Calibri"/>
          <w:szCs w:val="24"/>
          <w:lang w:eastAsia="en-US"/>
        </w:rPr>
        <w:t xml:space="preserve"> private ownership of these devices</w:t>
      </w:r>
      <w:r w:rsidR="008B3C55">
        <w:rPr>
          <w:rFonts w:eastAsia="Calibri"/>
          <w:szCs w:val="24"/>
          <w:lang w:eastAsia="en-US"/>
        </w:rPr>
        <w:t xml:space="preserve"> to varying extents</w:t>
      </w:r>
      <w:r w:rsidRPr="008B3C55" w:rsidR="008B3C55">
        <w:rPr>
          <w:rFonts w:eastAsia="Calibri"/>
          <w:szCs w:val="24"/>
          <w:lang w:eastAsia="en-US"/>
        </w:rPr>
        <w:t xml:space="preserve">, while other jurisdictions – such as </w:t>
      </w:r>
      <w:r w:rsidR="008B3C55">
        <w:rPr>
          <w:rFonts w:eastAsia="Calibri"/>
          <w:szCs w:val="24"/>
          <w:lang w:eastAsia="en-US"/>
        </w:rPr>
        <w:t xml:space="preserve">Queensland </w:t>
      </w:r>
      <w:r w:rsidRPr="008B3C55" w:rsidR="008B3C55">
        <w:rPr>
          <w:rFonts w:eastAsia="Calibri"/>
          <w:szCs w:val="24"/>
          <w:lang w:eastAsia="en-US"/>
        </w:rPr>
        <w:t xml:space="preserve">and South Australia – have </w:t>
      </w:r>
      <w:r w:rsidR="008B3C55">
        <w:rPr>
          <w:rFonts w:eastAsia="Calibri"/>
          <w:szCs w:val="24"/>
          <w:lang w:eastAsia="en-US"/>
        </w:rPr>
        <w:t xml:space="preserve">required private </w:t>
      </w:r>
      <w:r w:rsidRPr="008B3C55" w:rsidR="008B3C55">
        <w:rPr>
          <w:rFonts w:eastAsia="Calibri"/>
          <w:szCs w:val="24"/>
          <w:lang w:eastAsia="en-US"/>
        </w:rPr>
        <w:t>companies to establish schemes where e-scooters and e-bikes can be hired as a way for tourists and locals to get around (‘hire and ride schemes’)</w:t>
      </w:r>
      <w:r w:rsidR="008B3C55">
        <w:rPr>
          <w:rFonts w:eastAsia="Calibri"/>
          <w:szCs w:val="24"/>
          <w:lang w:eastAsia="en-US"/>
        </w:rPr>
        <w:t xml:space="preserve"> a designated zone, while prohibiting private ownership</w:t>
      </w:r>
      <w:r w:rsidRPr="008B3C55" w:rsidR="008B3C55">
        <w:rPr>
          <w:rFonts w:eastAsia="Calibri"/>
          <w:szCs w:val="24"/>
          <w:lang w:eastAsia="en-US"/>
        </w:rPr>
        <w:t>.</w:t>
      </w:r>
    </w:p>
    <w:p w:rsidRPr="00DF166E" w:rsidR="001B1AA2" w:rsidP="001B1AA2" w:rsidRDefault="00DD3293" w14:paraId="6534A133" w14:textId="3E38912F">
      <w:pPr>
        <w:pStyle w:val="Heading2"/>
        <w:rPr>
          <w:lang w:eastAsia="en-US"/>
        </w:rPr>
      </w:pPr>
      <w:r>
        <w:rPr>
          <w:lang w:eastAsia="en-AU"/>
        </w:rPr>
        <w:lastRenderedPageBreak/>
        <w:t xml:space="preserve">Issues </w:t>
      </w:r>
      <w:r w:rsidR="0035590F">
        <w:rPr>
          <w:lang w:eastAsia="en-AU"/>
        </w:rPr>
        <w:t>and Concerns</w:t>
      </w:r>
    </w:p>
    <w:p w:rsidR="0035590F" w:rsidP="001B1AA2" w:rsidRDefault="0035590F" w14:paraId="43B79272" w14:textId="33B57217">
      <w:pPr>
        <w:rPr>
          <w:rFonts w:eastAsia="Calibri"/>
          <w:szCs w:val="24"/>
          <w:lang w:eastAsia="en-US"/>
        </w:rPr>
      </w:pPr>
      <w:r w:rsidRPr="0035590F">
        <w:rPr>
          <w:rFonts w:eastAsia="Calibri"/>
          <w:szCs w:val="24"/>
          <w:lang w:eastAsia="en-US"/>
        </w:rPr>
        <w:t xml:space="preserve">When used inappropriately, PMDs create a significant safety hazard for pedestrians who are blind or vision impaired. </w:t>
      </w:r>
      <w:r>
        <w:rPr>
          <w:rFonts w:eastAsia="Calibri"/>
          <w:szCs w:val="24"/>
          <w:lang w:eastAsia="en-US"/>
        </w:rPr>
        <w:t>The foremost</w:t>
      </w:r>
      <w:r w:rsidRPr="0035590F">
        <w:rPr>
          <w:rFonts w:eastAsia="Calibri"/>
          <w:szCs w:val="24"/>
          <w:lang w:eastAsia="en-US"/>
        </w:rPr>
        <w:t xml:space="preserve"> of those concerns is the difficulty detecting e-scooters approachin</w:t>
      </w:r>
      <w:r>
        <w:rPr>
          <w:rFonts w:eastAsia="Calibri"/>
          <w:szCs w:val="24"/>
          <w:lang w:eastAsia="en-US"/>
        </w:rPr>
        <w:t>g</w:t>
      </w:r>
      <w:r w:rsidRPr="0035590F">
        <w:rPr>
          <w:rFonts w:eastAsia="Calibri"/>
          <w:szCs w:val="24"/>
          <w:lang w:eastAsia="en-US"/>
        </w:rPr>
        <w:t xml:space="preserve"> </w:t>
      </w:r>
      <w:r>
        <w:rPr>
          <w:rFonts w:eastAsia="Calibri"/>
          <w:szCs w:val="24"/>
          <w:lang w:eastAsia="en-US"/>
        </w:rPr>
        <w:t>as they run almost silently and are capable of speeds of at least 25km/h. We are gravely concerned by reports of e-scooters available on the market that can reach speeds of up to 90km/h.</w:t>
      </w:r>
    </w:p>
    <w:p w:rsidR="009102DD" w:rsidP="001B1AA2" w:rsidRDefault="0035590F" w14:paraId="00860A57" w14:textId="52E6A26A">
      <w:pPr>
        <w:rPr>
          <w:rFonts w:eastAsia="Calibri"/>
          <w:szCs w:val="24"/>
          <w:lang w:eastAsia="en-US"/>
        </w:rPr>
      </w:pPr>
      <w:r w:rsidRPr="0035590F">
        <w:rPr>
          <w:rFonts w:eastAsia="Calibri"/>
          <w:szCs w:val="24"/>
          <w:lang w:eastAsia="en-US"/>
        </w:rPr>
        <w:t>In addition, ‘hire and ride’ devices are often deposited across pedestrian areas after being used, creating a tripping or collision hazard for people who are blind or vision impaired. Similarly, these devices may be left in areas that block tactile guidance systems, traffic lights, or walls that are essential for the independent mobility of people who are blind or vision impaired.</w:t>
      </w:r>
      <w:r w:rsidRPr="00DD3293" w:rsidR="00DD3293">
        <w:rPr>
          <w:rFonts w:eastAsia="Calibri"/>
          <w:szCs w:val="24"/>
          <w:lang w:eastAsia="en-US"/>
        </w:rPr>
        <w:t xml:space="preserve"> </w:t>
      </w:r>
    </w:p>
    <w:p w:rsidR="00C85214" w:rsidP="007C56C0" w:rsidRDefault="009102DD" w14:paraId="08FFADD9" w14:textId="06D59FAF">
      <w:pPr>
        <w:rPr>
          <w:lang w:eastAsia="en-US"/>
        </w:rPr>
      </w:pPr>
      <w:r>
        <w:rPr>
          <w:rFonts w:eastAsia="Calibri"/>
          <w:szCs w:val="24"/>
          <w:lang w:eastAsia="en-US"/>
        </w:rPr>
        <w:t>R</w:t>
      </w:r>
      <w:r w:rsidRPr="00DD3293" w:rsidR="00DD3293">
        <w:rPr>
          <w:rFonts w:eastAsia="Calibri"/>
          <w:szCs w:val="24"/>
          <w:lang w:eastAsia="en-US"/>
        </w:rPr>
        <w:t>eckless endangerment caused by scooter misuse has amplified safety concerns</w:t>
      </w:r>
      <w:r>
        <w:rPr>
          <w:rFonts w:eastAsia="Calibri"/>
          <w:szCs w:val="24"/>
          <w:lang w:eastAsia="en-US"/>
        </w:rPr>
        <w:t xml:space="preserve"> for all pedestrians, but especially those who are blind or vision impaired</w:t>
      </w:r>
      <w:r w:rsidRPr="00DD3293" w:rsidR="00DD3293">
        <w:rPr>
          <w:rFonts w:eastAsia="Calibri"/>
          <w:szCs w:val="24"/>
          <w:lang w:eastAsia="en-US"/>
        </w:rPr>
        <w:t>.</w:t>
      </w:r>
      <w:r w:rsidR="0035590F">
        <w:rPr>
          <w:rFonts w:eastAsia="Calibri"/>
          <w:szCs w:val="24"/>
          <w:lang w:eastAsia="en-US"/>
        </w:rPr>
        <w:t xml:space="preserve"> </w:t>
      </w:r>
      <w:r w:rsidR="00C85214">
        <w:rPr>
          <w:rFonts w:eastAsia="Calibri"/>
          <w:szCs w:val="24"/>
          <w:lang w:eastAsia="en-US"/>
        </w:rPr>
        <w:t>In recent years, a</w:t>
      </w:r>
      <w:r w:rsidR="00AD3DCD">
        <w:rPr>
          <w:lang w:eastAsia="en-US"/>
        </w:rPr>
        <w:t>n overall increase in injuries has been recorded by Australian medical professionals, including both to the e-scooter users and other pedestrians or bystanders who have been injured by the scooters.</w:t>
      </w:r>
      <w:r w:rsidR="00C85214">
        <w:rPr>
          <w:lang w:eastAsia="en-US"/>
        </w:rPr>
        <w:t xml:space="preserve"> In WA, doctors reported a “near exponential rise in e-scooter related injuries”, with 39 e-scooter patients admitted to Royal Perth Hospital (RPH) for more than 24 hours in 2021, that number jumping to 62 in 2022. In just the first two months of 2023, 19 patients have required admission</w:t>
      </w:r>
      <w:r w:rsidR="00C85214">
        <w:rPr>
          <w:rStyle w:val="EndnoteReference"/>
          <w:lang w:eastAsia="en-US"/>
        </w:rPr>
        <w:endnoteReference w:id="1"/>
      </w:r>
      <w:r w:rsidR="00C85214">
        <w:rPr>
          <w:lang w:eastAsia="en-US"/>
        </w:rPr>
        <w:t>.</w:t>
      </w:r>
    </w:p>
    <w:p w:rsidRPr="0035590F" w:rsidR="00DD3293" w:rsidP="32BC9541" w:rsidRDefault="006F2D70" w14:paraId="6651C2F9" w14:textId="24EA9DF9">
      <w:pPr>
        <w:rPr>
          <w:rFonts w:eastAsia="Calibri"/>
          <w:lang w:eastAsia="en-US"/>
        </w:rPr>
      </w:pPr>
      <w:r w:rsidRPr="32BC9541" w:rsidR="006F2D70">
        <w:rPr>
          <w:rFonts w:eastAsia="Calibri"/>
          <w:lang w:eastAsia="en-US"/>
        </w:rPr>
        <w:t xml:space="preserve">International research has </w:t>
      </w:r>
      <w:r w:rsidRPr="32BC9541" w:rsidR="006F2D70">
        <w:rPr>
          <w:rFonts w:eastAsia="Calibri"/>
          <w:lang w:eastAsia="en-US"/>
        </w:rPr>
        <w:t xml:space="preserve">indicated</w:t>
      </w:r>
      <w:r w:rsidRPr="32BC9541" w:rsidR="006F2D70">
        <w:rPr>
          <w:rFonts w:eastAsia="Calibri"/>
          <w:lang w:eastAsia="en-US"/>
        </w:rPr>
        <w:t xml:space="preserve"> that </w:t>
      </w:r>
      <w:r w:rsidRPr="32BC9541" w:rsidR="00AD3DCD">
        <w:rPr>
          <w:rFonts w:eastAsia="Calibri"/>
          <w:lang w:eastAsia="en-US"/>
        </w:rPr>
        <w:t xml:space="preserve">e-scooters could be </w:t>
      </w:r>
      <w:r w:rsidRPr="32BC9541" w:rsidR="00AD3DCD">
        <w:rPr>
          <w:rFonts w:eastAsia="Calibri"/>
          <w:lang w:eastAsia="en-US"/>
        </w:rPr>
        <w:t>three times more dangerous than cycling</w:t>
      </w:r>
      <w:r w:rsidRPr="32BC9541" w:rsidR="00AD3DCD">
        <w:rPr>
          <w:rFonts w:eastAsia="Calibri"/>
          <w:lang w:eastAsia="en-US"/>
        </w:rPr>
        <w:t>, with riders engaging in a</w:t>
      </w:r>
      <w:r w:rsidRPr="32BC9541" w:rsidR="00AD3DCD">
        <w:rPr>
          <w:rFonts w:eastAsia="Calibri"/>
          <w:lang w:eastAsia="en-US"/>
        </w:rPr>
        <w:t xml:space="preserve">nti-social behaviour </w:t>
      </w:r>
      <w:r w:rsidRPr="32BC9541" w:rsidR="00AD3DCD">
        <w:rPr>
          <w:rFonts w:eastAsia="Calibri"/>
          <w:lang w:eastAsia="en-US"/>
        </w:rPr>
        <w:t xml:space="preserve">including using devices on footpaths, travelling to</w:t>
      </w:r>
      <w:r w:rsidRPr="32BC9541" w:rsidR="31FAB18B">
        <w:rPr>
          <w:rFonts w:eastAsia="Calibri"/>
          <w:lang w:eastAsia="en-US"/>
        </w:rPr>
        <w:t xml:space="preserve">o</w:t>
      </w:r>
      <w:r w:rsidRPr="32BC9541" w:rsidR="00AD3DCD">
        <w:rPr>
          <w:rFonts w:eastAsia="Calibri"/>
          <w:lang w:eastAsia="en-US"/>
        </w:rPr>
        <w:t xml:space="preserve"> fast, </w:t>
      </w:r>
      <w:r w:rsidRPr="32BC9541" w:rsidR="00AD3DCD">
        <w:rPr>
          <w:rFonts w:eastAsia="Calibri"/>
          <w:lang w:eastAsia="en-US"/>
        </w:rPr>
        <w:t>racing other</w:t>
      </w:r>
      <w:r w:rsidRPr="32BC9541" w:rsidR="00AD3DCD">
        <w:rPr>
          <w:rFonts w:eastAsia="Calibri"/>
          <w:lang w:eastAsia="en-US"/>
        </w:rPr>
        <w:t xml:space="preserve"> riders</w:t>
      </w:r>
      <w:r w:rsidRPr="32BC9541" w:rsidR="00AD3DCD">
        <w:rPr>
          <w:rFonts w:eastAsia="Calibri"/>
          <w:lang w:eastAsia="en-US"/>
        </w:rPr>
        <w:t xml:space="preserve"> and performing dangerous stunts</w:t>
      </w:r>
      <w:r w:rsidRPr="32BC9541" w:rsidR="00AD3DCD">
        <w:rPr>
          <w:rStyle w:val="EndnoteReference"/>
          <w:rFonts w:eastAsia="Calibri"/>
          <w:lang w:eastAsia="en-US"/>
        </w:rPr>
        <w:endnoteReference w:id="2"/>
      </w:r>
      <w:r w:rsidRPr="32BC9541" w:rsidR="00AD3DCD">
        <w:rPr>
          <w:rFonts w:eastAsia="Calibri"/>
          <w:lang w:eastAsia="en-US"/>
        </w:rPr>
        <w:t>.</w:t>
      </w:r>
      <w:r w:rsidR="00DD3293">
        <w:rPr>
          <w:lang w:eastAsia="en-US"/>
        </w:rPr>
        <w:t xml:space="preserve"> Additionally, use of scooters under the influence of alcohol has increased safety concerns</w:t>
      </w:r>
      <w:r w:rsidR="00AD3DCD">
        <w:rPr>
          <w:lang w:eastAsia="en-US"/>
        </w:rPr>
        <w:t xml:space="preserve"> given the dangers to both pedestrians and riders themselves</w:t>
      </w:r>
      <w:r w:rsidR="00AD3DCD">
        <w:rPr>
          <w:rStyle w:val="EndnoteReference"/>
          <w:lang w:eastAsia="en-US"/>
        </w:rPr>
        <w:endnoteReference w:id="3"/>
      </w:r>
      <w:r w:rsidR="00DD3293">
        <w:rPr>
          <w:lang w:eastAsia="en-US"/>
        </w:rPr>
        <w:t xml:space="preserve">.  </w:t>
      </w:r>
    </w:p>
    <w:p w:rsidRPr="00DF166E" w:rsidR="001B1AA2" w:rsidP="001B1AA2" w:rsidRDefault="001B1AA2" w14:paraId="09E1516B" w14:textId="1A12738A">
      <w:pPr>
        <w:pStyle w:val="Heading2"/>
        <w:rPr>
          <w:bCs/>
          <w:iCs/>
        </w:rPr>
      </w:pPr>
      <w:r w:rsidRPr="00DF166E">
        <w:t>Policy solutions</w:t>
      </w:r>
    </w:p>
    <w:p w:rsidR="00AD3DCD" w:rsidP="001B1AA2" w:rsidRDefault="0035590F" w14:paraId="28DF0573" w14:textId="77777777">
      <w:pPr>
        <w:spacing w:after="240"/>
        <w:rPr>
          <w:szCs w:val="24"/>
        </w:rPr>
      </w:pPr>
      <w:r w:rsidRPr="0035590F">
        <w:rPr>
          <w:szCs w:val="24"/>
        </w:rPr>
        <w:t>We note that the National Transport Commission, the statutory body for developing road regulations, released a 73-page Final Report</w:t>
      </w:r>
      <w:r>
        <w:rPr>
          <w:rStyle w:val="EndnoteReference"/>
        </w:rPr>
        <w:endnoteReference w:id="4"/>
      </w:r>
      <w:r>
        <w:t xml:space="preserve">. </w:t>
      </w:r>
      <w:r w:rsidRPr="0035590F">
        <w:rPr>
          <w:szCs w:val="24"/>
        </w:rPr>
        <w:t>in August 2020 after spending 18 months considering the barriers to the safe use of PMDs.</w:t>
      </w:r>
      <w:r>
        <w:rPr>
          <w:szCs w:val="24"/>
        </w:rPr>
        <w:t xml:space="preserve"> </w:t>
      </w:r>
      <w:r w:rsidRPr="0035590F">
        <w:rPr>
          <w:szCs w:val="24"/>
        </w:rPr>
        <w:t>The report recommended e-scooters be allowed for use at speeds of 10km/h on footpaths and shared zones, and 25km/h on bicycle paths and residential streets (roads with speed limits of 50km/h or less).</w:t>
      </w:r>
    </w:p>
    <w:p w:rsidR="0035590F" w:rsidP="001B1AA2" w:rsidRDefault="0035590F" w14:paraId="72843698" w14:textId="6C342E3F">
      <w:pPr>
        <w:spacing w:after="240"/>
        <w:rPr>
          <w:szCs w:val="24"/>
        </w:rPr>
      </w:pPr>
      <w:r w:rsidRPr="0035590F">
        <w:rPr>
          <w:szCs w:val="24"/>
        </w:rPr>
        <w:lastRenderedPageBreak/>
        <w:t>BCA broadly supports the recommendations of this report; however, we go further and urge all jurisdictions to ban PMDs</w:t>
      </w:r>
      <w:r>
        <w:rPr>
          <w:szCs w:val="24"/>
        </w:rPr>
        <w:t xml:space="preserve"> </w:t>
      </w:r>
      <w:r w:rsidRPr="0035590F">
        <w:rPr>
          <w:szCs w:val="24"/>
        </w:rPr>
        <w:t>from use on footpaths</w:t>
      </w:r>
      <w:r>
        <w:rPr>
          <w:szCs w:val="24"/>
        </w:rPr>
        <w:t>, and allow their use only on dedicated bike lanes and residential streets</w:t>
      </w:r>
      <w:r w:rsidRPr="0035590F">
        <w:rPr>
          <w:szCs w:val="24"/>
        </w:rPr>
        <w:t>.</w:t>
      </w:r>
    </w:p>
    <w:p w:rsidR="009A3856" w:rsidP="001B1AA2" w:rsidRDefault="00987113" w14:paraId="32F7C4B4" w14:textId="21DE2B2E">
      <w:pPr>
        <w:spacing w:after="240"/>
        <w:rPr>
          <w:szCs w:val="24"/>
        </w:rPr>
      </w:pPr>
      <w:r>
        <w:rPr>
          <w:szCs w:val="24"/>
        </w:rPr>
        <w:t>A</w:t>
      </w:r>
      <w:r w:rsidR="009A3856">
        <w:rPr>
          <w:szCs w:val="24"/>
        </w:rPr>
        <w:t>ction must</w:t>
      </w:r>
      <w:r>
        <w:rPr>
          <w:szCs w:val="24"/>
        </w:rPr>
        <w:t xml:space="preserve"> also</w:t>
      </w:r>
      <w:r w:rsidR="009A3856">
        <w:rPr>
          <w:szCs w:val="24"/>
        </w:rPr>
        <w:t xml:space="preserve"> be taken to reduce the risk of the near silent operation of PMDs. </w:t>
      </w:r>
      <w:r w:rsidRPr="009A3856" w:rsidR="009A3856">
        <w:rPr>
          <w:szCs w:val="24"/>
        </w:rPr>
        <w:t xml:space="preserve">This can be achieved through </w:t>
      </w:r>
      <w:r w:rsidR="009A3856">
        <w:rPr>
          <w:szCs w:val="24"/>
        </w:rPr>
        <w:t>consistent national regulation on the mandatory installation of the</w:t>
      </w:r>
      <w:r w:rsidRPr="009A3856" w:rsidR="009A3856">
        <w:rPr>
          <w:szCs w:val="24"/>
        </w:rPr>
        <w:t xml:space="preserve"> Acoustic Vehicle Alerting System (AVAS)</w:t>
      </w:r>
      <w:r w:rsidR="009A3856">
        <w:rPr>
          <w:szCs w:val="24"/>
        </w:rPr>
        <w:t xml:space="preserve"> on all PMDs. This system, which has been mandated for use in electric and hybrid vehicles across Europe and the United States, emits an artificial noise of 75 decibels while the device or vehicle is being used.</w:t>
      </w:r>
    </w:p>
    <w:p w:rsidR="0035590F" w:rsidP="0035590F" w:rsidRDefault="0035590F" w14:paraId="5E1457F2" w14:textId="0D33E661">
      <w:pPr>
        <w:pStyle w:val="Heading2"/>
      </w:pPr>
      <w:r>
        <w:t>Recommendations</w:t>
      </w:r>
    </w:p>
    <w:p w:rsidRPr="006F2D70" w:rsidR="006F2D70" w:rsidP="006F2D70" w:rsidRDefault="001A11ED" w14:paraId="057C8440" w14:textId="0C5BA761">
      <w:pPr>
        <w:spacing w:after="240"/>
      </w:pPr>
      <w:r w:rsidRPr="00DF166E">
        <w:rPr>
          <w:szCs w:val="24"/>
        </w:rPr>
        <w:t xml:space="preserve">To </w:t>
      </w:r>
      <w:r>
        <w:rPr>
          <w:szCs w:val="24"/>
        </w:rPr>
        <w:t xml:space="preserve">help </w:t>
      </w:r>
      <w:r w:rsidRPr="00DF166E">
        <w:rPr>
          <w:szCs w:val="24"/>
        </w:rPr>
        <w:t xml:space="preserve">ensure the </w:t>
      </w:r>
      <w:r>
        <w:rPr>
          <w:szCs w:val="24"/>
        </w:rPr>
        <w:t>safety</w:t>
      </w:r>
      <w:r w:rsidRPr="00DF166E">
        <w:rPr>
          <w:szCs w:val="24"/>
        </w:rPr>
        <w:t xml:space="preserve"> of people who are </w:t>
      </w:r>
      <w:r w:rsidRPr="00DF166E">
        <w:t>blind or vision impaired</w:t>
      </w:r>
      <w:r>
        <w:t xml:space="preserve"> (and other pedestrians)</w:t>
      </w:r>
      <w:r w:rsidRPr="00DF166E" w:rsidR="001B1AA2">
        <w:t xml:space="preserve">, Blind Citizens Australia </w:t>
      </w:r>
      <w:r w:rsidR="00335AAD">
        <w:t>recommends</w:t>
      </w:r>
      <w:r w:rsidR="006F2D70">
        <w:t xml:space="preserve"> t</w:t>
      </w:r>
      <w:r w:rsidR="00335AAD">
        <w:t>he Federal Government work with State</w:t>
      </w:r>
      <w:r w:rsidR="007C56C0">
        <w:t xml:space="preserve"> and </w:t>
      </w:r>
      <w:r w:rsidR="00335AAD">
        <w:t>T</w:t>
      </w:r>
      <w:r w:rsidR="007C56C0">
        <w:t>erritor</w:t>
      </w:r>
      <w:r w:rsidR="00335AAD">
        <w:t>y governments to ensure nationally consistent rules on the use of e-scooters</w:t>
      </w:r>
      <w:r w:rsidR="0035590F">
        <w:t xml:space="preserve"> and other PMDs</w:t>
      </w:r>
      <w:r w:rsidR="00335AAD">
        <w:t>.</w:t>
      </w:r>
      <w:r w:rsidR="006F2D70">
        <w:t xml:space="preserve"> This should include the following reforms:</w:t>
      </w:r>
    </w:p>
    <w:p w:rsidR="0035590F" w:rsidP="007C56C0" w:rsidRDefault="0035590F" w14:paraId="3AF14D76" w14:textId="2D0515BC">
      <w:pPr>
        <w:pStyle w:val="ListParagraph"/>
        <w:numPr>
          <w:ilvl w:val="0"/>
          <w:numId w:val="2"/>
        </w:numPr>
      </w:pPr>
      <w:r>
        <w:t>E</w:t>
      </w:r>
      <w:r w:rsidR="00D07F0B">
        <w:t>-scooters and other PMDs should be prohibited from use on footpaths.</w:t>
      </w:r>
    </w:p>
    <w:p w:rsidR="007C56C0" w:rsidP="007C56C0" w:rsidRDefault="00335AAD" w14:paraId="4B6144F3" w14:textId="523EED29">
      <w:pPr>
        <w:pStyle w:val="ListParagraph"/>
        <w:numPr>
          <w:ilvl w:val="0"/>
          <w:numId w:val="2"/>
        </w:numPr>
      </w:pPr>
      <w:r>
        <w:t>The speed limit for the use of e-s</w:t>
      </w:r>
      <w:r w:rsidR="007C56C0">
        <w:t>cooters</w:t>
      </w:r>
      <w:r>
        <w:t xml:space="preserve"> should be capped 25km/h on shared paths, bicycle paths </w:t>
      </w:r>
      <w:r w:rsidR="007C56C0">
        <w:t>and</w:t>
      </w:r>
      <w:r>
        <w:t xml:space="preserve"> small roads</w:t>
      </w:r>
      <w:r w:rsidR="00D07F0B">
        <w:t>, and at 10 km/h in high use pedestrian areas</w:t>
      </w:r>
      <w:r>
        <w:t>.</w:t>
      </w:r>
      <w:r w:rsidR="007C56C0">
        <w:t xml:space="preserve"> </w:t>
      </w:r>
    </w:p>
    <w:p w:rsidR="00335AAD" w:rsidP="007C56C0" w:rsidRDefault="00D07F0B" w14:paraId="1F0A2808" w14:textId="1C2AA423">
      <w:pPr>
        <w:pStyle w:val="ListParagraph"/>
        <w:numPr>
          <w:ilvl w:val="0"/>
          <w:numId w:val="2"/>
        </w:numPr>
      </w:pPr>
      <w:r>
        <w:t>PMDs</w:t>
      </w:r>
      <w:r w:rsidR="00335AAD">
        <w:t xml:space="preserve"> that are imported </w:t>
      </w:r>
      <w:r>
        <w:t xml:space="preserve">to </w:t>
      </w:r>
      <w:r w:rsidR="00335AAD">
        <w:t>Australia undergo strict regulation checks to ensure that the maximum allowed Watts are not exceeded, and top speeds cannot be exceeded.</w:t>
      </w:r>
    </w:p>
    <w:p w:rsidR="00A34232" w:rsidP="007C56C0" w:rsidRDefault="00335AAD" w14:paraId="37D9FEBF" w14:textId="47D5B576">
      <w:pPr>
        <w:pStyle w:val="ListParagraph"/>
        <w:numPr>
          <w:ilvl w:val="0"/>
          <w:numId w:val="2"/>
        </w:numPr>
      </w:pPr>
      <w:r>
        <w:t xml:space="preserve">All e-scooters – whether privately owned or part of a ‘hire-and-ride’ scheme – must be equipped with </w:t>
      </w:r>
      <w:r w:rsidR="00A34232">
        <w:t>AVAS technology, without the capacity for this device to be removed or deactivated</w:t>
      </w:r>
    </w:p>
    <w:p w:rsidR="006F2D70" w:rsidP="007C56C0" w:rsidRDefault="006F2D70" w14:paraId="243FB45E" w14:textId="01B1F52F">
      <w:pPr>
        <w:pStyle w:val="ListParagraph"/>
        <w:numPr>
          <w:ilvl w:val="0"/>
          <w:numId w:val="2"/>
        </w:numPr>
      </w:pPr>
      <w:r>
        <w:t>All e-scooters and other PMDs are equipped with</w:t>
      </w:r>
      <w:r w:rsidR="00A34232">
        <w:t xml:space="preserve"> a bell or other warning device</w:t>
      </w:r>
      <w:r>
        <w:t>.</w:t>
      </w:r>
    </w:p>
    <w:p w:rsidR="007C56C0" w:rsidP="007C56C0" w:rsidRDefault="00335AAD" w14:paraId="6D9F03BA" w14:textId="0C9BF628">
      <w:pPr>
        <w:pStyle w:val="ListParagraph"/>
        <w:numPr>
          <w:ilvl w:val="0"/>
          <w:numId w:val="2"/>
        </w:numPr>
      </w:pPr>
      <w:r>
        <w:t xml:space="preserve">States and Territories that allow ‘hire-and-ride’ e-scooters must require the operators of such schemes to include </w:t>
      </w:r>
      <w:r w:rsidR="007C56C0">
        <w:t>geo-locking mechanisms whereby e</w:t>
      </w:r>
      <w:r>
        <w:t>-</w:t>
      </w:r>
      <w:r w:rsidR="007C56C0">
        <w:t>scooters are</w:t>
      </w:r>
      <w:r>
        <w:t xml:space="preserve"> forced to slow, or</w:t>
      </w:r>
      <w:r w:rsidR="007C56C0">
        <w:t xml:space="preserve"> prohibited </w:t>
      </w:r>
      <w:r>
        <w:t xml:space="preserve">entirely </w:t>
      </w:r>
      <w:r w:rsidR="007C56C0">
        <w:t>from entering built-up, busy pedestrian areas like malls</w:t>
      </w:r>
      <w:r w:rsidR="00D07F0B">
        <w:t xml:space="preserve"> and tourist destinations</w:t>
      </w:r>
      <w:r w:rsidR="007C56C0">
        <w:t xml:space="preserve">. </w:t>
      </w:r>
    </w:p>
    <w:p w:rsidR="00335AAD" w:rsidP="00335AAD" w:rsidRDefault="00335AAD" w14:paraId="279C87F8" w14:textId="509EE686">
      <w:pPr>
        <w:pStyle w:val="ListParagraph"/>
        <w:numPr>
          <w:ilvl w:val="0"/>
          <w:numId w:val="2"/>
        </w:numPr>
      </w:pPr>
      <w:r>
        <w:t>Hire-and-ride schemes must include a system for the deposit and placement of e-scooters and e-bikes after use in pedestrian areas. This may include introduction of fines for failing to place devices in a safe place at the edge or off the footpath after use.</w:t>
      </w:r>
    </w:p>
    <w:p w:rsidR="007C56C0" w:rsidP="007C56C0" w:rsidRDefault="00335AAD" w14:paraId="3DD79F8F" w14:textId="4D55C2E3">
      <w:pPr>
        <w:pStyle w:val="ListParagraph"/>
        <w:numPr>
          <w:ilvl w:val="0"/>
          <w:numId w:val="2"/>
        </w:numPr>
      </w:pPr>
      <w:r>
        <w:lastRenderedPageBreak/>
        <w:t xml:space="preserve">Begin </w:t>
      </w:r>
      <w:r w:rsidR="007C56C0">
        <w:t>public advertising campaigns relating to the safe use of e-scooters and e-bikes, both for users and for other pedestrians or bystanders.</w:t>
      </w:r>
    </w:p>
    <w:p w:rsidR="00F9691F" w:rsidP="00AD3DCD" w:rsidRDefault="00335AAD" w14:paraId="5DA7B178" w14:textId="3D635096">
      <w:pPr>
        <w:pStyle w:val="ListParagraph"/>
        <w:numPr>
          <w:ilvl w:val="0"/>
          <w:numId w:val="2"/>
        </w:numPr>
      </w:pPr>
      <w:r>
        <w:t xml:space="preserve">Ensure </w:t>
      </w:r>
      <w:r w:rsidR="006F2D70">
        <w:t xml:space="preserve">laws and </w:t>
      </w:r>
      <w:r w:rsidR="007C56C0">
        <w:t xml:space="preserve">regulations relating to e-scooters and </w:t>
      </w:r>
      <w:r w:rsidR="006F2D70">
        <w:t>other PMDs</w:t>
      </w:r>
      <w:r>
        <w:t xml:space="preserve"> are properly enforced</w:t>
      </w:r>
      <w:r w:rsidR="007C56C0">
        <w:t xml:space="preserve"> with penalties imposed if they are breached.</w:t>
      </w:r>
      <w:bookmarkEnd w:id="0"/>
    </w:p>
    <w:sectPr w:rsidR="00F9691F" w:rsidSect="00012741">
      <w:footerReference w:type="default" r:id="rId13"/>
      <w:endnotePr>
        <w:numFmt w:val="decimal"/>
      </w:endnotePr>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8C8" w:rsidP="007C56C0" w:rsidRDefault="00B548C8" w14:paraId="5BBD3502" w14:textId="77777777">
      <w:pPr>
        <w:spacing w:before="0" w:line="240" w:lineRule="auto"/>
      </w:pPr>
      <w:r>
        <w:separator/>
      </w:r>
    </w:p>
  </w:endnote>
  <w:endnote w:type="continuationSeparator" w:id="0">
    <w:p w:rsidR="00B548C8" w:rsidP="007C56C0" w:rsidRDefault="00B548C8" w14:paraId="264B2B31" w14:textId="77777777">
      <w:pPr>
        <w:spacing w:before="0" w:line="240" w:lineRule="auto"/>
      </w:pPr>
      <w:r>
        <w:continuationSeparator/>
      </w:r>
    </w:p>
  </w:endnote>
  <w:endnote w:id="1">
    <w:p w:rsidR="00C85214" w:rsidP="00C85214" w:rsidRDefault="00C85214" w14:paraId="512A744D" w14:textId="0EC82E68">
      <w:pPr>
        <w:pStyle w:val="EndnoteText"/>
      </w:pPr>
      <w:r>
        <w:rPr>
          <w:rStyle w:val="EndnoteReference"/>
        </w:rPr>
        <w:endnoteRef/>
      </w:r>
      <w:r>
        <w:t xml:space="preserve"> </w:t>
      </w:r>
      <w:r>
        <w:rPr>
          <w:lang w:val="en-GB"/>
        </w:rPr>
        <w:t>ABC News (2023). Warning of Exponential Rise in e-Scooter Crashes.</w:t>
      </w:r>
    </w:p>
    <w:p w:rsidRPr="00C85214" w:rsidR="00C85214" w:rsidP="00C85214" w:rsidRDefault="00860BF2" w14:paraId="17D4A455" w14:textId="50BB8FE5">
      <w:pPr>
        <w:pStyle w:val="EndnoteText"/>
        <w:rPr>
          <w:lang w:val="en-GB"/>
        </w:rPr>
      </w:pPr>
      <w:hyperlink w:history="1" r:id="rId1">
        <w:r w:rsidRPr="006A4360" w:rsidR="00C85214">
          <w:rPr>
            <w:rStyle w:val="Hyperlink"/>
            <w:rFonts w:ascii="Arial" w:hAnsi="Arial"/>
            <w:sz w:val="20"/>
            <w:lang w:val="en-GB"/>
          </w:rPr>
          <w:t>https://www.abc.net.au/news/2023-03-25/warning-of-exponential-rise-in-e-scooter-crashes/102145078</w:t>
        </w:r>
      </w:hyperlink>
      <w:r w:rsidR="00C85214">
        <w:rPr>
          <w:lang w:val="en-GB"/>
        </w:rPr>
        <w:t xml:space="preserve"> </w:t>
      </w:r>
    </w:p>
    <w:p w:rsidRPr="00C85214" w:rsidR="00C85214" w:rsidP="00C85214" w:rsidRDefault="00C85214" w14:paraId="1BBEC163" w14:textId="517FE2E2">
      <w:pPr>
        <w:pStyle w:val="EndnoteText"/>
        <w:rPr>
          <w:lang w:val="en-GB"/>
        </w:rPr>
      </w:pPr>
    </w:p>
  </w:endnote>
  <w:endnote w:id="2">
    <w:p w:rsidRPr="00AD3DCD" w:rsidR="00AD3DCD" w:rsidP="00AD3DCD" w:rsidRDefault="00AD3DCD" w14:paraId="4DA3EE79" w14:textId="012208E8">
      <w:pPr>
        <w:rPr>
          <w:sz w:val="20"/>
          <w:szCs w:val="20"/>
          <w:lang w:val="en-GB"/>
        </w:rPr>
      </w:pPr>
      <w:r w:rsidRPr="00AD3DCD">
        <w:rPr>
          <w:rStyle w:val="EndnoteReference"/>
          <w:sz w:val="20"/>
          <w:szCs w:val="20"/>
        </w:rPr>
        <w:endnoteRef/>
      </w:r>
      <w:r w:rsidRPr="00AD3DCD">
        <w:rPr>
          <w:sz w:val="20"/>
          <w:szCs w:val="20"/>
        </w:rPr>
        <w:t xml:space="preserve"> Independent</w:t>
      </w:r>
      <w:r w:rsidR="00C85214">
        <w:rPr>
          <w:sz w:val="20"/>
          <w:szCs w:val="20"/>
        </w:rPr>
        <w:t xml:space="preserve"> (2022)</w:t>
      </w:r>
      <w:r w:rsidRPr="00AD3DCD">
        <w:rPr>
          <w:sz w:val="20"/>
          <w:szCs w:val="20"/>
        </w:rPr>
        <w:t xml:space="preserve">. E-scooters could be three times more dangerous than cycling, study finds. </w:t>
      </w:r>
      <w:hyperlink w:history="1" r:id="rId2">
        <w:r w:rsidRPr="00AD3DCD">
          <w:rPr>
            <w:rStyle w:val="Hyperlink"/>
            <w:rFonts w:ascii="Arial" w:hAnsi="Arial"/>
            <w:sz w:val="20"/>
            <w:szCs w:val="20"/>
          </w:rPr>
          <w:t>https://www.independent.co.uk/news/uk/home-news/electric-scooters-escooters-danger-cycling-uk-b2246548.html</w:t>
        </w:r>
      </w:hyperlink>
      <w:r w:rsidRPr="00AD3DCD">
        <w:rPr>
          <w:sz w:val="20"/>
          <w:szCs w:val="20"/>
        </w:rPr>
        <w:t xml:space="preserve"> </w:t>
      </w:r>
    </w:p>
  </w:endnote>
  <w:endnote w:id="3">
    <w:p w:rsidRPr="00AD3DCD" w:rsidR="00AD3DCD" w:rsidP="00AD3DCD" w:rsidRDefault="00AD3DCD" w14:paraId="6F356208" w14:textId="1FC5D1A8">
      <w:pPr>
        <w:rPr>
          <w:sz w:val="20"/>
          <w:szCs w:val="20"/>
          <w:lang w:val="en-GB"/>
        </w:rPr>
      </w:pPr>
      <w:r w:rsidRPr="00AD3DCD">
        <w:rPr>
          <w:rStyle w:val="EndnoteReference"/>
          <w:sz w:val="20"/>
          <w:szCs w:val="20"/>
        </w:rPr>
        <w:endnoteRef/>
      </w:r>
      <w:r w:rsidRPr="00AD3DCD">
        <w:rPr>
          <w:sz w:val="20"/>
          <w:szCs w:val="20"/>
        </w:rPr>
        <w:t xml:space="preserve"> Kleinertz et al</w:t>
      </w:r>
      <w:r w:rsidR="00C85214">
        <w:rPr>
          <w:sz w:val="20"/>
          <w:szCs w:val="20"/>
        </w:rPr>
        <w:t xml:space="preserve"> (2023)</w:t>
      </w:r>
      <w:r w:rsidRPr="00AD3DCD">
        <w:rPr>
          <w:sz w:val="20"/>
          <w:szCs w:val="20"/>
        </w:rPr>
        <w:t xml:space="preserve">. Risk factors and injury patterns of e-scooter associated injuries in Germany. </w:t>
      </w:r>
      <w:hyperlink w:history="1" w:anchor=":~:text=Of%20the%20278%20e%2Dscooter,scooters1%2C3%2C13" r:id="rId3">
        <w:r w:rsidRPr="00AD3DCD">
          <w:rPr>
            <w:rStyle w:val="Hyperlink"/>
            <w:rFonts w:ascii="Arial" w:hAnsi="Arial"/>
            <w:sz w:val="20"/>
            <w:szCs w:val="20"/>
          </w:rPr>
          <w:t>https://www.nature.com/articles/s41598-022-25448-z#:~:text=Of%20the%20278%20e%2Dscooter,scooters1%2C3%2C13</w:t>
        </w:r>
      </w:hyperlink>
      <w:r w:rsidRPr="00AD3DCD">
        <w:rPr>
          <w:sz w:val="20"/>
          <w:szCs w:val="20"/>
        </w:rPr>
        <w:t xml:space="preserve"> </w:t>
      </w:r>
    </w:p>
  </w:endnote>
  <w:endnote w:id="4">
    <w:p w:rsidRPr="00335AAD" w:rsidR="0035590F" w:rsidP="00AD3DCD" w:rsidRDefault="0035590F" w14:paraId="6A391099" w14:textId="77777777">
      <w:pPr>
        <w:rPr>
          <w:lang w:val="en-GB"/>
        </w:rPr>
      </w:pPr>
      <w:r w:rsidRPr="00AD3DCD">
        <w:rPr>
          <w:rStyle w:val="EndnoteReference"/>
          <w:sz w:val="20"/>
          <w:szCs w:val="20"/>
        </w:rPr>
        <w:endnoteRef/>
      </w:r>
      <w:r w:rsidRPr="00AD3DCD">
        <w:rPr>
          <w:sz w:val="20"/>
          <w:szCs w:val="20"/>
        </w:rPr>
        <w:t xml:space="preserve"> National Transport Commission (2020). Barriers to the safe use of personal mobility devices. Retrieved from </w:t>
      </w:r>
      <w:hyperlink w:history="1" r:id="rId4">
        <w:r w:rsidRPr="00AD3DCD">
          <w:rPr>
            <w:rStyle w:val="Hyperlink"/>
            <w:rFonts w:ascii="Arial" w:hAnsi="Arial"/>
            <w:sz w:val="20"/>
            <w:szCs w:val="20"/>
          </w:rPr>
          <w:t>https://www.ntc.gov.au/sites/default/files/assets/files/NTC-Decision-RIS-PMDs.pdf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6825F7" w:rsidP="00CB3941" w:rsidRDefault="00FA1668" w14:paraId="440FC7EB"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rsidR="006825F7" w:rsidRDefault="006825F7" w14:paraId="2C7551F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8C8" w:rsidP="007C56C0" w:rsidRDefault="00B548C8" w14:paraId="656CE134" w14:textId="77777777">
      <w:pPr>
        <w:spacing w:before="0" w:line="240" w:lineRule="auto"/>
      </w:pPr>
      <w:r>
        <w:separator/>
      </w:r>
    </w:p>
  </w:footnote>
  <w:footnote w:type="continuationSeparator" w:id="0">
    <w:p w:rsidR="00B548C8" w:rsidP="007C56C0" w:rsidRDefault="00B548C8" w14:paraId="67DBDA9C" w14:textId="7777777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93462"/>
    <w:multiLevelType w:val="hybridMultilevel"/>
    <w:tmpl w:val="AA0067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hint="default" w:ascii="Symbol" w:hAnsi="Symbol"/>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73846B1F"/>
    <w:multiLevelType w:val="hybridMultilevel"/>
    <w:tmpl w:val="B0B802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919636629">
    <w:abstractNumId w:val="1"/>
  </w:num>
  <w:num w:numId="2" w16cid:durableId="704523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9209361">
    <w:abstractNumId w:val="2"/>
  </w:num>
  <w:num w:numId="4" w16cid:durableId="153160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A2"/>
    <w:rsid w:val="000E0D24"/>
    <w:rsid w:val="0011445E"/>
    <w:rsid w:val="00145809"/>
    <w:rsid w:val="00157601"/>
    <w:rsid w:val="001A11ED"/>
    <w:rsid w:val="001B1AA2"/>
    <w:rsid w:val="001E160A"/>
    <w:rsid w:val="002025B4"/>
    <w:rsid w:val="002042D0"/>
    <w:rsid w:val="00205808"/>
    <w:rsid w:val="00237749"/>
    <w:rsid w:val="002E2A3D"/>
    <w:rsid w:val="0031605B"/>
    <w:rsid w:val="00335AAD"/>
    <w:rsid w:val="0035590F"/>
    <w:rsid w:val="00391DE8"/>
    <w:rsid w:val="004914F6"/>
    <w:rsid w:val="004E0AE8"/>
    <w:rsid w:val="004E6282"/>
    <w:rsid w:val="00550729"/>
    <w:rsid w:val="0055304E"/>
    <w:rsid w:val="005A4AC0"/>
    <w:rsid w:val="005F60AF"/>
    <w:rsid w:val="0060104A"/>
    <w:rsid w:val="006825F7"/>
    <w:rsid w:val="006F2D70"/>
    <w:rsid w:val="00763CB4"/>
    <w:rsid w:val="007C56C0"/>
    <w:rsid w:val="00860BF2"/>
    <w:rsid w:val="008B3C55"/>
    <w:rsid w:val="00900506"/>
    <w:rsid w:val="009102DD"/>
    <w:rsid w:val="00952AAE"/>
    <w:rsid w:val="009564A0"/>
    <w:rsid w:val="00973D2F"/>
    <w:rsid w:val="00987113"/>
    <w:rsid w:val="009A3856"/>
    <w:rsid w:val="00A34232"/>
    <w:rsid w:val="00AA63A2"/>
    <w:rsid w:val="00AC12F3"/>
    <w:rsid w:val="00AD3DCD"/>
    <w:rsid w:val="00B208C8"/>
    <w:rsid w:val="00B548C8"/>
    <w:rsid w:val="00B77782"/>
    <w:rsid w:val="00BD0691"/>
    <w:rsid w:val="00C06711"/>
    <w:rsid w:val="00C16131"/>
    <w:rsid w:val="00C5563D"/>
    <w:rsid w:val="00C72F25"/>
    <w:rsid w:val="00C85214"/>
    <w:rsid w:val="00CC078A"/>
    <w:rsid w:val="00D07F0B"/>
    <w:rsid w:val="00D664A0"/>
    <w:rsid w:val="00DD3293"/>
    <w:rsid w:val="00E3749B"/>
    <w:rsid w:val="00E573BE"/>
    <w:rsid w:val="00E736BA"/>
    <w:rsid w:val="00F72AF2"/>
    <w:rsid w:val="00F744ED"/>
    <w:rsid w:val="00F8743A"/>
    <w:rsid w:val="00F9691F"/>
    <w:rsid w:val="00FA1668"/>
    <w:rsid w:val="00FB52F0"/>
    <w:rsid w:val="00FD055F"/>
    <w:rsid w:val="31FAB18B"/>
    <w:rsid w:val="32BC9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F886"/>
  <w15:chartTrackingRefBased/>
  <w15:docId w15:val="{38BE0E2D-A4BF-4BB3-809A-F7D4254B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1AA2"/>
    <w:pPr>
      <w:spacing w:before="120" w:after="0" w:line="360" w:lineRule="auto"/>
    </w:pPr>
    <w:rPr>
      <w:rFonts w:ascii="Arial" w:hAnsi="Arial" w:eastAsia="MS Mincho" w:cs="Arial"/>
      <w:sz w:val="24"/>
      <w:szCs w:val="16"/>
      <w:lang w:eastAsia="ja-JP"/>
    </w:rPr>
  </w:style>
  <w:style w:type="paragraph" w:styleId="Heading1">
    <w:name w:val="heading 1"/>
    <w:basedOn w:val="Title"/>
    <w:link w:val="Heading1Char"/>
    <w:autoRedefine/>
    <w:uiPriority w:val="9"/>
    <w:qFormat/>
    <w:rsid w:val="001B1AA2"/>
    <w:pPr>
      <w:spacing w:before="240" w:line="360" w:lineRule="auto"/>
      <w:outlineLvl w:val="0"/>
    </w:pPr>
    <w:rPr>
      <w:rFonts w:ascii="Arial" w:hAnsi="Arial"/>
      <w:b/>
      <w:bCs/>
      <w:color w:val="500061"/>
      <w:sz w:val="40"/>
      <w:szCs w:val="40"/>
      <w:lang w:eastAsia="en-US"/>
    </w:rPr>
  </w:style>
  <w:style w:type="paragraph" w:styleId="Heading2">
    <w:name w:val="heading 2"/>
    <w:basedOn w:val="Normal"/>
    <w:next w:val="Normal"/>
    <w:link w:val="Heading2Char"/>
    <w:uiPriority w:val="9"/>
    <w:unhideWhenUsed/>
    <w:qFormat/>
    <w:rsid w:val="001B1AA2"/>
    <w:pPr>
      <w:keepNext/>
      <w:pBdr>
        <w:bottom w:val="single" w:color="E7E6E6" w:themeColor="background2" w:sz="4" w:space="0"/>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DD3293"/>
    <w:pPr>
      <w:keepNext/>
      <w:keepLines/>
      <w:spacing w:before="40"/>
      <w:outlineLvl w:val="2"/>
    </w:pPr>
    <w:rPr>
      <w:rFonts w:asciiTheme="majorHAnsi" w:hAnsiTheme="majorHAnsi" w:eastAsiaTheme="majorEastAsia" w:cstheme="majorBidi"/>
      <w:color w:val="1F3763"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1AA2"/>
    <w:rPr>
      <w:rFonts w:ascii="Arial" w:hAnsi="Arial" w:eastAsiaTheme="majorEastAsia" w:cstheme="majorBidi"/>
      <w:b/>
      <w:bCs/>
      <w:color w:val="500061"/>
      <w:kern w:val="28"/>
      <w:sz w:val="40"/>
      <w:szCs w:val="40"/>
    </w:rPr>
  </w:style>
  <w:style w:type="character" w:styleId="Heading2Char" w:customStyle="1">
    <w:name w:val="Heading 2 Char"/>
    <w:basedOn w:val="DefaultParagraphFont"/>
    <w:link w:val="Heading2"/>
    <w:uiPriority w:val="9"/>
    <w:rsid w:val="001B1AA2"/>
    <w:rPr>
      <w:rFonts w:ascii="Arial" w:hAnsi="Arial" w:eastAsia="MS Gothic" w:cs="Times New Roman"/>
      <w:b/>
      <w:color w:val="4F2260"/>
      <w:kern w:val="28"/>
      <w:sz w:val="32"/>
      <w:szCs w:val="26"/>
      <w:lang w:val="en-US" w:eastAsia="ja-JP"/>
    </w:rPr>
  </w:style>
  <w:style w:type="paragraph" w:styleId="Title">
    <w:name w:val="Title"/>
    <w:basedOn w:val="Normal"/>
    <w:link w:val="TitleChar"/>
    <w:uiPriority w:val="1"/>
    <w:rsid w:val="001B1AA2"/>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sid w:val="001B1AA2"/>
    <w:rPr>
      <w:rFonts w:asciiTheme="majorHAnsi" w:hAnsiTheme="majorHAnsi" w:eastAsiaTheme="majorEastAsia" w:cstheme="majorBidi"/>
      <w:kern w:val="28"/>
      <w:sz w:val="60"/>
      <w:szCs w:val="60"/>
      <w:lang w:val="en-US" w:eastAsia="ja-JP"/>
    </w:rPr>
  </w:style>
  <w:style w:type="paragraph" w:styleId="Date">
    <w:name w:val="Date"/>
    <w:aliases w:val="Address"/>
    <w:basedOn w:val="Title"/>
    <w:next w:val="Salutation"/>
    <w:link w:val="DateChar"/>
    <w:uiPriority w:val="4"/>
    <w:unhideWhenUsed/>
    <w:qFormat/>
    <w:rsid w:val="001B1AA2"/>
    <w:pPr>
      <w:pBdr>
        <w:bottom w:val="single" w:color="44546A" w:themeColor="text2" w:sz="4"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1B1AA2"/>
    <w:rPr>
      <w:rFonts w:ascii="Arial" w:hAnsi="Arial" w:cs="Arial" w:eastAsiaTheme="minorEastAsia"/>
      <w:bCs/>
      <w:color w:val="500061"/>
      <w:sz w:val="24"/>
      <w:szCs w:val="24"/>
      <w:lang w:val="en-US" w:eastAsia="ja-JP"/>
    </w:rPr>
  </w:style>
  <w:style w:type="paragraph" w:styleId="Footer">
    <w:name w:val="footer"/>
    <w:basedOn w:val="Normal"/>
    <w:link w:val="FooterChar"/>
    <w:uiPriority w:val="99"/>
    <w:unhideWhenUsed/>
    <w:rsid w:val="001B1AA2"/>
    <w:pPr>
      <w:pBdr>
        <w:top w:val="single" w:color="44546A" w:themeColor="text2" w:sz="4" w:space="4"/>
      </w:pBdr>
      <w:spacing w:line="240" w:lineRule="auto"/>
      <w:jc w:val="right"/>
    </w:pPr>
    <w:rPr>
      <w:i/>
      <w:iCs/>
      <w:color w:val="2F5496" w:themeColor="accent1" w:themeShade="BF"/>
    </w:rPr>
  </w:style>
  <w:style w:type="character" w:styleId="FooterChar" w:customStyle="1">
    <w:name w:val="Footer Char"/>
    <w:basedOn w:val="DefaultParagraphFont"/>
    <w:link w:val="Footer"/>
    <w:uiPriority w:val="99"/>
    <w:rsid w:val="001B1AA2"/>
    <w:rPr>
      <w:rFonts w:ascii="Arial" w:hAnsi="Arial" w:eastAsia="MS Mincho" w:cs="Arial"/>
      <w:i/>
      <w:iCs/>
      <w:color w:val="2F5496" w:themeColor="accent1" w:themeShade="BF"/>
      <w:sz w:val="24"/>
      <w:szCs w:val="16"/>
      <w:lang w:val="en-US" w:eastAsia="ja-JP"/>
    </w:rPr>
  </w:style>
  <w:style w:type="character" w:styleId="Hyperlink">
    <w:name w:val="Hyperlink"/>
    <w:basedOn w:val="DefaultParagraphFont"/>
    <w:uiPriority w:val="99"/>
    <w:unhideWhenUsed/>
    <w:qFormat/>
    <w:rsid w:val="001B1AA2"/>
    <w:rPr>
      <w:rFonts w:asciiTheme="minorHAnsi" w:hAnsiTheme="minorHAnsi"/>
      <w:color w:val="44546A" w:themeColor="text2"/>
      <w:sz w:val="24"/>
      <w:u w:val="single"/>
    </w:rPr>
  </w:style>
  <w:style w:type="paragraph" w:styleId="ListParagraph">
    <w:name w:val="List Paragraph"/>
    <w:basedOn w:val="Normal"/>
    <w:uiPriority w:val="34"/>
    <w:qFormat/>
    <w:rsid w:val="001B1AA2"/>
    <w:pPr>
      <w:numPr>
        <w:numId w:val="1"/>
      </w:numPr>
      <w:tabs>
        <w:tab w:val="left" w:pos="0"/>
      </w:tabs>
      <w:spacing w:before="0" w:after="120"/>
    </w:pPr>
    <w:rPr>
      <w:szCs w:val="32"/>
    </w:rPr>
  </w:style>
  <w:style w:type="paragraph" w:styleId="Multilevellist" w:customStyle="1">
    <w:name w:val="Multi level list"/>
    <w:basedOn w:val="Normal"/>
    <w:rsid w:val="001B1AA2"/>
    <w:pPr>
      <w:numPr>
        <w:ilvl w:val="2"/>
        <w:numId w:val="1"/>
      </w:numPr>
      <w:tabs>
        <w:tab w:val="left" w:pos="0"/>
      </w:tabs>
      <w:spacing w:before="0" w:after="120"/>
    </w:pPr>
    <w:rPr>
      <w:szCs w:val="32"/>
    </w:rPr>
  </w:style>
  <w:style w:type="paragraph" w:styleId="Salutation">
    <w:name w:val="Salutation"/>
    <w:basedOn w:val="Normal"/>
    <w:next w:val="Normal"/>
    <w:link w:val="SalutationChar"/>
    <w:uiPriority w:val="99"/>
    <w:semiHidden/>
    <w:unhideWhenUsed/>
    <w:rsid w:val="001B1AA2"/>
  </w:style>
  <w:style w:type="character" w:styleId="SalutationChar" w:customStyle="1">
    <w:name w:val="Salutation Char"/>
    <w:basedOn w:val="DefaultParagraphFont"/>
    <w:link w:val="Salutation"/>
    <w:uiPriority w:val="99"/>
    <w:semiHidden/>
    <w:rsid w:val="001B1AA2"/>
    <w:rPr>
      <w:rFonts w:ascii="Arial" w:hAnsi="Arial" w:eastAsia="MS Mincho" w:cs="Arial"/>
      <w:sz w:val="24"/>
      <w:szCs w:val="16"/>
      <w:lang w:val="en-US" w:eastAsia="ja-JP"/>
    </w:rPr>
  </w:style>
  <w:style w:type="character" w:styleId="Heading3Char" w:customStyle="1">
    <w:name w:val="Heading 3 Char"/>
    <w:basedOn w:val="DefaultParagraphFont"/>
    <w:link w:val="Heading3"/>
    <w:uiPriority w:val="9"/>
    <w:rsid w:val="00DD3293"/>
    <w:rPr>
      <w:rFonts w:asciiTheme="majorHAnsi" w:hAnsiTheme="majorHAnsi" w:eastAsiaTheme="majorEastAsia" w:cstheme="majorBidi"/>
      <w:color w:val="1F3763" w:themeColor="accent1" w:themeShade="7F"/>
      <w:sz w:val="24"/>
      <w:szCs w:val="24"/>
      <w:lang w:val="en-US" w:eastAsia="ja-JP"/>
    </w:rPr>
  </w:style>
  <w:style w:type="paragraph" w:styleId="EndnoteText">
    <w:name w:val="endnote text"/>
    <w:basedOn w:val="Normal"/>
    <w:link w:val="EndnoteTextChar"/>
    <w:uiPriority w:val="99"/>
    <w:unhideWhenUsed/>
    <w:rsid w:val="007C56C0"/>
    <w:pPr>
      <w:spacing w:before="0" w:line="240" w:lineRule="auto"/>
    </w:pPr>
    <w:rPr>
      <w:sz w:val="20"/>
      <w:szCs w:val="20"/>
    </w:rPr>
  </w:style>
  <w:style w:type="character" w:styleId="EndnoteTextChar" w:customStyle="1">
    <w:name w:val="Endnote Text Char"/>
    <w:basedOn w:val="DefaultParagraphFont"/>
    <w:link w:val="EndnoteText"/>
    <w:uiPriority w:val="99"/>
    <w:rsid w:val="007C56C0"/>
    <w:rPr>
      <w:rFonts w:ascii="Arial" w:hAnsi="Arial" w:eastAsia="MS Mincho" w:cs="Arial"/>
      <w:sz w:val="20"/>
      <w:szCs w:val="20"/>
      <w:lang w:val="en-US" w:eastAsia="ja-JP"/>
    </w:rPr>
  </w:style>
  <w:style w:type="character" w:styleId="EndnoteReference">
    <w:name w:val="endnote reference"/>
    <w:basedOn w:val="DefaultParagraphFont"/>
    <w:uiPriority w:val="99"/>
    <w:semiHidden/>
    <w:unhideWhenUsed/>
    <w:rsid w:val="007C56C0"/>
    <w:rPr>
      <w:vertAlign w:val="superscript"/>
    </w:rPr>
  </w:style>
  <w:style w:type="character" w:styleId="UnresolvedMention">
    <w:name w:val="Unresolved Mention"/>
    <w:basedOn w:val="DefaultParagraphFont"/>
    <w:uiPriority w:val="99"/>
    <w:semiHidden/>
    <w:unhideWhenUsed/>
    <w:rsid w:val="007C56C0"/>
    <w:rPr>
      <w:color w:val="605E5C"/>
      <w:shd w:val="clear" w:color="auto" w:fill="E1DFDD"/>
    </w:rPr>
  </w:style>
  <w:style w:type="paragraph" w:styleId="Revision">
    <w:name w:val="Revision"/>
    <w:hidden/>
    <w:uiPriority w:val="99"/>
    <w:semiHidden/>
    <w:rsid w:val="00C5563D"/>
    <w:pPr>
      <w:spacing w:after="0" w:line="240" w:lineRule="auto"/>
    </w:pPr>
    <w:rPr>
      <w:rFonts w:ascii="Arial" w:hAnsi="Arial" w:eastAsia="MS Mincho" w:cs="Arial"/>
      <w:sz w:val="24"/>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ca.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ca@bca.org.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www.nature.com/articles/s41598-022-25448-z" TargetMode="External"/><Relationship Id="rId2" Type="http://schemas.openxmlformats.org/officeDocument/2006/relationships/hyperlink" Target="https://www.independent.co.uk/news/uk/home-news/electric-scooters-escooters-danger-cycling-uk-b2246548.html" TargetMode="External"/><Relationship Id="rId1" Type="http://schemas.openxmlformats.org/officeDocument/2006/relationships/hyperlink" Target="https://www.abc.net.au/news/2023-03-25/warning-of-exponential-rise-in-e-scooter-crashes/102145078" TargetMode="External"/><Relationship Id="rId4" Type="http://schemas.openxmlformats.org/officeDocument/2006/relationships/hyperlink" Target="https://www.ntc.gov.au/sites/default/files/assets/files/NTC-Decision-RIS-PM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02AF9-92F2-495F-B72C-2B58CAEFF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F640E-96F0-48EC-B726-CAAB8DA33B7D}">
  <ds:schemaRefs>
    <ds:schemaRef ds:uri="http://schemas.microsoft.com/sharepoint/v3/contenttype/forms"/>
  </ds:schemaRefs>
</ds:datastoreItem>
</file>

<file path=customXml/itemProps3.xml><?xml version="1.0" encoding="utf-8"?>
<ds:datastoreItem xmlns:ds="http://schemas.openxmlformats.org/officeDocument/2006/customXml" ds:itemID="{8C5C2ED5-66CC-4D1E-B4A3-C6A8E3BE30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Reynolds-Ryan</dc:creator>
  <keywords/>
  <dc:description/>
  <lastModifiedBy>Angela Jaeschke</lastModifiedBy>
  <revision>8</revision>
  <dcterms:created xsi:type="dcterms:W3CDTF">2023-04-18T06:58:00.0000000Z</dcterms:created>
  <dcterms:modified xsi:type="dcterms:W3CDTF">2023-09-19T01:21:26.3645383Z</dcterms:modified>
</coreProperties>
</file>