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512F" w14:textId="71A502E0" w:rsidR="00446D5E" w:rsidRDefault="008C3E5B" w:rsidP="008C3E5B">
      <w:pPr>
        <w:pStyle w:val="Title"/>
        <w:ind w:left="-284"/>
      </w:pPr>
      <w:r>
        <w:rPr>
          <w:noProof/>
        </w:rPr>
        <w:drawing>
          <wp:inline distT="0" distB="0" distL="0" distR="0" wp14:anchorId="626C39AB" wp14:editId="51E28F01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0E910" w14:textId="5FB9C8B4" w:rsidR="003E0F36" w:rsidRPr="003E0F36" w:rsidRDefault="00D42FAF" w:rsidP="003E0F36">
      <w:pPr>
        <w:pStyle w:val="Date"/>
      </w:pPr>
      <w:r w:rsidRPr="00306E88">
        <w:rPr>
          <w:rStyle w:val="Heading2Char"/>
          <w:rFonts w:eastAsiaTheme="minorEastAsia" w:cs="Arial"/>
          <w:bCs w:val="0"/>
          <w:color w:val="500061"/>
          <w:kern w:val="0"/>
          <w:sz w:val="24"/>
          <w:szCs w:val="24"/>
        </w:rPr>
        <w:t>P</w:t>
      </w:r>
      <w:r w:rsidR="00AF08C7" w:rsidRPr="00306E88">
        <w:rPr>
          <w:rStyle w:val="Heading2Char"/>
          <w:rFonts w:eastAsiaTheme="minorEastAsia" w:cs="Arial"/>
          <w:bCs w:val="0"/>
          <w:color w:val="500061"/>
          <w:kern w:val="0"/>
          <w:sz w:val="24"/>
          <w:szCs w:val="24"/>
        </w:rPr>
        <w:t>h</w:t>
      </w:r>
      <w:r w:rsidRPr="00306E88">
        <w:t xml:space="preserve"> </w:t>
      </w:r>
      <w:r w:rsidR="00446D5E" w:rsidRPr="00306E88">
        <w:t>1800 033 660</w:t>
      </w:r>
      <w:r w:rsidRPr="00306E88">
        <w:t xml:space="preserve">  |  </w:t>
      </w:r>
      <w:r w:rsidRPr="00306E88">
        <w:rPr>
          <w:rStyle w:val="Heading2Char"/>
          <w:rFonts w:eastAsiaTheme="minorEastAsia" w:cs="Arial"/>
          <w:bCs w:val="0"/>
          <w:color w:val="500061"/>
          <w:kern w:val="0"/>
          <w:sz w:val="24"/>
          <w:szCs w:val="24"/>
        </w:rPr>
        <w:t>E</w:t>
      </w:r>
      <w:r w:rsidRPr="00306E88">
        <w:t xml:space="preserve"> </w:t>
      </w:r>
      <w:hyperlink r:id="rId13" w:history="1">
        <w:r w:rsidR="006255CC" w:rsidRPr="00306E88">
          <w:rPr>
            <w:rStyle w:val="Hyperlink"/>
            <w:color w:val="500061"/>
            <w:u w:val="none"/>
          </w:rPr>
          <w:t>bca@bca.org.au</w:t>
        </w:r>
      </w:hyperlink>
      <w:r w:rsidRPr="00306E88">
        <w:rPr>
          <w:rStyle w:val="Hyperlink"/>
          <w:color w:val="500061"/>
          <w:u w:val="none"/>
        </w:rPr>
        <w:t xml:space="preserve"> </w:t>
      </w:r>
      <w:r w:rsidRPr="00306E88">
        <w:t xml:space="preserve"> |  </w:t>
      </w:r>
      <w:r w:rsidRPr="00306E88">
        <w:rPr>
          <w:rStyle w:val="Heading2Char"/>
          <w:rFonts w:eastAsiaTheme="minorEastAsia" w:cs="Arial"/>
          <w:bCs w:val="0"/>
          <w:color w:val="500061"/>
          <w:kern w:val="0"/>
          <w:sz w:val="24"/>
          <w:szCs w:val="24"/>
        </w:rPr>
        <w:t>W</w:t>
      </w:r>
      <w:r w:rsidRPr="00306E88">
        <w:t xml:space="preserve"> </w:t>
      </w:r>
      <w:hyperlink r:id="rId14" w:tooltip="click to go to BCA website" w:history="1">
        <w:r w:rsidR="00446D5E" w:rsidRPr="00306E88">
          <w:rPr>
            <w:rStyle w:val="Hyperlink"/>
            <w:color w:val="500061"/>
            <w:u w:val="none"/>
          </w:rPr>
          <w:t>bca.org.au</w:t>
        </w:r>
      </w:hyperlink>
      <w:r w:rsidRPr="00306E88">
        <w:rPr>
          <w:rStyle w:val="Hyperlink"/>
          <w:color w:val="500061"/>
          <w:u w:val="none"/>
        </w:rPr>
        <w:t xml:space="preserve"> |  </w:t>
      </w:r>
      <w:r w:rsidR="000216C3" w:rsidRPr="00306E88">
        <w:rPr>
          <w:rStyle w:val="Heading2Char"/>
          <w:rFonts w:eastAsiaTheme="minorEastAsia" w:cs="Arial"/>
          <w:bCs w:val="0"/>
          <w:color w:val="500061"/>
          <w:kern w:val="0"/>
          <w:sz w:val="24"/>
          <w:szCs w:val="24"/>
        </w:rPr>
        <w:t>ABN</w:t>
      </w:r>
      <w:r w:rsidR="000216C3" w:rsidRPr="00306E88">
        <w:t xml:space="preserve"> 90 006 985 226</w:t>
      </w:r>
    </w:p>
    <w:p w14:paraId="6B9915C6" w14:textId="77777777" w:rsidR="003E0F36" w:rsidRDefault="00000000" w:rsidP="00EB05A2">
      <w:pPr>
        <w:pStyle w:val="Date"/>
      </w:pPr>
      <w:r>
        <w:pict w14:anchorId="339E1AF1">
          <v:rect id="_x0000_i1025" style="width:540pt;height:1pt" o:hralign="center" o:hrstd="t" o:hrnoshade="t" o:hr="t" fillcolor="#016b3e" stroked="f"/>
        </w:pict>
      </w:r>
    </w:p>
    <w:p w14:paraId="08515190" w14:textId="4A5E4778" w:rsidR="00123A44" w:rsidRPr="00722CE1" w:rsidRDefault="00123A44" w:rsidP="00123A44">
      <w:pPr>
        <w:pStyle w:val="Heading2"/>
      </w:pPr>
      <w:r>
        <w:t xml:space="preserve">Blind Citizens Australia </w:t>
      </w:r>
      <w:r w:rsidRPr="00D26551">
        <w:t>C</w:t>
      </w:r>
      <w:r>
        <w:t xml:space="preserve">onstitution Update 2023 Explanatory Memorandum </w:t>
      </w:r>
    </w:p>
    <w:p w14:paraId="4811C19E" w14:textId="5452AEA8" w:rsidR="00722CE1" w:rsidRDefault="00123A44" w:rsidP="00123A44">
      <w:pPr>
        <w:kinsoku w:val="0"/>
        <w:overflowPunct w:val="0"/>
        <w:rPr>
          <w:rFonts w:eastAsia="Arial"/>
          <w:szCs w:val="24"/>
        </w:rPr>
      </w:pPr>
      <w:r w:rsidRPr="00123A44">
        <w:rPr>
          <w:rFonts w:eastAsia="Arial"/>
          <w:lang w:val="en-AU"/>
        </w:rPr>
        <w:t>At a Special General Meeting held on September 28, 2023, members of Blind Citizens Australia voted by an overwhelming majority to adopt a revised Constitution. The Australian Charities and Not-for-profits Commission (ACNC), the governing body for not-for-profit organisations like BCA, recommends that organisations regularly review their governance documents. Our constitution was last updated in 2017. The board undertook a review and consultation with members and proposed a constitution which is a substantial revision of the previous document.</w:t>
      </w:r>
      <w:r w:rsidR="00722CE1" w:rsidRPr="00D26551">
        <w:rPr>
          <w:rFonts w:eastAsia="Arial"/>
          <w:szCs w:val="24"/>
        </w:rPr>
        <w:t xml:space="preserve"> </w:t>
      </w:r>
    </w:p>
    <w:p w14:paraId="7995AF3E" w14:textId="77777777" w:rsidR="00123A44" w:rsidRDefault="00123A44" w:rsidP="00123A44">
      <w:pPr>
        <w:pStyle w:val="Heading2"/>
        <w:rPr>
          <w:rFonts w:hAnsi="Times New Roman"/>
        </w:rPr>
      </w:pPr>
      <w:r>
        <w:rPr>
          <w:rFonts w:eastAsia="Times New Roman" w:hAnsi="Times New Roman"/>
          <w:szCs w:val="40"/>
        </w:rPr>
        <w:t>Details of the main changes are listed in brief below:</w:t>
      </w:r>
    </w:p>
    <w:p w14:paraId="7E70D0E9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>update the statement of BCA's charitable objects and purposes – modern and positive language to describe what we do and reflect our purpose and activity in line with our Strategic Plan (clause 6)</w:t>
      </w:r>
    </w:p>
    <w:p w14:paraId="490B705B" w14:textId="77777777" w:rsidR="00123A44" w:rsidRPr="008B5964" w:rsidRDefault="00123A44" w:rsidP="00123A44">
      <w:pPr>
        <w:pStyle w:val="ListParagraph"/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</w:p>
    <w:p w14:paraId="56E23AAF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>define blindness and vision impairment using functional rather than medical tests – that is, blind means having no or little usable sight and vision impairment looks at the impact vision has on the way a person undertakes daily activities (definitions clause 54)</w:t>
      </w:r>
    </w:p>
    <w:p w14:paraId="3FF22D6E" w14:textId="77777777" w:rsidR="00123A44" w:rsidRPr="008B5964" w:rsidRDefault="00123A44" w:rsidP="00123A44">
      <w:pPr>
        <w:pStyle w:val="ListParagraph"/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</w:p>
    <w:p w14:paraId="48C5B757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>remove class A and class B organisational members from BCA's categories of members – in practice our members are individuals not organisations. BCA's current practice is to develop partnerships with other organisations for our mutual benefit (clause 10)</w:t>
      </w:r>
    </w:p>
    <w:p w14:paraId="64177166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72664C5D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>Accept members who "live" in Australia, rather than imposing citizenship or residency requirements (clause 10).</w:t>
      </w:r>
    </w:p>
    <w:p w14:paraId="598C84B8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7ECC6746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>simplify rules relating to branches and the NSW/ACT State Division (clause 15)</w:t>
      </w:r>
    </w:p>
    <w:p w14:paraId="02A2DFDF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3D730FCE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>recognise that general meetings and member forums or conventions may be held entirely virtually and more often (clause 16)</w:t>
      </w:r>
    </w:p>
    <w:p w14:paraId="0232289C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594C99D3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lastRenderedPageBreak/>
        <w:t xml:space="preserve">define the duties of directors (clause 30), including the president and vice-president, and integrate the Board Charter (clause 33) – these clauses also reflect the ACNC </w:t>
      </w:r>
      <w:proofErr w:type="gramStart"/>
      <w:r w:rsidRPr="008B5964">
        <w:rPr>
          <w:rFonts w:ascii="Arial" w:eastAsia="Arial" w:hAnsi="Arial"/>
          <w:sz w:val="24"/>
          <w:szCs w:val="24"/>
        </w:rPr>
        <w:t>template</w:t>
      </w:r>
      <w:proofErr w:type="gramEnd"/>
    </w:p>
    <w:p w14:paraId="6AB6137C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6616791A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>limit the number of consecutive full terms a director and President can serve to 3, meaning each director, including the President, may be elected for a total of nine consecutive years. There is currently no limit to a director's time on the board. (clause 34)</w:t>
      </w:r>
    </w:p>
    <w:p w14:paraId="0730BA5B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7369FBB7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>change the name of National Policy Council to National Policy Committee (clause 43)</w:t>
      </w:r>
    </w:p>
    <w:p w14:paraId="43EA8056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164A299A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>insert headings to separate sections e.g., "Preliminary", "Charitable purposes and powers" and "Members".</w:t>
      </w:r>
    </w:p>
    <w:p w14:paraId="362AC1ED" w14:textId="77777777" w:rsidR="00123A44" w:rsidRPr="008B5964" w:rsidRDefault="00123A44" w:rsidP="00123A44">
      <w:pPr>
        <w:pStyle w:val="ListParagraph"/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</w:p>
    <w:p w14:paraId="215E77CB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 xml:space="preserve">introduce dispute resolution including mediation for resolving disputes between and among members and BCA (clause 13) – this clause does not apply to disputes about service provision which will remain covered by BCA's Service Charter and complaints </w:t>
      </w:r>
      <w:proofErr w:type="gramStart"/>
      <w:r w:rsidRPr="008B5964">
        <w:rPr>
          <w:rFonts w:ascii="Arial" w:eastAsia="Arial" w:hAnsi="Arial"/>
          <w:sz w:val="24"/>
          <w:szCs w:val="24"/>
        </w:rPr>
        <w:t>policy</w:t>
      </w:r>
      <w:proofErr w:type="gramEnd"/>
    </w:p>
    <w:p w14:paraId="4026604B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1B48E3E8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 xml:space="preserve">reintroduce disciplinary procedures – the power for the board to warn, suspend or expel a member from BCA in very limited circumstances and following specific processes, designed to safeguard members' rights. This can only happen if a member has breached the </w:t>
      </w:r>
      <w:proofErr w:type="gramStart"/>
      <w:r w:rsidRPr="008B5964">
        <w:rPr>
          <w:rFonts w:ascii="Arial" w:eastAsia="Arial" w:hAnsi="Arial"/>
          <w:sz w:val="24"/>
          <w:szCs w:val="24"/>
        </w:rPr>
        <w:t>constitution</w:t>
      </w:r>
      <w:proofErr w:type="gramEnd"/>
      <w:r w:rsidRPr="008B5964">
        <w:rPr>
          <w:rFonts w:ascii="Arial" w:eastAsia="Arial" w:hAnsi="Arial"/>
          <w:sz w:val="24"/>
          <w:szCs w:val="24"/>
        </w:rPr>
        <w:t xml:space="preserve"> or their behaviour is causing harm to BCA. Currently, for example, a member who commits a criminal offence against BCA would be entitled to remain a member. (clause 14)</w:t>
      </w:r>
    </w:p>
    <w:p w14:paraId="565BF9C5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2189E724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 xml:space="preserve">remove the provision for the Immediate Past President to automatically remain a director - consistent with the changes to directors' terms, which promote leadership renewal. </w:t>
      </w:r>
    </w:p>
    <w:p w14:paraId="42750B1F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1F388333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>give members the right to dismiss a director (clause 30)</w:t>
      </w:r>
    </w:p>
    <w:p w14:paraId="560DF452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7062E1DA" w14:textId="77777777" w:rsidR="00123A44" w:rsidRPr="008B5964" w:rsidRDefault="00123A44" w:rsidP="00123A44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 xml:space="preserve">more specific and stringent rules relating to conflicts of interest (clause 42) </w:t>
      </w:r>
    </w:p>
    <w:p w14:paraId="1C7F4FE6" w14:textId="77777777" w:rsidR="00123A44" w:rsidRPr="008B5964" w:rsidRDefault="00123A44" w:rsidP="00123A44">
      <w:pPr>
        <w:pStyle w:val="ListParagraph"/>
        <w:rPr>
          <w:rFonts w:ascii="Arial" w:eastAsia="Arial" w:hAnsi="Arial"/>
          <w:sz w:val="24"/>
          <w:szCs w:val="24"/>
        </w:rPr>
      </w:pPr>
    </w:p>
    <w:p w14:paraId="4CDC25DC" w14:textId="328FE204" w:rsidR="005A6BF9" w:rsidRPr="00123A44" w:rsidRDefault="00123A44" w:rsidP="005A6BF9">
      <w:pPr>
        <w:pStyle w:val="ListParagraph"/>
        <w:numPr>
          <w:ilvl w:val="0"/>
          <w:numId w:val="16"/>
        </w:numPr>
        <w:kinsoku w:val="0"/>
        <w:overflowPunct w:val="0"/>
        <w:jc w:val="left"/>
        <w:rPr>
          <w:rFonts w:ascii="Arial" w:eastAsia="Arial" w:hAnsi="Arial"/>
          <w:sz w:val="24"/>
          <w:szCs w:val="24"/>
        </w:rPr>
      </w:pPr>
      <w:r w:rsidRPr="008B5964">
        <w:rPr>
          <w:rFonts w:ascii="Arial" w:eastAsia="Arial" w:hAnsi="Arial"/>
          <w:sz w:val="24"/>
          <w:szCs w:val="24"/>
        </w:rPr>
        <w:t>introduce a Deductible Gift Recipient revocation clause, required by the Australian Tax Office as a condition of Deductible Gift Recipient status (clause 53.3)</w:t>
      </w:r>
    </w:p>
    <w:sectPr w:rsidR="005A6BF9" w:rsidRPr="00123A44" w:rsidSect="00012741">
      <w:footerReference w:type="default" r:id="rId15"/>
      <w:pgSz w:w="12240" w:h="15840" w:code="1"/>
      <w:pgMar w:top="1135" w:right="720" w:bottom="1135" w:left="72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45FA" w14:textId="77777777" w:rsidR="0033365E" w:rsidRDefault="0033365E" w:rsidP="00EB05A2">
      <w:r>
        <w:separator/>
      </w:r>
    </w:p>
    <w:p w14:paraId="73B0816D" w14:textId="77777777" w:rsidR="0033365E" w:rsidRDefault="0033365E" w:rsidP="00EB05A2"/>
    <w:p w14:paraId="55622B4E" w14:textId="77777777" w:rsidR="0033365E" w:rsidRDefault="0033365E" w:rsidP="00EB05A2"/>
  </w:endnote>
  <w:endnote w:type="continuationSeparator" w:id="0">
    <w:p w14:paraId="33E44BA3" w14:textId="77777777" w:rsidR="0033365E" w:rsidRDefault="0033365E" w:rsidP="00EB05A2">
      <w:r>
        <w:continuationSeparator/>
      </w:r>
    </w:p>
    <w:p w14:paraId="58367738" w14:textId="77777777" w:rsidR="0033365E" w:rsidRDefault="0033365E" w:rsidP="00EB05A2"/>
    <w:p w14:paraId="3C88725D" w14:textId="77777777" w:rsidR="0033365E" w:rsidRDefault="0033365E" w:rsidP="00EB0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55D9" w14:textId="0954132F" w:rsidR="006936CC" w:rsidRPr="00347BC4" w:rsidRDefault="00347BC4" w:rsidP="00CB3941">
    <w:pPr>
      <w:pStyle w:val="Footer"/>
      <w:jc w:val="center"/>
      <w:rPr>
        <w:i w:val="0"/>
        <w:iCs w:val="0"/>
        <w:color w:val="auto"/>
        <w:szCs w:val="24"/>
      </w:rPr>
    </w:pPr>
    <w:r w:rsidRPr="00347BC4">
      <w:rPr>
        <w:i w:val="0"/>
        <w:iCs w:val="0"/>
        <w:color w:val="auto"/>
        <w:szCs w:val="24"/>
      </w:rPr>
      <w:t xml:space="preserve">Blind Citizens </w:t>
    </w:r>
    <w:proofErr w:type="gramStart"/>
    <w:r w:rsidRPr="00347BC4">
      <w:rPr>
        <w:i w:val="0"/>
        <w:iCs w:val="0"/>
        <w:color w:val="auto"/>
        <w:szCs w:val="24"/>
      </w:rPr>
      <w:t>Australia</w:t>
    </w:r>
    <w:r w:rsidRPr="00347BC4">
      <w:rPr>
        <w:color w:val="auto"/>
        <w:szCs w:val="24"/>
        <w:shd w:val="clear" w:color="auto" w:fill="FFFFFF"/>
      </w:rPr>
      <w:t xml:space="preserve">  |</w:t>
    </w:r>
    <w:proofErr w:type="gramEnd"/>
    <w:r w:rsidRPr="00347BC4">
      <w:rPr>
        <w:color w:val="auto"/>
        <w:szCs w:val="24"/>
        <w:shd w:val="clear" w:color="auto" w:fill="FFFFFF"/>
      </w:rPr>
      <w:t> </w:t>
    </w:r>
    <w:r w:rsidRPr="00347BC4">
      <w:rPr>
        <w:i w:val="0"/>
        <w:iCs w:val="0"/>
        <w:color w:val="auto"/>
        <w:szCs w:val="24"/>
      </w:rPr>
      <w:t xml:space="preserve"> Page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PAGE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  <w:r w:rsidRPr="00347BC4">
      <w:rPr>
        <w:i w:val="0"/>
        <w:iCs w:val="0"/>
        <w:color w:val="auto"/>
        <w:szCs w:val="24"/>
      </w:rPr>
      <w:t xml:space="preserve"> of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NUMPAGES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D196" w14:textId="77777777" w:rsidR="0033365E" w:rsidRDefault="0033365E" w:rsidP="00EB05A2">
      <w:r>
        <w:separator/>
      </w:r>
    </w:p>
    <w:p w14:paraId="235B6719" w14:textId="77777777" w:rsidR="0033365E" w:rsidRDefault="0033365E" w:rsidP="00EB05A2"/>
    <w:p w14:paraId="048EEA73" w14:textId="77777777" w:rsidR="0033365E" w:rsidRDefault="0033365E" w:rsidP="00EB05A2"/>
  </w:footnote>
  <w:footnote w:type="continuationSeparator" w:id="0">
    <w:p w14:paraId="13933A59" w14:textId="77777777" w:rsidR="0033365E" w:rsidRDefault="0033365E" w:rsidP="00EB05A2">
      <w:r>
        <w:continuationSeparator/>
      </w:r>
    </w:p>
    <w:p w14:paraId="12322A59" w14:textId="77777777" w:rsidR="0033365E" w:rsidRDefault="0033365E" w:rsidP="00EB05A2"/>
    <w:p w14:paraId="298F4CC9" w14:textId="77777777" w:rsidR="0033365E" w:rsidRDefault="0033365E" w:rsidP="00EB05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A04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4C1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D"/>
    <w:multiLevelType w:val="hybridMultilevel"/>
    <w:tmpl w:val="3ED55D1E"/>
    <w:lvl w:ilvl="0" w:tplc="539AA8D8">
      <w:numFmt w:val="bullet"/>
      <w:lvlText w:val="·"/>
      <w:lvlJc w:val="left"/>
      <w:pPr>
        <w:ind w:left="720" w:hanging="360"/>
      </w:pPr>
      <w:rPr>
        <w:rFonts w:ascii="Symbol" w:eastAsia="Arial" w:hAnsi="Symbol"/>
        <w:w w:val="100"/>
        <w:sz w:val="20"/>
        <w:szCs w:val="20"/>
        <w:shd w:val="clear" w:color="auto" w:fill="auto"/>
      </w:rPr>
    </w:lvl>
    <w:lvl w:ilvl="1" w:tplc="EA4E56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7FEFE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E4287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4B22D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2C6ED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97831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B840B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A941A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11ED52BE"/>
    <w:multiLevelType w:val="multilevel"/>
    <w:tmpl w:val="CE96EB10"/>
    <w:lvl w:ilvl="0">
      <w:start w:val="1"/>
      <w:numFmt w:val="bullet"/>
      <w:pStyle w:val="List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47" w:hanging="39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7" w:hanging="9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5EE2D9F"/>
    <w:multiLevelType w:val="multilevel"/>
    <w:tmpl w:val="D4960FA6"/>
    <w:lvl w:ilvl="0">
      <w:start w:val="1"/>
      <w:numFmt w:val="decimal"/>
      <w:pStyle w:val="ListNumber"/>
      <w:lvlText w:val="%1."/>
      <w:lvlJc w:val="left"/>
      <w:pPr>
        <w:ind w:left="1134" w:hanging="6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4" w15:restartNumberingAfterBreak="0">
    <w:nsid w:val="4B6A7711"/>
    <w:multiLevelType w:val="hybridMultilevel"/>
    <w:tmpl w:val="E3E8E13E"/>
    <w:lvl w:ilvl="0" w:tplc="2C3C83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72167703">
    <w:abstractNumId w:val="15"/>
  </w:num>
  <w:num w:numId="2" w16cid:durableId="450394232">
    <w:abstractNumId w:val="12"/>
  </w:num>
  <w:num w:numId="3" w16cid:durableId="1032926299">
    <w:abstractNumId w:val="9"/>
  </w:num>
  <w:num w:numId="4" w16cid:durableId="77406623">
    <w:abstractNumId w:val="7"/>
  </w:num>
  <w:num w:numId="5" w16cid:durableId="412514893">
    <w:abstractNumId w:val="6"/>
  </w:num>
  <w:num w:numId="6" w16cid:durableId="581908823">
    <w:abstractNumId w:val="5"/>
  </w:num>
  <w:num w:numId="7" w16cid:durableId="1636838925">
    <w:abstractNumId w:val="4"/>
  </w:num>
  <w:num w:numId="8" w16cid:durableId="435249369">
    <w:abstractNumId w:val="8"/>
  </w:num>
  <w:num w:numId="9" w16cid:durableId="1552418837">
    <w:abstractNumId w:val="3"/>
  </w:num>
  <w:num w:numId="10" w16cid:durableId="610207493">
    <w:abstractNumId w:val="2"/>
  </w:num>
  <w:num w:numId="11" w16cid:durableId="1604419029">
    <w:abstractNumId w:val="1"/>
  </w:num>
  <w:num w:numId="12" w16cid:durableId="990603288">
    <w:abstractNumId w:val="0"/>
  </w:num>
  <w:num w:numId="13" w16cid:durableId="1690714022">
    <w:abstractNumId w:val="11"/>
    <w:lvlOverride w:ilvl="0">
      <w:lvl w:ilvl="0">
        <w:start w:val="1"/>
        <w:numFmt w:val="bullet"/>
        <w:pStyle w:val="ListBullet"/>
        <w:lvlText w:val=""/>
        <w:lvlJc w:val="left"/>
        <w:pPr>
          <w:ind w:left="502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247" w:hanging="396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57" w:hanging="96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77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97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717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37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57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77" w:hanging="360"/>
        </w:pPr>
        <w:rPr>
          <w:rFonts w:ascii="Wingdings" w:hAnsi="Wingdings" w:hint="default"/>
        </w:rPr>
      </w:lvl>
    </w:lvlOverride>
  </w:num>
  <w:num w:numId="14" w16cid:durableId="1280457932">
    <w:abstractNumId w:val="13"/>
  </w:num>
  <w:num w:numId="15" w16cid:durableId="1783302094">
    <w:abstractNumId w:val="14"/>
  </w:num>
  <w:num w:numId="16" w16cid:durableId="6241945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E"/>
    <w:rsid w:val="00012741"/>
    <w:rsid w:val="000216C3"/>
    <w:rsid w:val="000343C2"/>
    <w:rsid w:val="00075D1F"/>
    <w:rsid w:val="00086B50"/>
    <w:rsid w:val="001074BE"/>
    <w:rsid w:val="00123A44"/>
    <w:rsid w:val="001344FF"/>
    <w:rsid w:val="00140360"/>
    <w:rsid w:val="001D0346"/>
    <w:rsid w:val="001E7F8F"/>
    <w:rsid w:val="00207B55"/>
    <w:rsid w:val="002476B6"/>
    <w:rsid w:val="0025165E"/>
    <w:rsid w:val="00263245"/>
    <w:rsid w:val="00306E88"/>
    <w:rsid w:val="00322CC9"/>
    <w:rsid w:val="0033365E"/>
    <w:rsid w:val="00344C6F"/>
    <w:rsid w:val="00347BC4"/>
    <w:rsid w:val="00370D50"/>
    <w:rsid w:val="003A50EF"/>
    <w:rsid w:val="003E0F36"/>
    <w:rsid w:val="003E10A5"/>
    <w:rsid w:val="003F3593"/>
    <w:rsid w:val="00446D5E"/>
    <w:rsid w:val="004C6ECE"/>
    <w:rsid w:val="00565C2E"/>
    <w:rsid w:val="005820E8"/>
    <w:rsid w:val="00585720"/>
    <w:rsid w:val="00597E53"/>
    <w:rsid w:val="005A6BF9"/>
    <w:rsid w:val="00622B29"/>
    <w:rsid w:val="00624007"/>
    <w:rsid w:val="00625226"/>
    <w:rsid w:val="006255CC"/>
    <w:rsid w:val="00637848"/>
    <w:rsid w:val="00653763"/>
    <w:rsid w:val="00664D4C"/>
    <w:rsid w:val="00674E90"/>
    <w:rsid w:val="00684465"/>
    <w:rsid w:val="006936CC"/>
    <w:rsid w:val="006A3BD0"/>
    <w:rsid w:val="006B144F"/>
    <w:rsid w:val="006F5CCC"/>
    <w:rsid w:val="00703734"/>
    <w:rsid w:val="00722CE1"/>
    <w:rsid w:val="0077704C"/>
    <w:rsid w:val="0078518D"/>
    <w:rsid w:val="007C1965"/>
    <w:rsid w:val="007E2B6A"/>
    <w:rsid w:val="007E4667"/>
    <w:rsid w:val="0081052B"/>
    <w:rsid w:val="008B7237"/>
    <w:rsid w:val="008C3E5B"/>
    <w:rsid w:val="00906641"/>
    <w:rsid w:val="009157D7"/>
    <w:rsid w:val="00923239"/>
    <w:rsid w:val="0094685F"/>
    <w:rsid w:val="00990A29"/>
    <w:rsid w:val="009C2AA2"/>
    <w:rsid w:val="009D7374"/>
    <w:rsid w:val="009F109E"/>
    <w:rsid w:val="00A00608"/>
    <w:rsid w:val="00A625C8"/>
    <w:rsid w:val="00A662FC"/>
    <w:rsid w:val="00A67164"/>
    <w:rsid w:val="00AA5BED"/>
    <w:rsid w:val="00AE2B1F"/>
    <w:rsid w:val="00AF08C7"/>
    <w:rsid w:val="00BB74F6"/>
    <w:rsid w:val="00BC766C"/>
    <w:rsid w:val="00C13283"/>
    <w:rsid w:val="00C74283"/>
    <w:rsid w:val="00C746DE"/>
    <w:rsid w:val="00C93E73"/>
    <w:rsid w:val="00CB3941"/>
    <w:rsid w:val="00CC0A00"/>
    <w:rsid w:val="00CC6B03"/>
    <w:rsid w:val="00CF5454"/>
    <w:rsid w:val="00D20CAD"/>
    <w:rsid w:val="00D2134D"/>
    <w:rsid w:val="00D35550"/>
    <w:rsid w:val="00D42FAF"/>
    <w:rsid w:val="00D52EAD"/>
    <w:rsid w:val="00D62551"/>
    <w:rsid w:val="00D653D5"/>
    <w:rsid w:val="00D863C7"/>
    <w:rsid w:val="00D86607"/>
    <w:rsid w:val="00D92D74"/>
    <w:rsid w:val="00DA01FD"/>
    <w:rsid w:val="00E12CA9"/>
    <w:rsid w:val="00E417F0"/>
    <w:rsid w:val="00E433BE"/>
    <w:rsid w:val="00E6020D"/>
    <w:rsid w:val="00E83C53"/>
    <w:rsid w:val="00EB05A2"/>
    <w:rsid w:val="00ED3FDA"/>
    <w:rsid w:val="00F21ECC"/>
    <w:rsid w:val="00F228CB"/>
    <w:rsid w:val="00F2399E"/>
    <w:rsid w:val="00F41AEE"/>
    <w:rsid w:val="00F4314B"/>
    <w:rsid w:val="00F47BB7"/>
    <w:rsid w:val="00F53305"/>
    <w:rsid w:val="00F8023A"/>
    <w:rsid w:val="00F90CB8"/>
    <w:rsid w:val="00FE0AAE"/>
    <w:rsid w:val="4CDDB7B0"/>
    <w:rsid w:val="633AC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4D7837"/>
  <w15:chartTrackingRefBased/>
  <w15:docId w15:val="{D04AEC82-543A-4458-84D3-7473601F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 w:themeColor="text1"/>
        <w:sz w:val="24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6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A2"/>
    <w:pPr>
      <w:spacing w:before="120" w:after="0" w:line="360" w:lineRule="auto"/>
      <w:ind w:left="0"/>
    </w:pPr>
    <w:rPr>
      <w:rFonts w:eastAsia="MS Mincho" w:cs="Arial"/>
      <w:color w:val="auto"/>
      <w:szCs w:val="16"/>
    </w:rPr>
  </w:style>
  <w:style w:type="paragraph" w:styleId="Heading1">
    <w:name w:val="heading 1"/>
    <w:basedOn w:val="Title"/>
    <w:link w:val="Heading1Char"/>
    <w:uiPriority w:val="9"/>
    <w:qFormat/>
    <w:rsid w:val="00EB05A2"/>
    <w:pPr>
      <w:spacing w:line="360" w:lineRule="auto"/>
      <w:outlineLvl w:val="0"/>
    </w:pPr>
    <w:rPr>
      <w:rFonts w:ascii="Arial" w:hAnsi="Arial"/>
      <w:b/>
      <w:bCs/>
      <w:color w:val="500061"/>
      <w:sz w:val="44"/>
      <w:szCs w:val="40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E88"/>
    <w:pPr>
      <w:keepNext/>
      <w:pBdr>
        <w:bottom w:val="single" w:sz="8" w:space="4" w:color="005E5B"/>
      </w:pBdr>
      <w:spacing w:before="240" w:after="240"/>
      <w:contextualSpacing/>
      <w:outlineLvl w:val="1"/>
    </w:pPr>
    <w:rPr>
      <w:rFonts w:eastAsia="MS Gothic" w:cs="Times New Roman"/>
      <w:b/>
      <w:color w:val="4F2260"/>
      <w:kern w:val="28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E88"/>
    <w:pPr>
      <w:keepNext/>
      <w:keepLines/>
      <w:spacing w:before="360"/>
      <w:contextualSpacing/>
      <w:outlineLvl w:val="2"/>
    </w:pPr>
    <w:rPr>
      <w:rFonts w:eastAsia="MS Gothic" w:cs="Times New Roman"/>
      <w:b/>
      <w:color w:val="4F226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E88"/>
    <w:pPr>
      <w:keepNext/>
      <w:keepLines/>
      <w:spacing w:before="40"/>
      <w:ind w:left="284"/>
      <w:contextualSpacing/>
      <w:outlineLvl w:val="3"/>
    </w:pPr>
    <w:rPr>
      <w:rFonts w:eastAsia="MS Gothic" w:cs="Times New Roman"/>
      <w:b/>
      <w:iCs/>
      <w:color w:val="4F226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19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112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112F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</w:p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3A50EF"/>
    <w:pPr>
      <w:spacing w:after="0"/>
    </w:pPr>
    <w:rPr>
      <w:rFonts w:ascii="Arial" w:eastAsiaTheme="minorEastAsia" w:hAnsi="Arial" w:cs="Arial"/>
      <w:bCs/>
      <w:color w:val="500061"/>
      <w:kern w:val="0"/>
      <w:sz w:val="24"/>
      <w:szCs w:val="24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3A50EF"/>
    <w:rPr>
      <w:rFonts w:cs="Arial"/>
      <w:bCs/>
      <w:color w:val="500061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B05A2"/>
    <w:pPr>
      <w:spacing w:before="240"/>
      <w:outlineLvl w:val="1"/>
    </w:pPr>
    <w:rPr>
      <w:b/>
      <w:bCs/>
      <w:color w:val="500061"/>
    </w:rPr>
  </w:style>
  <w:style w:type="character" w:customStyle="1" w:styleId="SalutationChar">
    <w:name w:val="Salutation Char"/>
    <w:basedOn w:val="DefaultParagraphFont"/>
    <w:link w:val="Salutation"/>
    <w:uiPriority w:val="4"/>
    <w:rsid w:val="00EB05A2"/>
    <w:rPr>
      <w:b/>
      <w:bCs/>
      <w:color w:val="500061"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rsid w:val="00EB05A2"/>
    <w:pPr>
      <w:spacing w:before="600" w:after="16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EB05A2"/>
  </w:style>
  <w:style w:type="paragraph" w:styleId="Header">
    <w:name w:val="header"/>
    <w:basedOn w:val="Normal"/>
    <w:link w:val="HeaderChar"/>
    <w:uiPriority w:val="94"/>
    <w:unhideWhenUsed/>
    <w:rsid w:val="009157D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005E5B" w:themeColor="text2"/>
      </w:pBdr>
      <w:spacing w:line="240" w:lineRule="auto"/>
      <w:jc w:val="right"/>
    </w:pPr>
    <w:rPr>
      <w:i/>
      <w:iCs/>
      <w:color w:val="3B1947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3B1947" w:themeColor="accent1" w:themeShade="BF"/>
    </w:rPr>
  </w:style>
  <w:style w:type="paragraph" w:customStyle="1" w:styleId="Logo">
    <w:name w:val="Logo"/>
    <w:basedOn w:val="Normal"/>
    <w:uiPriority w:val="10"/>
    <w:qFormat/>
    <w:pPr>
      <w:spacing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EB05A2"/>
    <w:rPr>
      <w:rFonts w:eastAsiaTheme="majorEastAsia" w:cstheme="majorBidi"/>
      <w:b/>
      <w:bCs/>
      <w:color w:val="500061"/>
      <w:kern w:val="28"/>
      <w:sz w:val="44"/>
      <w:szCs w:val="40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6E88"/>
    <w:rPr>
      <w:rFonts w:eastAsia="MS Gothic" w:cs="Times New Roman"/>
      <w:b/>
      <w:color w:val="4F2260"/>
      <w:kern w:val="28"/>
      <w:sz w:val="40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line="276" w:lineRule="auto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3B1947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3B1947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rPr>
      <w:b/>
      <w:color w:val="3B1947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306E88"/>
    <w:rPr>
      <w:rFonts w:eastAsia="MS Gothic" w:cs="Times New Roman"/>
      <w:b/>
      <w:color w:val="4F226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6E88"/>
    <w:rPr>
      <w:rFonts w:eastAsia="MS Gothic" w:cs="Times New Roman"/>
      <w:b/>
      <w:iCs/>
      <w:color w:val="4F2260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3B19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27112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27112F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3B194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3B1947" w:themeColor="accent1" w:themeShade="BF"/>
        <w:bottom w:val="single" w:sz="4" w:space="10" w:color="3B1947" w:themeColor="accent1" w:themeShade="BF"/>
      </w:pBdr>
      <w:spacing w:before="360" w:after="360"/>
      <w:ind w:left="864" w:right="864"/>
      <w:jc w:val="center"/>
    </w:pPr>
    <w:rPr>
      <w:i/>
      <w:iCs/>
      <w:color w:val="3B194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3B194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3B1947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3B1947" w:themeColor="accent1" w:themeShade="BF"/>
        <w:left w:val="single" w:sz="2" w:space="10" w:color="3B1947" w:themeColor="accent1" w:themeShade="BF"/>
        <w:bottom w:val="single" w:sz="2" w:space="10" w:color="3B1947" w:themeColor="accent1" w:themeShade="BF"/>
        <w:right w:val="single" w:sz="2" w:space="10" w:color="3B1947" w:themeColor="accent1" w:themeShade="BF"/>
      </w:pBdr>
      <w:ind w:left="1152" w:right="1152"/>
    </w:pPr>
    <w:rPr>
      <w:i/>
      <w:iCs/>
      <w:color w:val="3B1947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9B7A37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C13283"/>
    <w:rPr>
      <w:color w:val="002F2D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color w:val="004643" w:themeColor="text2" w:themeShade="BF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004643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6D5E"/>
    <w:rPr>
      <w:color w:val="605E5C"/>
      <w:shd w:val="clear" w:color="auto" w:fill="E1DFDD"/>
    </w:rPr>
  </w:style>
  <w:style w:type="paragraph" w:styleId="ListBullet">
    <w:name w:val="List Bullet"/>
    <w:basedOn w:val="Normal"/>
    <w:autoRedefine/>
    <w:uiPriority w:val="99"/>
    <w:qFormat/>
    <w:rsid w:val="00075D1F"/>
    <w:pPr>
      <w:numPr>
        <w:numId w:val="13"/>
      </w:numPr>
      <w:tabs>
        <w:tab w:val="left" w:pos="0"/>
      </w:tabs>
      <w:spacing w:before="0" w:after="120"/>
      <w:ind w:left="681" w:hanging="397"/>
    </w:pPr>
    <w:rPr>
      <w:rFonts w:asciiTheme="majorHAnsi" w:eastAsia="Times New Roman" w:hAnsiTheme="majorHAnsi" w:cs="Times New Roman"/>
      <w:lang w:val="en-AU" w:eastAsia="en-AU"/>
    </w:rPr>
  </w:style>
  <w:style w:type="paragraph" w:styleId="ListNumber">
    <w:name w:val="List Number"/>
    <w:basedOn w:val="ListBullet"/>
    <w:qFormat/>
    <w:rsid w:val="00C746DE"/>
    <w:pPr>
      <w:numPr>
        <w:numId w:val="14"/>
      </w:numPr>
      <w:tabs>
        <w:tab w:val="num" w:pos="360"/>
      </w:tabs>
      <w:ind w:left="681" w:hanging="397"/>
    </w:pPr>
  </w:style>
  <w:style w:type="paragraph" w:styleId="ListParagraph">
    <w:name w:val="List Paragraph"/>
    <w:basedOn w:val="Normal"/>
    <w:uiPriority w:val="26"/>
    <w:qFormat/>
    <w:rsid w:val="00722CE1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ca@bca.org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ca.org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%20collins\AppData\Roaming\Microsoft\Templates\Letterhead%20(Red%20design).dotx" TargetMode="External"/></Relationships>
</file>

<file path=word/theme/theme1.xml><?xml version="1.0" encoding="utf-8"?>
<a:theme xmlns:a="http://schemas.openxmlformats.org/drawingml/2006/main" name="BCA">
  <a:themeElements>
    <a:clrScheme name="BCA">
      <a:dk1>
        <a:srgbClr val="000000"/>
      </a:dk1>
      <a:lt1>
        <a:srgbClr val="FFFFFF"/>
      </a:lt1>
      <a:dk2>
        <a:srgbClr val="005E5B"/>
      </a:dk2>
      <a:lt2>
        <a:srgbClr val="C39F57"/>
      </a:lt2>
      <a:accent1>
        <a:srgbClr val="4F2260"/>
      </a:accent1>
      <a:accent2>
        <a:srgbClr val="005E5B"/>
      </a:accent2>
      <a:accent3>
        <a:srgbClr val="14494E"/>
      </a:accent3>
      <a:accent4>
        <a:srgbClr val="093538"/>
      </a:accent4>
      <a:accent5>
        <a:srgbClr val="C39F57"/>
      </a:accent5>
      <a:accent6>
        <a:srgbClr val="000000"/>
      </a:accent6>
      <a:hlink>
        <a:srgbClr val="005E5B"/>
      </a:hlink>
      <a:folHlink>
        <a:srgbClr val="4F2260"/>
      </a:folHlink>
    </a:clrScheme>
    <a:fontScheme name="BC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CA" id="{757EF10F-918E-4A74-B15E-6AD28E6E2193}" vid="{5B15AFF1-A86D-4469-8C24-DD188F8B5A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2012-73ef-42fe-b930-ea647f4e298e">
      <Terms xmlns="http://schemas.microsoft.com/office/infopath/2007/PartnerControls"/>
    </lcf76f155ced4ddcb4097134ff3c332f>
    <TaxCatchAll xmlns="0bec18fc-f114-415a-892c-7a4e80c6800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7" ma:contentTypeDescription="Create a new document." ma:contentTypeScope="" ma:versionID="bb8d1cacd15ab8ec058b2622816c5d06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03e06f4f91b6666feec85a6025559622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D409D6-53BC-49E6-A530-07AA2A59C787}">
  <ds:schemaRefs>
    <ds:schemaRef ds:uri="http://schemas.microsoft.com/office/2006/metadata/properties"/>
    <ds:schemaRef ds:uri="http://schemas.microsoft.com/office/infopath/2007/PartnerControls"/>
    <ds:schemaRef ds:uri="e6b92012-73ef-42fe-b930-ea647f4e298e"/>
    <ds:schemaRef ds:uri="0bec18fc-f114-415a-892c-7a4e80c68006"/>
  </ds:schemaRefs>
</ds:datastoreItem>
</file>

<file path=customXml/itemProps3.xml><?xml version="1.0" encoding="utf-8"?>
<ds:datastoreItem xmlns:ds="http://schemas.openxmlformats.org/officeDocument/2006/customXml" ds:itemID="{2F20B766-A3EA-4B62-8C81-846B0F22D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54B03E-F1DF-48A5-BB20-C773EAB041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38DF75-F909-43B4-9294-53BB652A4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1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(name)</dc:creator>
  <cp:keywords/>
  <dc:description/>
  <cp:lastModifiedBy>Amila Dedovic</cp:lastModifiedBy>
  <cp:revision>2</cp:revision>
  <dcterms:created xsi:type="dcterms:W3CDTF">2023-10-10T05:21:00Z</dcterms:created>
  <dcterms:modified xsi:type="dcterms:W3CDTF">2023-10-10T05:21:00Z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  <property fmtid="{D5CDD505-2E9C-101B-9397-08002B2CF9AE}" pid="3" name="MediaServiceImageTags">
    <vt:lpwstr/>
  </property>
</Properties>
</file>