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D9B6" w14:textId="77777777" w:rsidR="00A36708" w:rsidRPr="00041591" w:rsidRDefault="00A36708" w:rsidP="0088774E">
      <w:pPr>
        <w:pStyle w:val="Heading1"/>
      </w:pPr>
      <w:bookmarkStart w:id="0" w:name="_Toc175845354"/>
      <w:bookmarkStart w:id="1" w:name="_Toc205896804"/>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0"/>
      <w:bookmarkEnd w:id="1"/>
    </w:p>
    <w:p w14:paraId="0555FBA1" w14:textId="77777777" w:rsidR="00A36708" w:rsidRPr="00041591" w:rsidRDefault="00A36708" w:rsidP="00A36708">
      <w:pPr>
        <w:pStyle w:val="Date"/>
      </w:pPr>
      <w:bookmarkStart w:id="2" w:name="_Toc83292715"/>
      <w:r w:rsidRPr="00041591">
        <w:t>Ph</w:t>
      </w:r>
      <w:bookmarkEnd w:id="2"/>
      <w:r w:rsidRPr="00041591">
        <w:t xml:space="preserve"> 1800 033 660 | E </w:t>
      </w:r>
      <w:hyperlink r:id="rId11" w:history="1">
        <w:r w:rsidRPr="00041591">
          <w:rPr>
            <w:rStyle w:val="Hyperlink"/>
          </w:rPr>
          <w:t>bca@bca.org.au</w:t>
        </w:r>
      </w:hyperlink>
      <w:r w:rsidRPr="00041591">
        <w:rPr>
          <w:rStyle w:val="Hyperlink"/>
        </w:rPr>
        <w:t xml:space="preserve"> </w:t>
      </w:r>
      <w:r w:rsidRPr="00041591">
        <w:t xml:space="preserve"> |  W </w:t>
      </w:r>
      <w:hyperlink r:id="rId12"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33C342B4" w:rsidR="00A36708" w:rsidRPr="00041591" w:rsidRDefault="00E341D8" w:rsidP="00A36708">
      <w:pPr>
        <w:pStyle w:val="Heading1"/>
        <w:rPr>
          <w:rFonts w:cs="Arial"/>
        </w:rPr>
      </w:pPr>
      <w:bookmarkStart w:id="3" w:name="_Toc158995244"/>
      <w:bookmarkStart w:id="4" w:name="_Toc174692794"/>
      <w:bookmarkStart w:id="5" w:name="_Toc175845355"/>
      <w:bookmarkStart w:id="6" w:name="_Toc205896805"/>
      <w:r>
        <w:rPr>
          <w:rFonts w:cs="Arial"/>
        </w:rPr>
        <w:t xml:space="preserve">Response to </w:t>
      </w:r>
      <w:bookmarkEnd w:id="3"/>
      <w:bookmarkEnd w:id="4"/>
      <w:bookmarkEnd w:id="5"/>
      <w:r w:rsidR="005A7687" w:rsidRPr="005A7687">
        <w:rPr>
          <w:rFonts w:cs="Arial"/>
        </w:rPr>
        <w:t>Review of the Anti-Discrimination Act 1977 (NSW)</w:t>
      </w:r>
      <w:r w:rsidR="005A7687">
        <w:rPr>
          <w:rFonts w:cs="Arial"/>
        </w:rPr>
        <w:t xml:space="preserve"> - Consultation Paper May 2025</w:t>
      </w:r>
      <w:bookmarkEnd w:id="6"/>
    </w:p>
    <w:p w14:paraId="5E709281" w14:textId="77777777" w:rsidR="00A36708" w:rsidRPr="00041591" w:rsidRDefault="00A36708" w:rsidP="00A36708"/>
    <w:p w14:paraId="4CE6EA7E" w14:textId="294C82E9" w:rsidR="00A36708" w:rsidRPr="00F03E26" w:rsidRDefault="00F03E26" w:rsidP="00267F05">
      <w:pPr>
        <w:rPr>
          <w:sz w:val="26"/>
          <w:szCs w:val="26"/>
        </w:rPr>
      </w:pPr>
      <w:r w:rsidRPr="00AC4266">
        <w:rPr>
          <w:color w:val="2C2A29"/>
          <w:sz w:val="26"/>
          <w:szCs w:val="26"/>
          <w:shd w:val="clear" w:color="auto" w:fill="FFFFFF"/>
        </w:rPr>
        <w:t>Lodged</w:t>
      </w:r>
      <w:r w:rsidR="00B956E6">
        <w:rPr>
          <w:color w:val="2C2A29"/>
          <w:sz w:val="26"/>
          <w:szCs w:val="26"/>
          <w:shd w:val="clear" w:color="auto" w:fill="FFFFFF"/>
        </w:rPr>
        <w:t xml:space="preserve"> online</w:t>
      </w:r>
      <w:r w:rsidRPr="00AC4266">
        <w:rPr>
          <w:color w:val="2C2A29"/>
          <w:sz w:val="26"/>
          <w:szCs w:val="26"/>
          <w:shd w:val="clear" w:color="auto" w:fill="FFFFFF"/>
        </w:rPr>
        <w:t xml:space="preserve"> via</w:t>
      </w:r>
      <w:r w:rsidR="003C57F2" w:rsidRPr="00AC4266">
        <w:rPr>
          <w:color w:val="2C2A29"/>
          <w:sz w:val="26"/>
          <w:szCs w:val="26"/>
          <w:shd w:val="clear" w:color="auto" w:fill="FFFFFF"/>
        </w:rPr>
        <w:t>:</w:t>
      </w:r>
      <w:r w:rsidR="002D7FF6">
        <w:rPr>
          <w:color w:val="2C2A29"/>
          <w:sz w:val="26"/>
          <w:szCs w:val="26"/>
          <w:shd w:val="clear" w:color="auto" w:fill="FFFFFF"/>
        </w:rPr>
        <w:t xml:space="preserve"> </w:t>
      </w:r>
      <w:r w:rsidR="005A7687" w:rsidRPr="005A7687">
        <w:rPr>
          <w:color w:val="2C2A29"/>
          <w:sz w:val="26"/>
          <w:szCs w:val="26"/>
          <w:shd w:val="clear" w:color="auto" w:fill="FFFFFF"/>
        </w:rPr>
        <w:t>ADAreview@dcj.nsw.gov.au</w:t>
      </w:r>
    </w:p>
    <w:p w14:paraId="51BED1FE" w14:textId="77777777" w:rsidR="00A36708" w:rsidRPr="00041591" w:rsidRDefault="00A36708" w:rsidP="00A36708"/>
    <w:p w14:paraId="208ADE88" w14:textId="62DB9F13" w:rsidR="00A36708" w:rsidRPr="00041591" w:rsidRDefault="00A36708" w:rsidP="00A36708">
      <w:r w:rsidRPr="00041591">
        <w:t xml:space="preserve">Author: </w:t>
      </w:r>
      <w:r w:rsidR="00BB1132">
        <w:t xml:space="preserve">Melanie Chatfield, </w:t>
      </w:r>
      <w:r w:rsidR="00C10B66">
        <w:t xml:space="preserve">National </w:t>
      </w:r>
      <w:r w:rsidR="004736CA">
        <w:t>Policy Officer</w:t>
      </w:r>
    </w:p>
    <w:p w14:paraId="47A89641" w14:textId="77777777" w:rsidR="00BB1132" w:rsidRDefault="00BB1132" w:rsidP="00A36708">
      <w:hyperlink r:id="rId13" w:history="1">
        <w:r w:rsidRPr="0092294E">
          <w:rPr>
            <w:rStyle w:val="Hyperlink"/>
          </w:rPr>
          <w:t>melanie.chatfield@bca.org.au</w:t>
        </w:r>
      </w:hyperlink>
    </w:p>
    <w:p w14:paraId="1885CED2" w14:textId="6031C43B" w:rsidR="00A36708" w:rsidRPr="00041591" w:rsidRDefault="005A7687" w:rsidP="00A36708">
      <w:bookmarkStart w:id="7" w:name="_Toc59048282"/>
      <w:r>
        <w:t xml:space="preserve">15 </w:t>
      </w:r>
      <w:r w:rsidR="00690D68">
        <w:t>August</w:t>
      </w:r>
      <w:r w:rsidR="00267F05">
        <w:t xml:space="preserve"> </w:t>
      </w:r>
      <w:r w:rsidR="00A36708">
        <w:t>202</w:t>
      </w:r>
      <w:r w:rsidR="7CBDB906">
        <w:t>5</w:t>
      </w:r>
    </w:p>
    <w:p w14:paraId="605C1B3D" w14:textId="77777777" w:rsidR="00A36708" w:rsidRPr="00041591" w:rsidRDefault="00A36708" w:rsidP="00A36708">
      <w:pPr>
        <w:spacing w:before="0" w:after="240" w:line="300" w:lineRule="auto"/>
        <w:ind w:left="3744"/>
      </w:pPr>
      <w:r w:rsidRPr="00041591">
        <w:br w:type="page"/>
      </w:r>
    </w:p>
    <w:bookmarkStart w:id="8" w:name="_Toc175845357" w:displacedByCustomXml="next"/>
    <w:sdt>
      <w:sdtPr>
        <w:rPr>
          <w:rFonts w:ascii="Arial" w:eastAsia="MS Mincho" w:hAnsi="Arial" w:cs="Arial"/>
          <w:color w:val="auto"/>
          <w:sz w:val="24"/>
          <w:szCs w:val="16"/>
          <w:lang w:val="en-AU" w:eastAsia="ja-JP"/>
        </w:rPr>
        <w:id w:val="-140572785"/>
        <w:docPartObj>
          <w:docPartGallery w:val="Table of Contents"/>
          <w:docPartUnique/>
        </w:docPartObj>
      </w:sdtPr>
      <w:sdtEndPr>
        <w:rPr>
          <w:b/>
          <w:bCs/>
          <w:noProof/>
        </w:rPr>
      </w:sdtEndPr>
      <w:sdtContent>
        <w:p w14:paraId="76C0DFB9" w14:textId="5F1AF663" w:rsidR="00A76E87" w:rsidRDefault="00BA11E3" w:rsidP="004D4BB4">
          <w:pPr>
            <w:pStyle w:val="TOCHeading"/>
            <w:rPr>
              <w:noProof/>
            </w:rPr>
          </w:pPr>
          <w:r w:rsidRPr="00A76E87">
            <w:rPr>
              <w:rStyle w:val="Heading2Char"/>
            </w:rPr>
            <w:t>Contents</w:t>
          </w:r>
          <w:r>
            <w:fldChar w:fldCharType="begin"/>
          </w:r>
          <w:r>
            <w:instrText xml:space="preserve"> TOC \o "1-3" \h \z \u </w:instrText>
          </w:r>
          <w:r>
            <w:fldChar w:fldCharType="separate"/>
          </w:r>
        </w:p>
        <w:p w14:paraId="040B08EE" w14:textId="6D8736E4" w:rsidR="00A76E87" w:rsidRPr="00A76E87" w:rsidRDefault="004D4BB4" w:rsidP="00A76E87">
          <w:pPr>
            <w:rPr>
              <w:noProof/>
              <w:lang w:val="en-US" w:eastAsia="en-US"/>
            </w:rPr>
          </w:pPr>
          <w:bookmarkStart w:id="9" w:name="_Toc205888333"/>
          <w:r w:rsidRPr="007D783B">
            <w:rPr>
              <w:rStyle w:val="Hyperlink"/>
              <w:noProof/>
            </w:rPr>
            <w:drawing>
              <wp:inline distT="0" distB="0" distL="0" distR="0" wp14:anchorId="7751ABCE" wp14:editId="1338FC18">
                <wp:extent cx="5524500" cy="828675"/>
                <wp:effectExtent l="0" t="0" r="0" b="0"/>
                <wp:docPr id="1951296180" name="Picture 1951296180"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9"/>
        </w:p>
        <w:p w14:paraId="16206968" w14:textId="7342F8D4" w:rsidR="00DA2445" w:rsidRDefault="00DA2445">
          <w:pPr>
            <w:pStyle w:val="TOC1"/>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05" w:history="1">
            <w:r w:rsidRPr="007D783B">
              <w:rPr>
                <w:rStyle w:val="Hyperlink"/>
                <w:noProof/>
              </w:rPr>
              <w:t>Response to Review of the Anti-Discrimination Act 1977 (NSW) - Consultation Paper May 2025</w:t>
            </w:r>
            <w:r>
              <w:rPr>
                <w:noProof/>
                <w:webHidden/>
              </w:rPr>
              <w:tab/>
            </w:r>
            <w:r>
              <w:rPr>
                <w:noProof/>
                <w:webHidden/>
              </w:rPr>
              <w:fldChar w:fldCharType="begin"/>
            </w:r>
            <w:r>
              <w:rPr>
                <w:noProof/>
                <w:webHidden/>
              </w:rPr>
              <w:instrText xml:space="preserve"> PAGEREF _Toc205896805 \h </w:instrText>
            </w:r>
            <w:r>
              <w:rPr>
                <w:noProof/>
                <w:webHidden/>
              </w:rPr>
            </w:r>
            <w:r>
              <w:rPr>
                <w:noProof/>
                <w:webHidden/>
              </w:rPr>
              <w:fldChar w:fldCharType="separate"/>
            </w:r>
            <w:r w:rsidR="006A7C53">
              <w:rPr>
                <w:noProof/>
                <w:webHidden/>
              </w:rPr>
              <w:t>1</w:t>
            </w:r>
            <w:r>
              <w:rPr>
                <w:noProof/>
                <w:webHidden/>
              </w:rPr>
              <w:fldChar w:fldCharType="end"/>
            </w:r>
          </w:hyperlink>
        </w:p>
        <w:p w14:paraId="74786A0F" w14:textId="783E53AA" w:rsidR="00DA2445" w:rsidRDefault="00DA2445">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06" w:history="1">
            <w:r w:rsidRPr="007D783B">
              <w:rPr>
                <w:rStyle w:val="Hyperlink"/>
                <w:noProof/>
              </w:rPr>
              <w:t>1. Introduction</w:t>
            </w:r>
            <w:r>
              <w:rPr>
                <w:noProof/>
                <w:webHidden/>
              </w:rPr>
              <w:tab/>
            </w:r>
            <w:r>
              <w:rPr>
                <w:noProof/>
                <w:webHidden/>
              </w:rPr>
              <w:fldChar w:fldCharType="begin"/>
            </w:r>
            <w:r>
              <w:rPr>
                <w:noProof/>
                <w:webHidden/>
              </w:rPr>
              <w:instrText xml:space="preserve"> PAGEREF _Toc205896806 \h </w:instrText>
            </w:r>
            <w:r>
              <w:rPr>
                <w:noProof/>
                <w:webHidden/>
              </w:rPr>
            </w:r>
            <w:r>
              <w:rPr>
                <w:noProof/>
                <w:webHidden/>
              </w:rPr>
              <w:fldChar w:fldCharType="separate"/>
            </w:r>
            <w:r w:rsidR="006A7C53">
              <w:rPr>
                <w:noProof/>
                <w:webHidden/>
              </w:rPr>
              <w:t>3</w:t>
            </w:r>
            <w:r>
              <w:rPr>
                <w:noProof/>
                <w:webHidden/>
              </w:rPr>
              <w:fldChar w:fldCharType="end"/>
            </w:r>
          </w:hyperlink>
        </w:p>
        <w:p w14:paraId="4A89B2E4" w14:textId="5C2FE86A" w:rsidR="00DA2445" w:rsidRDefault="00DA2445">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07" w:history="1">
            <w:r w:rsidRPr="007D783B">
              <w:rPr>
                <w:rStyle w:val="Hyperlink"/>
                <w:noProof/>
              </w:rPr>
              <w:t>1.1 About Blind Citizens Australia</w:t>
            </w:r>
            <w:r>
              <w:rPr>
                <w:noProof/>
                <w:webHidden/>
              </w:rPr>
              <w:tab/>
            </w:r>
            <w:r>
              <w:rPr>
                <w:noProof/>
                <w:webHidden/>
              </w:rPr>
              <w:fldChar w:fldCharType="begin"/>
            </w:r>
            <w:r>
              <w:rPr>
                <w:noProof/>
                <w:webHidden/>
              </w:rPr>
              <w:instrText xml:space="preserve"> PAGEREF _Toc205896807 \h </w:instrText>
            </w:r>
            <w:r>
              <w:rPr>
                <w:noProof/>
                <w:webHidden/>
              </w:rPr>
            </w:r>
            <w:r>
              <w:rPr>
                <w:noProof/>
                <w:webHidden/>
              </w:rPr>
              <w:fldChar w:fldCharType="separate"/>
            </w:r>
            <w:r w:rsidR="006A7C53">
              <w:rPr>
                <w:noProof/>
                <w:webHidden/>
              </w:rPr>
              <w:t>3</w:t>
            </w:r>
            <w:r>
              <w:rPr>
                <w:noProof/>
                <w:webHidden/>
              </w:rPr>
              <w:fldChar w:fldCharType="end"/>
            </w:r>
          </w:hyperlink>
        </w:p>
        <w:p w14:paraId="1FA0AEF8" w14:textId="3EF9E0A8" w:rsidR="00DA2445" w:rsidRDefault="00DA2445">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08" w:history="1">
            <w:r w:rsidRPr="007D783B">
              <w:rPr>
                <w:rStyle w:val="Hyperlink"/>
                <w:noProof/>
              </w:rPr>
              <w:t>1.2 About people who are blind or vision impaired</w:t>
            </w:r>
            <w:r>
              <w:rPr>
                <w:noProof/>
                <w:webHidden/>
              </w:rPr>
              <w:tab/>
            </w:r>
            <w:r>
              <w:rPr>
                <w:noProof/>
                <w:webHidden/>
              </w:rPr>
              <w:fldChar w:fldCharType="begin"/>
            </w:r>
            <w:r>
              <w:rPr>
                <w:noProof/>
                <w:webHidden/>
              </w:rPr>
              <w:instrText xml:space="preserve"> PAGEREF _Toc205896808 \h </w:instrText>
            </w:r>
            <w:r>
              <w:rPr>
                <w:noProof/>
                <w:webHidden/>
              </w:rPr>
            </w:r>
            <w:r>
              <w:rPr>
                <w:noProof/>
                <w:webHidden/>
              </w:rPr>
              <w:fldChar w:fldCharType="separate"/>
            </w:r>
            <w:r w:rsidR="006A7C53">
              <w:rPr>
                <w:noProof/>
                <w:webHidden/>
              </w:rPr>
              <w:t>3</w:t>
            </w:r>
            <w:r>
              <w:rPr>
                <w:noProof/>
                <w:webHidden/>
              </w:rPr>
              <w:fldChar w:fldCharType="end"/>
            </w:r>
          </w:hyperlink>
        </w:p>
        <w:p w14:paraId="72652746" w14:textId="24D6ADDE" w:rsidR="00DA2445" w:rsidRDefault="00DA2445">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09" w:history="1">
            <w:r w:rsidRPr="007D783B">
              <w:rPr>
                <w:rStyle w:val="Hyperlink"/>
                <w:noProof/>
              </w:rPr>
              <w:t>2. Submission context</w:t>
            </w:r>
            <w:r>
              <w:rPr>
                <w:noProof/>
                <w:webHidden/>
              </w:rPr>
              <w:tab/>
            </w:r>
            <w:r>
              <w:rPr>
                <w:noProof/>
                <w:webHidden/>
              </w:rPr>
              <w:fldChar w:fldCharType="begin"/>
            </w:r>
            <w:r>
              <w:rPr>
                <w:noProof/>
                <w:webHidden/>
              </w:rPr>
              <w:instrText xml:space="preserve"> PAGEREF _Toc205896809 \h </w:instrText>
            </w:r>
            <w:r>
              <w:rPr>
                <w:noProof/>
                <w:webHidden/>
              </w:rPr>
            </w:r>
            <w:r>
              <w:rPr>
                <w:noProof/>
                <w:webHidden/>
              </w:rPr>
              <w:fldChar w:fldCharType="separate"/>
            </w:r>
            <w:r w:rsidR="006A7C53">
              <w:rPr>
                <w:noProof/>
                <w:webHidden/>
              </w:rPr>
              <w:t>4</w:t>
            </w:r>
            <w:r>
              <w:rPr>
                <w:noProof/>
                <w:webHidden/>
              </w:rPr>
              <w:fldChar w:fldCharType="end"/>
            </w:r>
          </w:hyperlink>
        </w:p>
        <w:p w14:paraId="2DA097B3" w14:textId="3636C6B3" w:rsidR="00DA2445" w:rsidRDefault="00DA2445">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10" w:history="1">
            <w:r w:rsidRPr="007D783B">
              <w:rPr>
                <w:rStyle w:val="Hyperlink"/>
                <w:noProof/>
              </w:rPr>
              <w:t>3. Blind Citizens Australia’s submission</w:t>
            </w:r>
            <w:r>
              <w:rPr>
                <w:noProof/>
                <w:webHidden/>
              </w:rPr>
              <w:tab/>
            </w:r>
            <w:r>
              <w:rPr>
                <w:noProof/>
                <w:webHidden/>
              </w:rPr>
              <w:fldChar w:fldCharType="begin"/>
            </w:r>
            <w:r>
              <w:rPr>
                <w:noProof/>
                <w:webHidden/>
              </w:rPr>
              <w:instrText xml:space="preserve"> PAGEREF _Toc205896810 \h </w:instrText>
            </w:r>
            <w:r>
              <w:rPr>
                <w:noProof/>
                <w:webHidden/>
              </w:rPr>
            </w:r>
            <w:r>
              <w:rPr>
                <w:noProof/>
                <w:webHidden/>
              </w:rPr>
              <w:fldChar w:fldCharType="separate"/>
            </w:r>
            <w:r w:rsidR="006A7C53">
              <w:rPr>
                <w:noProof/>
                <w:webHidden/>
              </w:rPr>
              <w:t>5</w:t>
            </w:r>
            <w:r>
              <w:rPr>
                <w:noProof/>
                <w:webHidden/>
              </w:rPr>
              <w:fldChar w:fldCharType="end"/>
            </w:r>
          </w:hyperlink>
        </w:p>
        <w:p w14:paraId="04E87DD4" w14:textId="50EC51D3" w:rsidR="00DA2445" w:rsidRDefault="00DA2445">
          <w:pPr>
            <w:pStyle w:val="TOC3"/>
            <w:tabs>
              <w:tab w:val="left" w:pos="1200"/>
              <w:tab w:val="right" w:leader="dot" w:pos="10790"/>
            </w:tabs>
            <w:rPr>
              <w:rFonts w:asciiTheme="minorHAnsi" w:eastAsiaTheme="minorEastAsia" w:hAnsiTheme="minorHAnsi" w:cstheme="minorBidi"/>
              <w:noProof/>
              <w:kern w:val="2"/>
              <w:szCs w:val="24"/>
              <w:lang w:eastAsia="en-AU"/>
              <w14:ligatures w14:val="standardContextual"/>
            </w:rPr>
          </w:pPr>
          <w:hyperlink w:anchor="_Toc205896811" w:history="1">
            <w:r w:rsidRPr="007D783B">
              <w:rPr>
                <w:rStyle w:val="Hyperlink"/>
                <w:noProof/>
              </w:rPr>
              <w:t>3.1</w:t>
            </w:r>
            <w:r>
              <w:rPr>
                <w:rFonts w:asciiTheme="minorHAnsi" w:eastAsiaTheme="minorEastAsia" w:hAnsiTheme="minorHAnsi" w:cstheme="minorBidi"/>
                <w:noProof/>
                <w:kern w:val="2"/>
                <w:szCs w:val="24"/>
                <w:lang w:eastAsia="en-AU"/>
                <w14:ligatures w14:val="standardContextual"/>
              </w:rPr>
              <w:tab/>
            </w:r>
            <w:r w:rsidRPr="007D783B">
              <w:rPr>
                <w:rStyle w:val="Hyperlink"/>
                <w:noProof/>
              </w:rPr>
              <w:t>Protected attributes</w:t>
            </w:r>
            <w:r>
              <w:rPr>
                <w:noProof/>
                <w:webHidden/>
              </w:rPr>
              <w:tab/>
            </w:r>
            <w:r>
              <w:rPr>
                <w:noProof/>
                <w:webHidden/>
              </w:rPr>
              <w:fldChar w:fldCharType="begin"/>
            </w:r>
            <w:r>
              <w:rPr>
                <w:noProof/>
                <w:webHidden/>
              </w:rPr>
              <w:instrText xml:space="preserve"> PAGEREF _Toc205896811 \h </w:instrText>
            </w:r>
            <w:r>
              <w:rPr>
                <w:noProof/>
                <w:webHidden/>
              </w:rPr>
            </w:r>
            <w:r>
              <w:rPr>
                <w:noProof/>
                <w:webHidden/>
              </w:rPr>
              <w:fldChar w:fldCharType="separate"/>
            </w:r>
            <w:r w:rsidR="006A7C53">
              <w:rPr>
                <w:noProof/>
                <w:webHidden/>
              </w:rPr>
              <w:t>5</w:t>
            </w:r>
            <w:r>
              <w:rPr>
                <w:noProof/>
                <w:webHidden/>
              </w:rPr>
              <w:fldChar w:fldCharType="end"/>
            </w:r>
          </w:hyperlink>
        </w:p>
        <w:p w14:paraId="662FF2A6" w14:textId="67490372" w:rsidR="00DA2445" w:rsidRDefault="00DA2445">
          <w:pPr>
            <w:pStyle w:val="TOC3"/>
            <w:tabs>
              <w:tab w:val="left" w:pos="1200"/>
              <w:tab w:val="right" w:leader="dot" w:pos="10790"/>
            </w:tabs>
            <w:rPr>
              <w:rFonts w:asciiTheme="minorHAnsi" w:eastAsiaTheme="minorEastAsia" w:hAnsiTheme="minorHAnsi" w:cstheme="minorBidi"/>
              <w:noProof/>
              <w:kern w:val="2"/>
              <w:szCs w:val="24"/>
              <w:lang w:eastAsia="en-AU"/>
              <w14:ligatures w14:val="standardContextual"/>
            </w:rPr>
          </w:pPr>
          <w:hyperlink w:anchor="_Toc205896812" w:history="1">
            <w:r w:rsidRPr="007D783B">
              <w:rPr>
                <w:rStyle w:val="Hyperlink"/>
                <w:noProof/>
              </w:rPr>
              <w:t>3.2</w:t>
            </w:r>
            <w:r>
              <w:rPr>
                <w:rFonts w:asciiTheme="minorHAnsi" w:eastAsiaTheme="minorEastAsia" w:hAnsiTheme="minorHAnsi" w:cstheme="minorBidi"/>
                <w:noProof/>
                <w:kern w:val="2"/>
                <w:szCs w:val="24"/>
                <w:lang w:eastAsia="en-AU"/>
                <w14:ligatures w14:val="standardContextual"/>
              </w:rPr>
              <w:tab/>
            </w:r>
            <w:r w:rsidRPr="007D783B">
              <w:rPr>
                <w:rStyle w:val="Hyperlink"/>
                <w:noProof/>
              </w:rPr>
              <w:t>Discrimination</w:t>
            </w:r>
            <w:r>
              <w:rPr>
                <w:noProof/>
                <w:webHidden/>
              </w:rPr>
              <w:tab/>
            </w:r>
            <w:r>
              <w:rPr>
                <w:noProof/>
                <w:webHidden/>
              </w:rPr>
              <w:fldChar w:fldCharType="begin"/>
            </w:r>
            <w:r>
              <w:rPr>
                <w:noProof/>
                <w:webHidden/>
              </w:rPr>
              <w:instrText xml:space="preserve"> PAGEREF _Toc205896812 \h </w:instrText>
            </w:r>
            <w:r>
              <w:rPr>
                <w:noProof/>
                <w:webHidden/>
              </w:rPr>
            </w:r>
            <w:r>
              <w:rPr>
                <w:noProof/>
                <w:webHidden/>
              </w:rPr>
              <w:fldChar w:fldCharType="separate"/>
            </w:r>
            <w:r w:rsidR="006A7C53">
              <w:rPr>
                <w:noProof/>
                <w:webHidden/>
              </w:rPr>
              <w:t>7</w:t>
            </w:r>
            <w:r>
              <w:rPr>
                <w:noProof/>
                <w:webHidden/>
              </w:rPr>
              <w:fldChar w:fldCharType="end"/>
            </w:r>
          </w:hyperlink>
        </w:p>
        <w:p w14:paraId="587CB2D4" w14:textId="395433B8" w:rsidR="00DA2445" w:rsidRDefault="00DA2445">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13" w:history="1">
            <w:r w:rsidRPr="007D783B">
              <w:rPr>
                <w:rStyle w:val="Hyperlink"/>
                <w:noProof/>
              </w:rPr>
              <w:t>3.3 Protected areas and exceptions</w:t>
            </w:r>
            <w:r>
              <w:rPr>
                <w:noProof/>
                <w:webHidden/>
              </w:rPr>
              <w:tab/>
            </w:r>
            <w:r>
              <w:rPr>
                <w:noProof/>
                <w:webHidden/>
              </w:rPr>
              <w:fldChar w:fldCharType="begin"/>
            </w:r>
            <w:r>
              <w:rPr>
                <w:noProof/>
                <w:webHidden/>
              </w:rPr>
              <w:instrText xml:space="preserve"> PAGEREF _Toc205896813 \h </w:instrText>
            </w:r>
            <w:r>
              <w:rPr>
                <w:noProof/>
                <w:webHidden/>
              </w:rPr>
            </w:r>
            <w:r>
              <w:rPr>
                <w:noProof/>
                <w:webHidden/>
              </w:rPr>
              <w:fldChar w:fldCharType="separate"/>
            </w:r>
            <w:r w:rsidR="006A7C53">
              <w:rPr>
                <w:noProof/>
                <w:webHidden/>
              </w:rPr>
              <w:t>9</w:t>
            </w:r>
            <w:r>
              <w:rPr>
                <w:noProof/>
                <w:webHidden/>
              </w:rPr>
              <w:fldChar w:fldCharType="end"/>
            </w:r>
          </w:hyperlink>
        </w:p>
        <w:p w14:paraId="42E557C4" w14:textId="4D7776CB" w:rsidR="00DA2445" w:rsidRDefault="00DA2445">
          <w:pPr>
            <w:pStyle w:val="TOC3"/>
            <w:tabs>
              <w:tab w:val="left" w:pos="1200"/>
              <w:tab w:val="right" w:leader="dot" w:pos="10790"/>
            </w:tabs>
            <w:rPr>
              <w:rFonts w:asciiTheme="minorHAnsi" w:eastAsiaTheme="minorEastAsia" w:hAnsiTheme="minorHAnsi" w:cstheme="minorBidi"/>
              <w:noProof/>
              <w:kern w:val="2"/>
              <w:szCs w:val="24"/>
              <w:lang w:eastAsia="en-AU"/>
              <w14:ligatures w14:val="standardContextual"/>
            </w:rPr>
          </w:pPr>
          <w:hyperlink w:anchor="_Toc205896814" w:history="1">
            <w:r w:rsidRPr="007D783B">
              <w:rPr>
                <w:rStyle w:val="Hyperlink"/>
                <w:noProof/>
              </w:rPr>
              <w:t>3.4</w:t>
            </w:r>
            <w:r>
              <w:rPr>
                <w:rFonts w:asciiTheme="minorHAnsi" w:eastAsiaTheme="minorEastAsia" w:hAnsiTheme="minorHAnsi" w:cstheme="minorBidi"/>
                <w:noProof/>
                <w:kern w:val="2"/>
                <w:szCs w:val="24"/>
                <w:lang w:eastAsia="en-AU"/>
                <w14:ligatures w14:val="standardContextual"/>
              </w:rPr>
              <w:tab/>
            </w:r>
            <w:r w:rsidRPr="007D783B">
              <w:rPr>
                <w:rStyle w:val="Hyperlink"/>
                <w:noProof/>
              </w:rPr>
              <w:t>Vilification and harassment</w:t>
            </w:r>
            <w:r>
              <w:rPr>
                <w:noProof/>
                <w:webHidden/>
              </w:rPr>
              <w:tab/>
            </w:r>
            <w:r>
              <w:rPr>
                <w:noProof/>
                <w:webHidden/>
              </w:rPr>
              <w:fldChar w:fldCharType="begin"/>
            </w:r>
            <w:r>
              <w:rPr>
                <w:noProof/>
                <w:webHidden/>
              </w:rPr>
              <w:instrText xml:space="preserve"> PAGEREF _Toc205896814 \h </w:instrText>
            </w:r>
            <w:r>
              <w:rPr>
                <w:noProof/>
                <w:webHidden/>
              </w:rPr>
            </w:r>
            <w:r>
              <w:rPr>
                <w:noProof/>
                <w:webHidden/>
              </w:rPr>
              <w:fldChar w:fldCharType="separate"/>
            </w:r>
            <w:r w:rsidR="006A7C53">
              <w:rPr>
                <w:noProof/>
                <w:webHidden/>
              </w:rPr>
              <w:t>14</w:t>
            </w:r>
            <w:r>
              <w:rPr>
                <w:noProof/>
                <w:webHidden/>
              </w:rPr>
              <w:fldChar w:fldCharType="end"/>
            </w:r>
          </w:hyperlink>
        </w:p>
        <w:p w14:paraId="7364D17E" w14:textId="18D925AE" w:rsidR="00DA2445" w:rsidRDefault="00DA2445">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205896815" w:history="1">
            <w:r w:rsidRPr="007D783B">
              <w:rPr>
                <w:rStyle w:val="Hyperlink"/>
                <w:noProof/>
              </w:rPr>
              <w:t>4. Summary of recommendations</w:t>
            </w:r>
            <w:r>
              <w:rPr>
                <w:noProof/>
                <w:webHidden/>
              </w:rPr>
              <w:tab/>
            </w:r>
            <w:r>
              <w:rPr>
                <w:noProof/>
                <w:webHidden/>
              </w:rPr>
              <w:fldChar w:fldCharType="begin"/>
            </w:r>
            <w:r>
              <w:rPr>
                <w:noProof/>
                <w:webHidden/>
              </w:rPr>
              <w:instrText xml:space="preserve"> PAGEREF _Toc205896815 \h </w:instrText>
            </w:r>
            <w:r>
              <w:rPr>
                <w:noProof/>
                <w:webHidden/>
              </w:rPr>
            </w:r>
            <w:r>
              <w:rPr>
                <w:noProof/>
                <w:webHidden/>
              </w:rPr>
              <w:fldChar w:fldCharType="separate"/>
            </w:r>
            <w:r w:rsidR="006A7C53">
              <w:rPr>
                <w:noProof/>
                <w:webHidden/>
              </w:rPr>
              <w:t>14</w:t>
            </w:r>
            <w:r>
              <w:rPr>
                <w:noProof/>
                <w:webHidden/>
              </w:rPr>
              <w:fldChar w:fldCharType="end"/>
            </w:r>
          </w:hyperlink>
        </w:p>
        <w:p w14:paraId="6554BCE8" w14:textId="7DC5C010" w:rsidR="00BA11E3" w:rsidRDefault="00BA11E3">
          <w:r>
            <w:rPr>
              <w:b/>
              <w:bCs/>
              <w:noProof/>
            </w:rPr>
            <w:fldChar w:fldCharType="end"/>
          </w:r>
        </w:p>
      </w:sdtContent>
    </w:sdt>
    <w:p w14:paraId="5264BBEE" w14:textId="7E37E5B0" w:rsidR="00F14E5D" w:rsidRDefault="00F14E5D">
      <w:pPr>
        <w:spacing w:before="0" w:after="160" w:line="259" w:lineRule="auto"/>
        <w:rPr>
          <w:rFonts w:eastAsia="MS Gothic"/>
          <w:b/>
          <w:color w:val="4F2260"/>
          <w:kern w:val="28"/>
          <w:sz w:val="40"/>
          <w:szCs w:val="26"/>
        </w:rPr>
      </w:pPr>
      <w:r>
        <w:br w:type="page"/>
      </w:r>
    </w:p>
    <w:p w14:paraId="41739A82" w14:textId="77777777" w:rsidR="00BA22BF" w:rsidRDefault="00BA22BF" w:rsidP="00A36708">
      <w:pPr>
        <w:pStyle w:val="Heading2"/>
        <w:rPr>
          <w:rFonts w:cs="Arial"/>
        </w:rPr>
      </w:pPr>
    </w:p>
    <w:p w14:paraId="0B02D357" w14:textId="1DE0C14F" w:rsidR="00A36708" w:rsidRPr="00041591" w:rsidRDefault="00A36708" w:rsidP="00A36708">
      <w:pPr>
        <w:pStyle w:val="Heading2"/>
        <w:rPr>
          <w:rFonts w:cs="Arial"/>
        </w:rPr>
      </w:pPr>
      <w:bookmarkStart w:id="10" w:name="_Toc205896806"/>
      <w:r w:rsidRPr="00041591">
        <w:rPr>
          <w:rFonts w:cs="Arial"/>
        </w:rPr>
        <w:t>1. Introduction</w:t>
      </w:r>
      <w:bookmarkEnd w:id="7"/>
      <w:bookmarkEnd w:id="10"/>
      <w:bookmarkEnd w:id="8"/>
    </w:p>
    <w:p w14:paraId="06726BCD" w14:textId="7B995F5B" w:rsidR="00A36708" w:rsidRPr="00041591" w:rsidRDefault="00A36708" w:rsidP="00A36708">
      <w:pPr>
        <w:pStyle w:val="Heading3"/>
        <w:rPr>
          <w:rFonts w:cs="Arial"/>
        </w:rPr>
      </w:pPr>
      <w:bookmarkStart w:id="11" w:name="_Toc59048283"/>
      <w:bookmarkStart w:id="12" w:name="_Toc175845358"/>
      <w:bookmarkStart w:id="13" w:name="_Toc205896807"/>
      <w:bookmarkStart w:id="14" w:name="_Toc43900325"/>
      <w:r w:rsidRPr="00041591">
        <w:rPr>
          <w:rFonts w:cs="Arial"/>
        </w:rPr>
        <w:t>1.1 About Blind Citizens Australia</w:t>
      </w:r>
      <w:bookmarkEnd w:id="11"/>
      <w:bookmarkEnd w:id="12"/>
      <w:bookmarkEnd w:id="13"/>
    </w:p>
    <w:p w14:paraId="5E676574" w14:textId="7E46EF45" w:rsidR="001E0757" w:rsidRPr="00041591" w:rsidRDefault="001E0757" w:rsidP="00A36708">
      <w:bookmarkStart w:id="15" w:name="_Toc59048284"/>
      <w:bookmarkEnd w:id="14"/>
      <w:r w:rsidRPr="00041591">
        <w:t xml:space="preserve">Blind Citizens Australia (BCA) is the peak national representative organisation of and for the over 500,000 people in Australia who are blind or vision impaired. For </w:t>
      </w:r>
      <w:r w:rsidR="00BB1132">
        <w:t xml:space="preserve">over </w:t>
      </w:r>
      <w:r w:rsidRPr="00041591">
        <w:t xml:space="preserve">50 years, BCA has built a strong reputation for empowering Australians who are </w:t>
      </w:r>
      <w:proofErr w:type="gramStart"/>
      <w:r w:rsidRPr="00041591">
        <w:t>blind</w:t>
      </w:r>
      <w:proofErr w:type="gramEnd"/>
      <w:r w:rsidRPr="00041591">
        <w:t xml:space="preserve"> or vision impaired to lead full and active lives and to make meaningful contributions to our communities.</w:t>
      </w:r>
    </w:p>
    <w:p w14:paraId="6E9E5DFA" w14:textId="7E80F2EF" w:rsidR="00A36708" w:rsidRPr="00041591" w:rsidRDefault="001E0757" w:rsidP="00A36708">
      <w:r w:rsidRPr="00041591">
        <w:t xml:space="preserve">BCA provides peer support and individual advocacy to people who are </w:t>
      </w:r>
      <w:proofErr w:type="gramStart"/>
      <w:r w:rsidRPr="00041591">
        <w:t>blind</w:t>
      </w:r>
      <w:proofErr w:type="gramEnd"/>
      <w:r w:rsidRPr="00041591">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rsidR="00607F42">
        <w:t xml:space="preserve"> </w:t>
      </w:r>
      <w:r w:rsidRPr="00041591">
        <w:t xml:space="preserve">All directors are full members of BCA and </w:t>
      </w:r>
      <w:proofErr w:type="gramStart"/>
      <w:r w:rsidRPr="00041591">
        <w:t>the majority of</w:t>
      </w:r>
      <w:proofErr w:type="gramEnd"/>
      <w:r w:rsidRPr="00041591">
        <w:t xml:space="preserve"> our volunteers and staff are blind or vision impaired. They are of diverse backgrounds and identities</w:t>
      </w:r>
      <w:r w:rsidR="00A36708" w:rsidRPr="00041591">
        <w:t xml:space="preserve">. </w:t>
      </w:r>
    </w:p>
    <w:p w14:paraId="4C883D1A" w14:textId="77777777" w:rsidR="00A36708" w:rsidRPr="00041591" w:rsidRDefault="00A36708" w:rsidP="00A36708">
      <w:pPr>
        <w:pStyle w:val="Heading3"/>
        <w:rPr>
          <w:rFonts w:cs="Arial"/>
        </w:rPr>
      </w:pPr>
      <w:bookmarkStart w:id="16" w:name="_Toc175845359"/>
      <w:bookmarkStart w:id="17" w:name="_Toc205896808"/>
      <w:r w:rsidRPr="00041591">
        <w:rPr>
          <w:rFonts w:cs="Arial"/>
        </w:rPr>
        <w:t>1.2 About people who are blind or vision impaired</w:t>
      </w:r>
      <w:bookmarkEnd w:id="15"/>
      <w:bookmarkEnd w:id="16"/>
      <w:bookmarkEnd w:id="17"/>
    </w:p>
    <w:p w14:paraId="219CDCE6" w14:textId="0809BD98" w:rsidR="00A36708" w:rsidRPr="00041591" w:rsidRDefault="00547B49" w:rsidP="00A36708">
      <w:r>
        <w:t xml:space="preserve">According to the Australian Bureau of Statistics (ABS), </w:t>
      </w:r>
      <w:r w:rsidR="007F3284">
        <w:t>m</w:t>
      </w:r>
      <w:r w:rsidR="007F3284" w:rsidRPr="007F3284">
        <w:t xml:space="preserve">ore than 1 in 5 Australians (about 5.5 million people) are people with disability. </w:t>
      </w:r>
      <w:r w:rsidR="00BA09B2">
        <w:t>T</w:t>
      </w:r>
      <w:r>
        <w:t xml:space="preserve">here </w:t>
      </w:r>
      <w:r w:rsidR="00A36708" w:rsidRPr="00041591">
        <w:t xml:space="preserve">are currently more than </w:t>
      </w:r>
      <w:r w:rsidR="008A1806" w:rsidRPr="00041591">
        <w:t>500</w:t>
      </w:r>
      <w:r w:rsidR="00A36708" w:rsidRPr="00041591">
        <w:t>,000 people who are blind or vision impaired in Australia</w:t>
      </w:r>
      <w:r>
        <w:t>;</w:t>
      </w:r>
      <w:r w:rsidR="00A36708" w:rsidRPr="00041591">
        <w:t xml:space="preserve"> with estimates that this will rise to 564,000 by 2030</w:t>
      </w:r>
      <w:r w:rsidR="008A1806" w:rsidRPr="00041591">
        <w:t>.</w:t>
      </w:r>
      <w:r w:rsidR="00A36708" w:rsidRPr="00041591">
        <w:t xml:space="preserve"> According to Vision Initiative, around 80% of vision loss in Australia is caused by conditions that become more common as people age</w:t>
      </w:r>
      <w:bookmarkStart w:id="18" w:name="_Ref17711410"/>
      <w:r w:rsidR="00A36708" w:rsidRPr="00041591">
        <w:rPr>
          <w:rStyle w:val="EndnoteReference"/>
        </w:rPr>
        <w:endnoteReference w:id="1"/>
      </w:r>
      <w:bookmarkEnd w:id="18"/>
      <w:r w:rsidR="00607F42">
        <w:t>.</w:t>
      </w:r>
    </w:p>
    <w:p w14:paraId="538E1942" w14:textId="048E68FA" w:rsidR="00522820" w:rsidRDefault="00A36708" w:rsidP="00A36708">
      <w:r w:rsidRPr="00041591">
        <w:t xml:space="preserve">Australians who are blind or vision impaired can live rich and active lives and make meaningful contributions to their communities: working, volunteering, raising families and engaging in sports and other recreational activities. </w:t>
      </w:r>
    </w:p>
    <w:p w14:paraId="7E922E34" w14:textId="4251B4B3" w:rsidR="00A36708" w:rsidRPr="00041591" w:rsidRDefault="00A36708" w:rsidP="00A36708">
      <w:r w:rsidRPr="00041591">
        <w:t xml:space="preserve">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49037135" w14:textId="61C94D41" w:rsidR="00A36708" w:rsidRPr="00041591" w:rsidRDefault="00BF12E1" w:rsidP="00A36708">
      <w:pPr>
        <w:pStyle w:val="Heading2"/>
        <w:rPr>
          <w:rFonts w:cs="Arial"/>
        </w:rPr>
      </w:pPr>
      <w:bookmarkStart w:id="19" w:name="_Toc59048286"/>
      <w:bookmarkStart w:id="20" w:name="_Toc175845360"/>
      <w:bookmarkStart w:id="21" w:name="_Toc205896809"/>
      <w:r w:rsidRPr="00041591">
        <w:rPr>
          <w:rFonts w:cs="Arial"/>
        </w:rPr>
        <w:lastRenderedPageBreak/>
        <w:t>2</w:t>
      </w:r>
      <w:r w:rsidR="00A36708" w:rsidRPr="00041591">
        <w:rPr>
          <w:rFonts w:cs="Arial"/>
        </w:rPr>
        <w:t>. Submission context</w:t>
      </w:r>
      <w:bookmarkEnd w:id="19"/>
      <w:bookmarkEnd w:id="20"/>
      <w:bookmarkEnd w:id="21"/>
    </w:p>
    <w:p w14:paraId="112C964B" w14:textId="3A264E9B" w:rsidR="00690D68" w:rsidRDefault="00690D68" w:rsidP="00A36708">
      <w:pPr>
        <w:rPr>
          <w:i/>
          <w:iCs/>
        </w:rPr>
      </w:pPr>
      <w:r>
        <w:rPr>
          <w:szCs w:val="24"/>
        </w:rPr>
        <w:t>BCA welcomes the opportunity to make a submission</w:t>
      </w:r>
      <w:r w:rsidR="00350D6E">
        <w:rPr>
          <w:szCs w:val="24"/>
        </w:rPr>
        <w:t xml:space="preserve"> to </w:t>
      </w:r>
      <w:r w:rsidR="00350D6E" w:rsidRPr="00350D6E">
        <w:rPr>
          <w:szCs w:val="24"/>
        </w:rPr>
        <w:t>review of the NSW Anti-Discrimination Act 1977 (the ADA) being conducted by the NSW Law Reform Commission (the Commission)</w:t>
      </w:r>
      <w:r w:rsidR="00350D6E">
        <w:rPr>
          <w:szCs w:val="24"/>
        </w:rPr>
        <w:t>.</w:t>
      </w:r>
    </w:p>
    <w:p w14:paraId="2D0C71C6" w14:textId="58DFA2FB" w:rsidR="003669B2" w:rsidRPr="00C0325F" w:rsidRDefault="00E371BD" w:rsidP="003669B2">
      <w:pPr>
        <w:tabs>
          <w:tab w:val="num" w:pos="720"/>
        </w:tabs>
        <w:rPr>
          <w:lang w:eastAsia="en-AU"/>
        </w:rPr>
      </w:pPr>
      <w:r w:rsidRPr="00350D6E">
        <w:t>Our response</w:t>
      </w:r>
      <w:r w:rsidR="00944942">
        <w:t xml:space="preserve"> is </w:t>
      </w:r>
      <w:r w:rsidR="00944942" w:rsidRPr="00944942">
        <w:t>focused on the part</w:t>
      </w:r>
      <w:r w:rsidR="00944942">
        <w:t>s</w:t>
      </w:r>
      <w:r w:rsidR="00944942" w:rsidRPr="00944942">
        <w:t xml:space="preserve"> of the </w:t>
      </w:r>
      <w:r w:rsidR="00EE6DF9">
        <w:t>ADA</w:t>
      </w:r>
      <w:r w:rsidR="00944942" w:rsidRPr="00944942">
        <w:t xml:space="preserve"> dealing with discrimination on the ground</w:t>
      </w:r>
      <w:r w:rsidR="009C34D4">
        <w:t>s</w:t>
      </w:r>
      <w:r w:rsidR="00944942" w:rsidRPr="00944942">
        <w:t xml:space="preserve"> of disability</w:t>
      </w:r>
      <w:r w:rsidR="00C10B66">
        <w:t xml:space="preserve"> and responds to discussion points raised in the Community </w:t>
      </w:r>
      <w:r w:rsidR="00C37271">
        <w:t xml:space="preserve">Summary </w:t>
      </w:r>
      <w:r w:rsidR="00713016">
        <w:t xml:space="preserve">and Consultation </w:t>
      </w:r>
      <w:r w:rsidR="00C37271">
        <w:t>Paper</w:t>
      </w:r>
      <w:r w:rsidR="00EE6DF9">
        <w:t xml:space="preserve"> (published May 2025)</w:t>
      </w:r>
      <w:r w:rsidR="00BE0CCD">
        <w:t>.</w:t>
      </w:r>
      <w:r w:rsidR="003669B2">
        <w:t xml:space="preserve"> </w:t>
      </w:r>
      <w:r w:rsidR="003669B2" w:rsidRPr="00C0325F">
        <w:rPr>
          <w:lang w:eastAsia="en-AU"/>
        </w:rPr>
        <w:t xml:space="preserve">BCA notes that the </w:t>
      </w:r>
      <w:r w:rsidR="003669B2" w:rsidRPr="002E5703">
        <w:rPr>
          <w:lang w:eastAsia="en-AU"/>
        </w:rPr>
        <w:t xml:space="preserve">second consultation paper will consider the procedural aspects of the ADA, including complaint pathways, enforcement options, remedies and options for preventing unlawful conduct. </w:t>
      </w:r>
      <w:r w:rsidR="00C548DF">
        <w:rPr>
          <w:lang w:eastAsia="en-AU"/>
        </w:rPr>
        <w:t xml:space="preserve">This will be an important </w:t>
      </w:r>
      <w:r w:rsidR="00B65C2C">
        <w:rPr>
          <w:lang w:eastAsia="en-AU"/>
        </w:rPr>
        <w:t xml:space="preserve">piece of work given </w:t>
      </w:r>
      <w:r w:rsidR="00F836E2">
        <w:rPr>
          <w:lang w:eastAsia="en-AU"/>
        </w:rPr>
        <w:t xml:space="preserve">past </w:t>
      </w:r>
      <w:r w:rsidR="00B65C2C">
        <w:rPr>
          <w:lang w:eastAsia="en-AU"/>
        </w:rPr>
        <w:t>failure</w:t>
      </w:r>
      <w:r w:rsidR="00F836E2">
        <w:rPr>
          <w:lang w:eastAsia="en-AU"/>
        </w:rPr>
        <w:t>s</w:t>
      </w:r>
      <w:r w:rsidR="002464CA">
        <w:rPr>
          <w:lang w:eastAsia="en-AU"/>
        </w:rPr>
        <w:t xml:space="preserve"> </w:t>
      </w:r>
      <w:r w:rsidR="00B15246">
        <w:rPr>
          <w:lang w:eastAsia="en-AU"/>
        </w:rPr>
        <w:t xml:space="preserve">in </w:t>
      </w:r>
      <w:r w:rsidR="00164671">
        <w:rPr>
          <w:lang w:eastAsia="en-AU"/>
        </w:rPr>
        <w:t xml:space="preserve">enforcing </w:t>
      </w:r>
      <w:r w:rsidR="00B15246">
        <w:rPr>
          <w:lang w:eastAsia="en-AU"/>
        </w:rPr>
        <w:t xml:space="preserve">accountability and </w:t>
      </w:r>
      <w:r w:rsidR="00BE7BD5">
        <w:rPr>
          <w:lang w:eastAsia="en-AU"/>
        </w:rPr>
        <w:t xml:space="preserve">requisite </w:t>
      </w:r>
      <w:r w:rsidR="00B15246">
        <w:rPr>
          <w:lang w:eastAsia="en-AU"/>
        </w:rPr>
        <w:t>consequences for duty holders that fail to meet</w:t>
      </w:r>
      <w:r w:rsidR="00511D11">
        <w:rPr>
          <w:lang w:eastAsia="en-AU"/>
        </w:rPr>
        <w:t xml:space="preserve"> legal mandates and</w:t>
      </w:r>
      <w:r w:rsidR="00B15246">
        <w:rPr>
          <w:lang w:eastAsia="en-AU"/>
        </w:rPr>
        <w:t xml:space="preserve"> expectations.</w:t>
      </w:r>
      <w:r w:rsidR="00B65C2C">
        <w:rPr>
          <w:lang w:eastAsia="en-AU"/>
        </w:rPr>
        <w:t xml:space="preserve"> </w:t>
      </w:r>
    </w:p>
    <w:p w14:paraId="30009C01" w14:textId="160805F3" w:rsidR="00850327" w:rsidRDefault="00BE0CCD" w:rsidP="00850327">
      <w:r w:rsidRPr="00BE0CCD">
        <w:t xml:space="preserve">BCA’s submission </w:t>
      </w:r>
      <w:r>
        <w:t xml:space="preserve">draws on </w:t>
      </w:r>
      <w:r w:rsidRPr="00BE0CCD">
        <w:t>extensive consultations with our 3,000-strong member base and other people who are blind or vision impaired, and our ongoing advocacy work in the disability sector.</w:t>
      </w:r>
      <w:r w:rsidR="005B65DB">
        <w:t xml:space="preserve"> </w:t>
      </w:r>
      <w:r w:rsidR="00850327">
        <w:t xml:space="preserve">BCA works collaboratively with other disability stakeholders and </w:t>
      </w:r>
      <w:r w:rsidR="00850327" w:rsidRPr="00350D6E">
        <w:t>endorse</w:t>
      </w:r>
      <w:r w:rsidR="00850327">
        <w:t>s</w:t>
      </w:r>
      <w:r w:rsidR="00850327" w:rsidRPr="00350D6E">
        <w:t xml:space="preserve"> the recommendations detailed in the submission</w:t>
      </w:r>
      <w:r w:rsidR="00EE6DF9">
        <w:t xml:space="preserve">s to the Commission </w:t>
      </w:r>
      <w:r w:rsidR="00850327" w:rsidRPr="00350D6E">
        <w:t>by Vision Australia</w:t>
      </w:r>
      <w:r w:rsidR="00EE6DF9">
        <w:t xml:space="preserve"> and Guide Dogs NSW/ACT</w:t>
      </w:r>
      <w:r w:rsidR="005165FF">
        <w:t xml:space="preserve"> (unpublished at time of writing)</w:t>
      </w:r>
      <w:r w:rsidR="00850327" w:rsidRPr="00350D6E">
        <w:t>.</w:t>
      </w:r>
    </w:p>
    <w:p w14:paraId="3EC96AB8" w14:textId="77777777" w:rsidR="00FC6445" w:rsidRDefault="003669B2" w:rsidP="00E371BD">
      <w:r w:rsidRPr="003669B2">
        <w:t>BCA</w:t>
      </w:r>
      <w:r w:rsidR="00866B91">
        <w:t xml:space="preserve"> </w:t>
      </w:r>
      <w:r w:rsidRPr="003669B2">
        <w:t xml:space="preserve">supports efforts to strengthen and enhance legal protections for people with disability and welcomes greater alignment and consistency across legislation safeguarding the rights of individuals with protected attributes. </w:t>
      </w:r>
      <w:r w:rsidR="008A4854">
        <w:t>C</w:t>
      </w:r>
      <w:r w:rsidR="008352A1" w:rsidRPr="008352A1">
        <w:t>hanges</w:t>
      </w:r>
      <w:r w:rsidR="005E73CA">
        <w:t xml:space="preserve"> </w:t>
      </w:r>
      <w:r w:rsidR="008352A1" w:rsidRPr="008352A1">
        <w:t>to federal discrimination powers and complaint processes</w:t>
      </w:r>
      <w:r w:rsidR="007F69AB">
        <w:t xml:space="preserve"> </w:t>
      </w:r>
      <w:r w:rsidR="00915425">
        <w:t xml:space="preserve">in 2022 </w:t>
      </w:r>
      <w:r w:rsidR="009028A1">
        <w:t>provid</w:t>
      </w:r>
      <w:r w:rsidR="008A4854">
        <w:t>e</w:t>
      </w:r>
      <w:r w:rsidR="00AE72E3">
        <w:t xml:space="preserve"> </w:t>
      </w:r>
      <w:r w:rsidR="00C85331">
        <w:t xml:space="preserve">new </w:t>
      </w:r>
      <w:r w:rsidR="009028A1" w:rsidRPr="009028A1">
        <w:t>power</w:t>
      </w:r>
      <w:r w:rsidR="00CA1299">
        <w:t>s</w:t>
      </w:r>
      <w:r w:rsidR="009028A1" w:rsidRPr="009028A1">
        <w:t xml:space="preserve"> for the </w:t>
      </w:r>
      <w:r w:rsidR="00AE72E3">
        <w:t xml:space="preserve">Australian Human Rights </w:t>
      </w:r>
      <w:r w:rsidR="009028A1" w:rsidRPr="009028A1">
        <w:t>Commission</w:t>
      </w:r>
      <w:r w:rsidR="008A4854">
        <w:t xml:space="preserve"> (AHRC)</w:t>
      </w:r>
      <w:r w:rsidR="009028A1" w:rsidRPr="009028A1">
        <w:t xml:space="preserve"> to inquire into patterns of discrimination (‘systemic unlawful discrimination’)</w:t>
      </w:r>
      <w:r w:rsidR="00AE72E3">
        <w:t xml:space="preserve"> </w:t>
      </w:r>
      <w:r w:rsidR="00C85331">
        <w:t xml:space="preserve">and </w:t>
      </w:r>
      <w:r w:rsidR="00B11C39">
        <w:t>i</w:t>
      </w:r>
      <w:r w:rsidR="00C85331" w:rsidRPr="00C85331">
        <w:t>mprov</w:t>
      </w:r>
      <w:r w:rsidR="00C85331">
        <w:t>e</w:t>
      </w:r>
      <w:r w:rsidR="00B11C39">
        <w:t>d</w:t>
      </w:r>
      <w:r w:rsidR="00C85331" w:rsidRPr="00C85331">
        <w:t xml:space="preserve"> protection from ‘victimisation’, to prevent unfair treatment of people involved in making a complaint of discrimination. </w:t>
      </w:r>
    </w:p>
    <w:p w14:paraId="41922BF9" w14:textId="42290A35" w:rsidR="00936B17" w:rsidRDefault="0020314D" w:rsidP="00E371BD">
      <w:r>
        <w:t xml:space="preserve">Concurrent </w:t>
      </w:r>
      <w:r w:rsidR="00F63C6B" w:rsidRPr="003669B2">
        <w:t xml:space="preserve">review of the ADA with the </w:t>
      </w:r>
      <w:r w:rsidR="003669B2" w:rsidRPr="003669B2">
        <w:t xml:space="preserve">review of </w:t>
      </w:r>
      <w:r w:rsidR="00F63C6B">
        <w:t xml:space="preserve">the </w:t>
      </w:r>
      <w:r w:rsidR="00F63C6B" w:rsidRPr="00F63C6B">
        <w:rPr>
          <w:i/>
          <w:iCs/>
        </w:rPr>
        <w:t>Disability Discrimination Act 1992</w:t>
      </w:r>
      <w:r w:rsidR="006C0C01">
        <w:rPr>
          <w:i/>
          <w:iCs/>
        </w:rPr>
        <w:t xml:space="preserve"> (DDA)</w:t>
      </w:r>
      <w:r w:rsidR="00F63C6B" w:rsidRPr="00F63C6B">
        <w:rPr>
          <w:i/>
          <w:iCs/>
        </w:rPr>
        <w:t>(</w:t>
      </w:r>
      <w:proofErr w:type="spellStart"/>
      <w:r w:rsidR="00F63C6B" w:rsidRPr="00F63C6B">
        <w:rPr>
          <w:i/>
          <w:iCs/>
        </w:rPr>
        <w:t>Cth</w:t>
      </w:r>
      <w:proofErr w:type="spellEnd"/>
      <w:r w:rsidR="00F63C6B" w:rsidRPr="00F63C6B">
        <w:rPr>
          <w:i/>
          <w:iCs/>
        </w:rPr>
        <w:t>)</w:t>
      </w:r>
      <w:r w:rsidR="003669B2" w:rsidRPr="003669B2">
        <w:t xml:space="preserve"> present</w:t>
      </w:r>
      <w:r w:rsidR="00BA55B9">
        <w:t>s</w:t>
      </w:r>
      <w:r w:rsidR="003669B2" w:rsidRPr="003669B2">
        <w:t xml:space="preserve"> a valuable opportunity to modernise and harmonise </w:t>
      </w:r>
      <w:r w:rsidR="00040B1F">
        <w:t>the</w:t>
      </w:r>
      <w:r w:rsidR="00F353AB">
        <w:t xml:space="preserve"> </w:t>
      </w:r>
      <w:r w:rsidR="00A53E6D">
        <w:t xml:space="preserve">ADA </w:t>
      </w:r>
      <w:r w:rsidR="005201ED">
        <w:t>with the DDA</w:t>
      </w:r>
      <w:r w:rsidR="00E63988">
        <w:t xml:space="preserve"> and ensure provisions are </w:t>
      </w:r>
      <w:r w:rsidR="00CF3751">
        <w:t>consistent and coherent</w:t>
      </w:r>
      <w:r w:rsidR="00EC62B7">
        <w:t>.</w:t>
      </w:r>
      <w:r w:rsidR="005201ED">
        <w:t xml:space="preserve"> </w:t>
      </w:r>
    </w:p>
    <w:p w14:paraId="68020670" w14:textId="2E183D5E" w:rsidR="00936B17" w:rsidRDefault="00936B17" w:rsidP="00E371BD">
      <w:r w:rsidRPr="00936B17">
        <w:rPr>
          <w:b/>
          <w:bCs/>
        </w:rPr>
        <w:t>To achieve systemic reform, BCA advocates for the alignment of Commonwealth and State/Territory anti-discrimination legislation</w:t>
      </w:r>
      <w:r w:rsidR="00420146">
        <w:rPr>
          <w:b/>
          <w:bCs/>
        </w:rPr>
        <w:t xml:space="preserve"> to reduce confusion</w:t>
      </w:r>
      <w:r w:rsidR="00CA6604">
        <w:rPr>
          <w:b/>
          <w:bCs/>
        </w:rPr>
        <w:t>,</w:t>
      </w:r>
      <w:r w:rsidR="00160EB0">
        <w:rPr>
          <w:b/>
          <w:bCs/>
        </w:rPr>
        <w:t xml:space="preserve"> avoid gaps and contradictions</w:t>
      </w:r>
      <w:r w:rsidR="00AF58A3">
        <w:rPr>
          <w:b/>
          <w:bCs/>
        </w:rPr>
        <w:t>,</w:t>
      </w:r>
      <w:r w:rsidR="00160EB0">
        <w:rPr>
          <w:b/>
          <w:bCs/>
        </w:rPr>
        <w:t xml:space="preserve"> </w:t>
      </w:r>
      <w:r w:rsidR="00420146">
        <w:rPr>
          <w:b/>
          <w:bCs/>
        </w:rPr>
        <w:t>and enhance compliance across jurisdictions</w:t>
      </w:r>
      <w:r w:rsidR="009A6BB0">
        <w:rPr>
          <w:b/>
          <w:bCs/>
        </w:rPr>
        <w:t>.</w:t>
      </w:r>
    </w:p>
    <w:p w14:paraId="1E2187A9" w14:textId="77777777" w:rsidR="00FC6445" w:rsidRDefault="00FC6445" w:rsidP="002F6CE0"/>
    <w:p w14:paraId="6DA85EC2" w14:textId="68CD1244" w:rsidR="00B6282A" w:rsidRDefault="00B6282A" w:rsidP="00E371BD"/>
    <w:p w14:paraId="18B136F3" w14:textId="77777777" w:rsidR="000D539F" w:rsidRPr="003669B2" w:rsidRDefault="000D539F" w:rsidP="00E371BD"/>
    <w:p w14:paraId="16131C56" w14:textId="6A9217DC" w:rsidR="00D369EE" w:rsidRDefault="00BF12E1" w:rsidP="005E29C4">
      <w:pPr>
        <w:pStyle w:val="Heading2"/>
        <w:rPr>
          <w:rFonts w:cs="Arial"/>
        </w:rPr>
      </w:pPr>
      <w:bookmarkStart w:id="22" w:name="_Toc59048287"/>
      <w:bookmarkStart w:id="23" w:name="_Toc175845361"/>
      <w:bookmarkStart w:id="24" w:name="_Toc205896810"/>
      <w:r w:rsidRPr="6574B420">
        <w:rPr>
          <w:rFonts w:cs="Arial"/>
        </w:rPr>
        <w:t>3</w:t>
      </w:r>
      <w:r w:rsidR="00A36708" w:rsidRPr="6574B420">
        <w:rPr>
          <w:rFonts w:cs="Arial"/>
        </w:rPr>
        <w:t xml:space="preserve">. </w:t>
      </w:r>
      <w:bookmarkEnd w:id="22"/>
      <w:r w:rsidRPr="6574B420">
        <w:rPr>
          <w:rFonts w:cs="Arial"/>
        </w:rPr>
        <w:t>Blind Citizens Australia’s s</w:t>
      </w:r>
      <w:r w:rsidR="00A36708" w:rsidRPr="6574B420">
        <w:rPr>
          <w:rFonts w:cs="Arial"/>
        </w:rPr>
        <w:t>ubmissio</w:t>
      </w:r>
      <w:r w:rsidR="73DCB0F7" w:rsidRPr="6574B420">
        <w:rPr>
          <w:rFonts w:cs="Arial"/>
        </w:rPr>
        <w:t>n</w:t>
      </w:r>
      <w:bookmarkStart w:id="25" w:name="_Toc175845362"/>
      <w:bookmarkEnd w:id="23"/>
      <w:bookmarkEnd w:id="24"/>
    </w:p>
    <w:p w14:paraId="48734B92" w14:textId="5B06EA9D" w:rsidR="00A22224" w:rsidRDefault="00A22224" w:rsidP="00375819">
      <w:pPr>
        <w:pStyle w:val="Heading3"/>
        <w:numPr>
          <w:ilvl w:val="1"/>
          <w:numId w:val="11"/>
        </w:numPr>
      </w:pPr>
      <w:bookmarkStart w:id="26" w:name="_Toc205896811"/>
      <w:bookmarkEnd w:id="25"/>
      <w:r w:rsidRPr="007C0AD2">
        <w:t>P</w:t>
      </w:r>
      <w:r>
        <w:t>rotected attributes</w:t>
      </w:r>
      <w:bookmarkEnd w:id="26"/>
      <w:r w:rsidRPr="007C0AD2">
        <w:t xml:space="preserve"> </w:t>
      </w:r>
    </w:p>
    <w:p w14:paraId="544690D2" w14:textId="1556D641" w:rsidR="00EC640C" w:rsidRDefault="00073181" w:rsidP="00622E2A">
      <w:pPr>
        <w:pStyle w:val="Heading4"/>
      </w:pPr>
      <w:r>
        <w:t xml:space="preserve">3.1.1 </w:t>
      </w:r>
      <w:r w:rsidR="00736F41">
        <w:t>Definition</w:t>
      </w:r>
      <w:r w:rsidR="00B05BA2">
        <w:t xml:space="preserve"> of disability</w:t>
      </w:r>
      <w:r w:rsidR="009A697D" w:rsidRPr="009A697D">
        <w:t xml:space="preserve"> </w:t>
      </w:r>
    </w:p>
    <w:p w14:paraId="1C422410" w14:textId="337CBCDC" w:rsidR="009E593F" w:rsidRPr="009E593F" w:rsidRDefault="00392B8A" w:rsidP="009E593F">
      <w:r>
        <w:t xml:space="preserve">BCA agrees that the words used to define disability in the current </w:t>
      </w:r>
      <w:r w:rsidR="48B1C4BD">
        <w:t>ADA</w:t>
      </w:r>
      <w:r>
        <w:t xml:space="preserve"> are outdated and recommends modernising the language</w:t>
      </w:r>
      <w:r w:rsidR="008459D7">
        <w:t xml:space="preserve"> </w:t>
      </w:r>
      <w:r w:rsidR="005F756B">
        <w:t xml:space="preserve">in line with </w:t>
      </w:r>
      <w:r w:rsidR="004316B3">
        <w:t xml:space="preserve">more </w:t>
      </w:r>
      <w:r>
        <w:t xml:space="preserve">contemporary social </w:t>
      </w:r>
      <w:r w:rsidR="004316B3">
        <w:t>and human rights</w:t>
      </w:r>
      <w:r w:rsidR="006A7648">
        <w:t xml:space="preserve"> </w:t>
      </w:r>
      <w:r w:rsidR="005C04E5">
        <w:t>models</w:t>
      </w:r>
      <w:r w:rsidR="006A7648">
        <w:t xml:space="preserve"> such as that</w:t>
      </w:r>
      <w:r>
        <w:t xml:space="preserve"> provided by the </w:t>
      </w:r>
      <w:r w:rsidRPr="3539C7C2">
        <w:rPr>
          <w:i/>
          <w:iCs/>
        </w:rPr>
        <w:t>United Nations Convention on the Rights of Persons with Disabilities (UNCRPD)</w:t>
      </w:r>
      <w:r w:rsidR="006338D3">
        <w:rPr>
          <w:i/>
          <w:iCs/>
        </w:rPr>
        <w:t>.</w:t>
      </w:r>
      <w:r w:rsidR="00EE07C7" w:rsidRPr="00EE07C7">
        <w:t xml:space="preserve"> </w:t>
      </w:r>
      <w:r w:rsidR="009E593F">
        <w:t>M</w:t>
      </w:r>
      <w:r w:rsidR="009E593F" w:rsidRPr="009E593F">
        <w:t>odernisation of the definition</w:t>
      </w:r>
      <w:r w:rsidR="009E593F">
        <w:t xml:space="preserve"> of disability</w:t>
      </w:r>
      <w:r w:rsidR="009E593F" w:rsidRPr="009E593F">
        <w:t xml:space="preserve"> is a priority discussion topic</w:t>
      </w:r>
      <w:r w:rsidR="00645562">
        <w:t xml:space="preserve"> for the DDA </w:t>
      </w:r>
      <w:r w:rsidR="002D6A45">
        <w:t>review and</w:t>
      </w:r>
      <w:r w:rsidR="00C66923">
        <w:t xml:space="preserve"> </w:t>
      </w:r>
      <w:r w:rsidR="005177C2">
        <w:t xml:space="preserve">seeks to </w:t>
      </w:r>
      <w:r w:rsidR="00050E01">
        <w:t>ensur</w:t>
      </w:r>
      <w:r w:rsidR="009779A3">
        <w:t>e</w:t>
      </w:r>
      <w:r w:rsidR="00050E01">
        <w:t xml:space="preserve"> </w:t>
      </w:r>
      <w:r w:rsidR="009E593F" w:rsidRPr="009E593F">
        <w:t>the legal definition of disability</w:t>
      </w:r>
      <w:r w:rsidR="009779A3">
        <w:t xml:space="preserve"> is</w:t>
      </w:r>
      <w:r w:rsidR="009E593F" w:rsidRPr="009E593F">
        <w:t xml:space="preserve"> clear</w:t>
      </w:r>
      <w:r w:rsidR="008F7B23">
        <w:t>,</w:t>
      </w:r>
      <w:r w:rsidR="009E593F" w:rsidRPr="009E593F">
        <w:t xml:space="preserve"> and appropriately broad but reframed to reflect modern terminology. </w:t>
      </w:r>
      <w:r w:rsidR="007F64CC">
        <w:t xml:space="preserve">BCA </w:t>
      </w:r>
      <w:r w:rsidR="00891C7F">
        <w:t xml:space="preserve">recommends that </w:t>
      </w:r>
      <w:r w:rsidR="007F64CC">
        <w:t>the ADA</w:t>
      </w:r>
      <w:r w:rsidR="004A7899">
        <w:t xml:space="preserve"> utilise the revised DDA </w:t>
      </w:r>
      <w:r w:rsidR="00C31F15">
        <w:t>definition to support consistency</w:t>
      </w:r>
      <w:r w:rsidR="007F64CC">
        <w:t xml:space="preserve">. </w:t>
      </w:r>
      <w:r w:rsidR="009E593F" w:rsidRPr="009E593F">
        <w:t> </w:t>
      </w:r>
    </w:p>
    <w:p w14:paraId="2C8171B4" w14:textId="6BB3E556" w:rsidR="00C37271" w:rsidRDefault="00C37271" w:rsidP="00C37271">
      <w:pPr>
        <w:rPr>
          <w:b/>
          <w:bCs/>
        </w:rPr>
      </w:pPr>
      <w:r w:rsidRPr="04863CC6">
        <w:rPr>
          <w:b/>
          <w:bCs/>
        </w:rPr>
        <w:t>Recommendation</w:t>
      </w:r>
      <w:r w:rsidR="00FA4014" w:rsidRPr="04863CC6">
        <w:rPr>
          <w:b/>
          <w:bCs/>
        </w:rPr>
        <w:t xml:space="preserve"> 1</w:t>
      </w:r>
      <w:r w:rsidRPr="04863CC6">
        <w:rPr>
          <w:b/>
          <w:bCs/>
        </w:rPr>
        <w:t>:</w:t>
      </w:r>
      <w:r w:rsidR="00FA4014" w:rsidRPr="04863CC6">
        <w:rPr>
          <w:b/>
          <w:bCs/>
        </w:rPr>
        <w:t xml:space="preserve"> </w:t>
      </w:r>
      <w:r w:rsidRPr="04863CC6">
        <w:rPr>
          <w:b/>
          <w:bCs/>
        </w:rPr>
        <w:t xml:space="preserve">Update </w:t>
      </w:r>
      <w:r w:rsidR="003669B2" w:rsidRPr="04863CC6">
        <w:rPr>
          <w:b/>
          <w:bCs/>
        </w:rPr>
        <w:t>the ADA</w:t>
      </w:r>
      <w:r w:rsidRPr="04863CC6">
        <w:rPr>
          <w:b/>
          <w:bCs/>
        </w:rPr>
        <w:t xml:space="preserve"> to </w:t>
      </w:r>
      <w:r w:rsidR="006A58C5" w:rsidRPr="04863CC6">
        <w:rPr>
          <w:b/>
          <w:bCs/>
        </w:rPr>
        <w:t xml:space="preserve">modernise </w:t>
      </w:r>
      <w:r w:rsidR="00462BAF">
        <w:rPr>
          <w:b/>
          <w:bCs/>
        </w:rPr>
        <w:t>language</w:t>
      </w:r>
      <w:r w:rsidR="006A58C5" w:rsidRPr="04863CC6">
        <w:rPr>
          <w:b/>
          <w:bCs/>
        </w:rPr>
        <w:t xml:space="preserve"> and </w:t>
      </w:r>
      <w:r w:rsidRPr="04863CC6">
        <w:rPr>
          <w:b/>
          <w:bCs/>
        </w:rPr>
        <w:t xml:space="preserve">reflect contemporary understandings of disability, including </w:t>
      </w:r>
      <w:r w:rsidR="0084125B" w:rsidRPr="04863CC6">
        <w:rPr>
          <w:b/>
          <w:bCs/>
        </w:rPr>
        <w:t xml:space="preserve">those specific to </w:t>
      </w:r>
      <w:r w:rsidRPr="04863CC6">
        <w:rPr>
          <w:b/>
          <w:bCs/>
        </w:rPr>
        <w:t>blindness and vision</w:t>
      </w:r>
      <w:r w:rsidR="5BE7F27A" w:rsidRPr="04863CC6">
        <w:rPr>
          <w:b/>
          <w:bCs/>
        </w:rPr>
        <w:t xml:space="preserve"> impairment</w:t>
      </w:r>
      <w:r w:rsidR="004A7899">
        <w:rPr>
          <w:b/>
          <w:bCs/>
        </w:rPr>
        <w:t xml:space="preserve">, and align with the </w:t>
      </w:r>
      <w:r w:rsidR="00AB786E">
        <w:rPr>
          <w:b/>
          <w:bCs/>
        </w:rPr>
        <w:t xml:space="preserve">revised </w:t>
      </w:r>
      <w:r w:rsidR="004A7899">
        <w:rPr>
          <w:b/>
          <w:bCs/>
        </w:rPr>
        <w:t>DDA definition</w:t>
      </w:r>
      <w:r w:rsidRPr="04863CC6">
        <w:rPr>
          <w:b/>
          <w:bCs/>
        </w:rPr>
        <w:t>.</w:t>
      </w:r>
    </w:p>
    <w:p w14:paraId="1E1D7C41" w14:textId="77777777" w:rsidR="00D6338F" w:rsidRPr="00FA4014" w:rsidRDefault="00D6338F" w:rsidP="00C37271">
      <w:pPr>
        <w:rPr>
          <w:b/>
          <w:bCs/>
        </w:rPr>
      </w:pPr>
    </w:p>
    <w:p w14:paraId="3CBABBC4" w14:textId="4D7CDEC9" w:rsidR="007C5C5B" w:rsidRPr="00255A7C" w:rsidRDefault="0045378D" w:rsidP="00622E2A">
      <w:pPr>
        <w:pStyle w:val="Heading4"/>
      </w:pPr>
      <w:r w:rsidRPr="00255A7C">
        <w:t>3.1.2</w:t>
      </w:r>
      <w:r w:rsidR="00073181">
        <w:t xml:space="preserve"> </w:t>
      </w:r>
      <w:r w:rsidR="00CC2DB2" w:rsidRPr="00255A7C">
        <w:t>I</w:t>
      </w:r>
      <w:r w:rsidR="00736F41" w:rsidRPr="00255A7C">
        <w:t>ntersectionality</w:t>
      </w:r>
      <w:r w:rsidR="007C5C5B" w:rsidRPr="00255A7C">
        <w:t xml:space="preserve"> </w:t>
      </w:r>
    </w:p>
    <w:p w14:paraId="59D99E9B" w14:textId="4DA976CF" w:rsidR="00B05BA2" w:rsidRDefault="00CC6E69" w:rsidP="009C78CC">
      <w:r>
        <w:t xml:space="preserve">BCA </w:t>
      </w:r>
      <w:r w:rsidR="00A22224">
        <w:t xml:space="preserve">agrees that the </w:t>
      </w:r>
      <w:r w:rsidR="00A22224" w:rsidRPr="00A22224">
        <w:t>ADA should protect against “intersectional discrimination”</w:t>
      </w:r>
      <w:r w:rsidR="00B05BA2">
        <w:t xml:space="preserve"> as </w:t>
      </w:r>
      <w:r w:rsidR="00B05BA2" w:rsidRPr="00A22224">
        <w:t>people can experience discrimination based on more than one attribute, or a combination of protected attributes</w:t>
      </w:r>
      <w:r w:rsidR="00B05BA2">
        <w:t xml:space="preserve">. </w:t>
      </w:r>
      <w:r w:rsidR="00A22224" w:rsidRPr="00A22224">
        <w:t xml:space="preserve"> </w:t>
      </w:r>
    </w:p>
    <w:p w14:paraId="422BAA09" w14:textId="763DF874" w:rsidR="009C78CC" w:rsidRPr="009C78CC" w:rsidRDefault="00B05BA2" w:rsidP="009C78CC">
      <w:r>
        <w:t xml:space="preserve">Intersectionality is </w:t>
      </w:r>
      <w:r w:rsidRPr="00944942">
        <w:t xml:space="preserve">discussed at length in the </w:t>
      </w:r>
      <w:r w:rsidRPr="00B05BA2">
        <w:rPr>
          <w:i/>
          <w:iCs/>
        </w:rPr>
        <w:t xml:space="preserve">Final Report of the Royal Commission into Violence, Abuse, Neglect and Exploitation of People with Disability (the </w:t>
      </w:r>
      <w:r w:rsidR="00E85C80">
        <w:rPr>
          <w:i/>
          <w:iCs/>
        </w:rPr>
        <w:t xml:space="preserve">Disability </w:t>
      </w:r>
      <w:r w:rsidRPr="00B05BA2">
        <w:rPr>
          <w:i/>
          <w:iCs/>
        </w:rPr>
        <w:t>Royal Commission</w:t>
      </w:r>
      <w:r w:rsidR="008734BD">
        <w:rPr>
          <w:i/>
          <w:iCs/>
        </w:rPr>
        <w:t xml:space="preserve"> Report</w:t>
      </w:r>
      <w:r w:rsidRPr="00B05BA2">
        <w:rPr>
          <w:i/>
          <w:iCs/>
        </w:rPr>
        <w:t>)</w:t>
      </w:r>
      <w:r>
        <w:rPr>
          <w:i/>
          <w:iCs/>
        </w:rPr>
        <w:t xml:space="preserve"> </w:t>
      </w:r>
      <w:r>
        <w:t>and c</w:t>
      </w:r>
      <w:r w:rsidR="009C78CC" w:rsidRPr="009C78CC">
        <w:t xml:space="preserve">onsultation with our members has indicated that individuals can be uncertain about the pathway of lodging a complaint when they experience multiple instances of discrimination across different attributes. </w:t>
      </w:r>
    </w:p>
    <w:p w14:paraId="5B573840" w14:textId="1A1D203B" w:rsidR="00FA4014" w:rsidRPr="00E27C37" w:rsidRDefault="00FA4014" w:rsidP="00FA4014">
      <w:pPr>
        <w:rPr>
          <w:b/>
          <w:bCs/>
        </w:rPr>
      </w:pPr>
      <w:r w:rsidRPr="00E27C37">
        <w:rPr>
          <w:b/>
          <w:bCs/>
        </w:rPr>
        <w:t>Recommendation 2</w:t>
      </w:r>
      <w:r w:rsidR="00EC0230">
        <w:rPr>
          <w:b/>
          <w:bCs/>
        </w:rPr>
        <w:t>:</w:t>
      </w:r>
      <w:r w:rsidRPr="00E27C37">
        <w:rPr>
          <w:b/>
          <w:bCs/>
        </w:rPr>
        <w:t xml:space="preserve"> Recognise intersectionality</w:t>
      </w:r>
      <w:r w:rsidR="00E85C80">
        <w:rPr>
          <w:b/>
          <w:bCs/>
        </w:rPr>
        <w:t xml:space="preserve"> in the ADA</w:t>
      </w:r>
      <w:r w:rsidR="00E27C37" w:rsidRPr="00E27C37">
        <w:rPr>
          <w:b/>
          <w:bCs/>
        </w:rPr>
        <w:t xml:space="preserve"> and prohibit unlawful conduct that is based on more than one, or a combination of, protected attributes. </w:t>
      </w:r>
      <w:r w:rsidRPr="00E27C37">
        <w:rPr>
          <w:b/>
          <w:bCs/>
        </w:rPr>
        <w:t xml:space="preserve"> </w:t>
      </w:r>
    </w:p>
    <w:p w14:paraId="7AAE615E" w14:textId="060852E3" w:rsidR="005F0D68" w:rsidRPr="00255A7C" w:rsidRDefault="00990D6A" w:rsidP="00622E2A">
      <w:pPr>
        <w:pStyle w:val="Heading4"/>
      </w:pPr>
      <w:r w:rsidRPr="00255A7C">
        <w:lastRenderedPageBreak/>
        <w:t>3.1.3</w:t>
      </w:r>
      <w:r w:rsidR="00073181">
        <w:t xml:space="preserve"> </w:t>
      </w:r>
      <w:r w:rsidR="005F0D68" w:rsidRPr="00255A7C">
        <w:t>Relative or associate</w:t>
      </w:r>
    </w:p>
    <w:p w14:paraId="79825A10" w14:textId="59C3696F" w:rsidR="00AB7CD8" w:rsidRDefault="00B22C86" w:rsidP="0050163B">
      <w:pPr>
        <w:pStyle w:val="NormalText"/>
        <w:spacing w:line="360" w:lineRule="auto"/>
      </w:pPr>
      <w:r w:rsidRPr="0050163B">
        <w:rPr>
          <w:rFonts w:ascii="Arial" w:eastAsia="MS Mincho" w:hAnsi="Arial" w:cs="Arial"/>
          <w:szCs w:val="16"/>
          <w:lang w:eastAsia="ja-JP"/>
        </w:rPr>
        <w:t xml:space="preserve">BCA welcomes the suggestion to include </w:t>
      </w:r>
      <w:r w:rsidR="007F5CE1" w:rsidRPr="0050163B">
        <w:rPr>
          <w:rFonts w:ascii="Arial" w:eastAsia="MS Mincho" w:hAnsi="Arial" w:cs="Arial"/>
          <w:szCs w:val="16"/>
          <w:lang w:eastAsia="ja-JP"/>
        </w:rPr>
        <w:t xml:space="preserve">in the ADA </w:t>
      </w:r>
      <w:r w:rsidRPr="0050163B">
        <w:rPr>
          <w:rFonts w:ascii="Arial" w:eastAsia="MS Mincho" w:hAnsi="Arial" w:cs="Arial"/>
          <w:szCs w:val="16"/>
          <w:lang w:eastAsia="ja-JP"/>
        </w:rPr>
        <w:t>coverage of associates (namely parents) with disabilit</w:t>
      </w:r>
      <w:r w:rsidR="00A05DCC">
        <w:rPr>
          <w:rFonts w:ascii="Arial" w:eastAsia="MS Mincho" w:hAnsi="Arial" w:cs="Arial"/>
          <w:szCs w:val="16"/>
          <w:lang w:eastAsia="ja-JP"/>
        </w:rPr>
        <w:t>y</w:t>
      </w:r>
      <w:r w:rsidRPr="0050163B">
        <w:rPr>
          <w:rFonts w:ascii="Arial" w:eastAsia="MS Mincho" w:hAnsi="Arial" w:cs="Arial"/>
          <w:szCs w:val="16"/>
          <w:lang w:eastAsia="ja-JP"/>
        </w:rPr>
        <w:t xml:space="preserve"> who support children with disability and associates with disability who care or support children who do not have a disability. Many parents who are blind or vision impaired have experienced clear discrimination when trying to access materials in accessible formats such as school newsletters, student reports, permission slips, information on noticeboards and all other printed material supplied to parents. </w:t>
      </w:r>
      <w:r w:rsidR="00282F59" w:rsidRPr="0050163B">
        <w:rPr>
          <w:rFonts w:ascii="Arial" w:eastAsia="MS Mincho" w:hAnsi="Arial" w:cs="Arial"/>
          <w:szCs w:val="16"/>
          <w:lang w:eastAsia="ja-JP"/>
        </w:rPr>
        <w:t>BCA</w:t>
      </w:r>
      <w:r w:rsidRPr="0050163B">
        <w:rPr>
          <w:rFonts w:ascii="Arial" w:eastAsia="MS Mincho" w:hAnsi="Arial" w:cs="Arial"/>
          <w:szCs w:val="16"/>
          <w:lang w:eastAsia="ja-JP"/>
        </w:rPr>
        <w:t xml:space="preserve"> members have noted that they have experienced complete disregard and, at times, hostility to the provision of </w:t>
      </w:r>
      <w:r w:rsidR="007457F9">
        <w:rPr>
          <w:rFonts w:ascii="Arial" w:eastAsia="MS Mincho" w:hAnsi="Arial" w:cs="Arial"/>
          <w:szCs w:val="16"/>
          <w:lang w:eastAsia="ja-JP"/>
        </w:rPr>
        <w:t>accommodations</w:t>
      </w:r>
      <w:r w:rsidRPr="0050163B">
        <w:rPr>
          <w:rFonts w:ascii="Arial" w:eastAsia="MS Mincho" w:hAnsi="Arial" w:cs="Arial"/>
          <w:szCs w:val="16"/>
          <w:lang w:eastAsia="ja-JP"/>
        </w:rPr>
        <w:t xml:space="preserve"> to facilitate a parent’s use of facilities, such as providing verbal information as to where the child’s school bag is hung,</w:t>
      </w:r>
      <w:r w:rsidR="77C9ACB1" w:rsidRPr="0050163B">
        <w:rPr>
          <w:rFonts w:ascii="Arial" w:eastAsia="MS Mincho" w:hAnsi="Arial" w:cs="Arial"/>
          <w:szCs w:val="16"/>
          <w:lang w:eastAsia="ja-JP"/>
        </w:rPr>
        <w:t xml:space="preserve"> and</w:t>
      </w:r>
      <w:r w:rsidRPr="0050163B">
        <w:rPr>
          <w:rFonts w:ascii="Arial" w:eastAsia="MS Mincho" w:hAnsi="Arial" w:cs="Arial"/>
          <w:szCs w:val="16"/>
          <w:lang w:eastAsia="ja-JP"/>
        </w:rPr>
        <w:t xml:space="preserve"> arranging an alternative pick up point. Many note that they feel like their child is experiencing a double disadvantage</w:t>
      </w:r>
      <w:r w:rsidR="4D696C77" w:rsidRPr="00B22C86">
        <w:t>.</w:t>
      </w:r>
      <w:r w:rsidRPr="74801A73">
        <w:rPr>
          <w:rStyle w:val="EndnoteReference"/>
        </w:rPr>
        <w:endnoteReference w:id="2"/>
      </w:r>
      <w:r w:rsidR="00AB7CD8">
        <w:t xml:space="preserve"> </w:t>
      </w:r>
    </w:p>
    <w:p w14:paraId="02989F4E" w14:textId="76197454" w:rsidR="005F0D68" w:rsidRDefault="005F0D68" w:rsidP="005F0D68">
      <w:pPr>
        <w:rPr>
          <w:b/>
          <w:bCs/>
        </w:rPr>
      </w:pPr>
      <w:r w:rsidRPr="00E27C37">
        <w:rPr>
          <w:b/>
          <w:bCs/>
        </w:rPr>
        <w:t>Recommendation</w:t>
      </w:r>
      <w:r w:rsidR="00EC0230">
        <w:rPr>
          <w:b/>
          <w:bCs/>
        </w:rPr>
        <w:t xml:space="preserve"> 3:</w:t>
      </w:r>
      <w:r w:rsidRPr="00E27C37">
        <w:rPr>
          <w:b/>
          <w:bCs/>
        </w:rPr>
        <w:t xml:space="preserve"> </w:t>
      </w:r>
      <w:r>
        <w:rPr>
          <w:b/>
          <w:bCs/>
        </w:rPr>
        <w:t xml:space="preserve">Extend </w:t>
      </w:r>
      <w:r w:rsidR="003669B2">
        <w:rPr>
          <w:b/>
          <w:bCs/>
        </w:rPr>
        <w:t>the ADA</w:t>
      </w:r>
      <w:r>
        <w:rPr>
          <w:b/>
          <w:bCs/>
        </w:rPr>
        <w:t xml:space="preserve"> to include provision for an attribute which protects against discrimination based on being a relative or associate of someone with any other protected attribute. </w:t>
      </w:r>
    </w:p>
    <w:p w14:paraId="5186CD1B" w14:textId="7A34C2E8" w:rsidR="005F428A" w:rsidRPr="005F428A" w:rsidRDefault="00375819" w:rsidP="005216C3">
      <w:pPr>
        <w:pStyle w:val="Heading4"/>
      </w:pPr>
      <w:r>
        <w:t>3.1.4</w:t>
      </w:r>
      <w:r w:rsidR="00073181">
        <w:t xml:space="preserve"> </w:t>
      </w:r>
      <w:r w:rsidR="005F428A" w:rsidRPr="00CC5EF2">
        <w:t xml:space="preserve">Assistance Animals </w:t>
      </w:r>
    </w:p>
    <w:p w14:paraId="3B7752F6" w14:textId="024469CB" w:rsidR="005F428A" w:rsidRDefault="005F428A" w:rsidP="005F428A">
      <w:pPr>
        <w:rPr>
          <w:lang w:eastAsia="en-AU"/>
        </w:rPr>
      </w:pPr>
      <w:r w:rsidRPr="00E33404">
        <w:rPr>
          <w:lang w:eastAsia="en-AU"/>
        </w:rPr>
        <w:t xml:space="preserve">BCA agrees with </w:t>
      </w:r>
      <w:r>
        <w:rPr>
          <w:lang w:eastAsia="en-AU"/>
        </w:rPr>
        <w:t xml:space="preserve">submissions by </w:t>
      </w:r>
      <w:r w:rsidRPr="00E33404">
        <w:rPr>
          <w:lang w:eastAsia="en-AU"/>
        </w:rPr>
        <w:t xml:space="preserve">Vision Australia </w:t>
      </w:r>
      <w:r>
        <w:rPr>
          <w:lang w:eastAsia="en-AU"/>
        </w:rPr>
        <w:t xml:space="preserve">and Guide Dogs NSW/ACT </w:t>
      </w:r>
      <w:r w:rsidRPr="00E33404">
        <w:rPr>
          <w:lang w:eastAsia="en-AU"/>
        </w:rPr>
        <w:t xml:space="preserve">to modernise provisions </w:t>
      </w:r>
      <w:r>
        <w:rPr>
          <w:lang w:eastAsia="en-AU"/>
        </w:rPr>
        <w:t xml:space="preserve">for assistance animals and ensure </w:t>
      </w:r>
      <w:r w:rsidRPr="00E33404">
        <w:rPr>
          <w:lang w:eastAsia="en-AU"/>
        </w:rPr>
        <w:t>align</w:t>
      </w:r>
      <w:r>
        <w:rPr>
          <w:lang w:eastAsia="en-AU"/>
        </w:rPr>
        <w:t xml:space="preserve">ment to </w:t>
      </w:r>
      <w:r w:rsidRPr="00E33404">
        <w:rPr>
          <w:lang w:eastAsia="en-AU"/>
        </w:rPr>
        <w:t>the</w:t>
      </w:r>
      <w:r>
        <w:rPr>
          <w:lang w:eastAsia="en-AU"/>
        </w:rPr>
        <w:t xml:space="preserve"> Australian Government’s</w:t>
      </w:r>
      <w:r w:rsidRPr="00EC2C03">
        <w:rPr>
          <w:i/>
          <w:iCs/>
          <w:lang w:eastAsia="en-AU"/>
        </w:rPr>
        <w:t xml:space="preserve"> National Principles for Regulation of Assistance Animals</w:t>
      </w:r>
      <w:r w:rsidRPr="00E33404">
        <w:rPr>
          <w:lang w:eastAsia="en-AU"/>
        </w:rPr>
        <w:t xml:space="preserve"> </w:t>
      </w:r>
      <w:r>
        <w:rPr>
          <w:lang w:eastAsia="en-AU"/>
        </w:rPr>
        <w:t>(</w:t>
      </w:r>
      <w:r w:rsidRPr="00E33404">
        <w:rPr>
          <w:lang w:eastAsia="en-AU"/>
        </w:rPr>
        <w:t>currently under consideration</w:t>
      </w:r>
      <w:r>
        <w:rPr>
          <w:lang w:eastAsia="en-AU"/>
        </w:rPr>
        <w:t>)</w:t>
      </w:r>
      <w:r w:rsidRPr="00E33404">
        <w:rPr>
          <w:b/>
          <w:bCs/>
          <w:lang w:eastAsia="en-AU"/>
        </w:rPr>
        <w:t>.</w:t>
      </w:r>
      <w:r w:rsidRPr="00B6467B">
        <w:rPr>
          <w:lang w:eastAsia="en-AU"/>
        </w:rPr>
        <w:t xml:space="preserve"> </w:t>
      </w:r>
    </w:p>
    <w:p w14:paraId="6BB66C26" w14:textId="77777777" w:rsidR="005F428A" w:rsidRDefault="005F428A" w:rsidP="005F428A">
      <w:pPr>
        <w:rPr>
          <w:lang w:eastAsia="en-AU"/>
        </w:rPr>
      </w:pPr>
      <w:r w:rsidRPr="00B6467B">
        <w:rPr>
          <w:lang w:eastAsia="en-AU"/>
        </w:rPr>
        <w:t>BCA supports amend</w:t>
      </w:r>
      <w:r>
        <w:rPr>
          <w:lang w:eastAsia="en-AU"/>
        </w:rPr>
        <w:t>ment to the ADA</w:t>
      </w:r>
      <w:r w:rsidRPr="00B6467B">
        <w:rPr>
          <w:lang w:eastAsia="en-AU"/>
        </w:rPr>
        <w:t xml:space="preserve"> to</w:t>
      </w:r>
      <w:r>
        <w:rPr>
          <w:lang w:eastAsia="en-AU"/>
        </w:rPr>
        <w:t xml:space="preserve"> align the definition of assistance animal with that of the DDA, </w:t>
      </w:r>
      <w:r w:rsidRPr="00B6467B">
        <w:rPr>
          <w:lang w:eastAsia="en-AU"/>
        </w:rPr>
        <w:t xml:space="preserve">allow a person with any disability covered by </w:t>
      </w:r>
      <w:r>
        <w:rPr>
          <w:lang w:eastAsia="en-AU"/>
        </w:rPr>
        <w:t>the ADA</w:t>
      </w:r>
      <w:r w:rsidRPr="00B6467B">
        <w:rPr>
          <w:lang w:eastAsia="en-AU"/>
        </w:rPr>
        <w:t xml:space="preserve"> to have or be accompanied by an assistance animal</w:t>
      </w:r>
      <w:r>
        <w:rPr>
          <w:lang w:eastAsia="en-AU"/>
        </w:rPr>
        <w:t xml:space="preserve">, and to include </w:t>
      </w:r>
      <w:r w:rsidRPr="00B6467B">
        <w:rPr>
          <w:lang w:eastAsia="en-AU"/>
        </w:rPr>
        <w:t>a requirement in the definition of assistance animal that the animal must be trained by a nationally or internationally accredited training organisation</w:t>
      </w:r>
      <w:r>
        <w:rPr>
          <w:lang w:eastAsia="en-AU"/>
        </w:rPr>
        <w:t xml:space="preserve">. </w:t>
      </w:r>
    </w:p>
    <w:p w14:paraId="0603C144" w14:textId="614BC931" w:rsidR="004B42B9" w:rsidRPr="004B42B9" w:rsidRDefault="5AF92E8D" w:rsidP="004B42B9">
      <w:pPr>
        <w:rPr>
          <w:lang w:val="en-US" w:eastAsia="en-AU"/>
        </w:rPr>
      </w:pPr>
      <w:r w:rsidRPr="04863CC6">
        <w:rPr>
          <w:lang w:eastAsia="en-AU"/>
        </w:rPr>
        <w:t>People who are b</w:t>
      </w:r>
      <w:r w:rsidR="00926D9E" w:rsidRPr="04863CC6">
        <w:rPr>
          <w:lang w:eastAsia="en-AU"/>
        </w:rPr>
        <w:t xml:space="preserve">lind </w:t>
      </w:r>
      <w:r w:rsidR="0E2081E3" w:rsidRPr="04863CC6">
        <w:rPr>
          <w:lang w:eastAsia="en-AU"/>
        </w:rPr>
        <w:t>or</w:t>
      </w:r>
      <w:r w:rsidR="00926D9E" w:rsidRPr="04863CC6">
        <w:rPr>
          <w:lang w:eastAsia="en-AU"/>
        </w:rPr>
        <w:t xml:space="preserve"> vision impaired </w:t>
      </w:r>
      <w:r w:rsidR="0035690E" w:rsidRPr="04863CC6">
        <w:rPr>
          <w:lang w:eastAsia="en-AU"/>
        </w:rPr>
        <w:t xml:space="preserve">who </w:t>
      </w:r>
      <w:r w:rsidR="00FE43D3" w:rsidRPr="04863CC6">
        <w:rPr>
          <w:lang w:eastAsia="en-AU"/>
        </w:rPr>
        <w:t>use a</w:t>
      </w:r>
      <w:r w:rsidR="00123FD1" w:rsidRPr="04863CC6">
        <w:rPr>
          <w:lang w:eastAsia="en-AU"/>
        </w:rPr>
        <w:t>n assistance animal (</w:t>
      </w:r>
      <w:r w:rsidR="00FE43D3" w:rsidRPr="04863CC6">
        <w:rPr>
          <w:lang w:eastAsia="en-AU"/>
        </w:rPr>
        <w:t>dog guide</w:t>
      </w:r>
      <w:r w:rsidR="00123FD1" w:rsidRPr="04863CC6">
        <w:rPr>
          <w:lang w:eastAsia="en-AU"/>
        </w:rPr>
        <w:t>)</w:t>
      </w:r>
      <w:r w:rsidR="00FE43D3" w:rsidRPr="04863CC6">
        <w:rPr>
          <w:lang w:eastAsia="en-AU"/>
        </w:rPr>
        <w:t xml:space="preserve"> for mobility assistance </w:t>
      </w:r>
      <w:r w:rsidR="00D53359" w:rsidRPr="04863CC6">
        <w:rPr>
          <w:lang w:eastAsia="en-AU"/>
        </w:rPr>
        <w:t>often</w:t>
      </w:r>
      <w:r w:rsidR="00872C6A" w:rsidRPr="04863CC6">
        <w:rPr>
          <w:lang w:eastAsia="en-AU"/>
        </w:rPr>
        <w:t xml:space="preserve"> experience</w:t>
      </w:r>
      <w:r w:rsidR="00FE43D3" w:rsidRPr="04863CC6">
        <w:rPr>
          <w:lang w:eastAsia="en-AU"/>
        </w:rPr>
        <w:t xml:space="preserve"> misunderstanding and </w:t>
      </w:r>
      <w:r w:rsidR="0081494D" w:rsidRPr="04863CC6">
        <w:rPr>
          <w:lang w:eastAsia="en-AU"/>
        </w:rPr>
        <w:t>discrimination when seeking to access premises</w:t>
      </w:r>
      <w:r w:rsidR="001E48D1" w:rsidRPr="04863CC6">
        <w:rPr>
          <w:lang w:eastAsia="en-AU"/>
        </w:rPr>
        <w:t xml:space="preserve"> including </w:t>
      </w:r>
      <w:r w:rsidR="006017DD">
        <w:rPr>
          <w:lang w:eastAsia="en-AU"/>
        </w:rPr>
        <w:t xml:space="preserve">hotels, </w:t>
      </w:r>
      <w:r w:rsidR="001E48D1" w:rsidRPr="04863CC6">
        <w:rPr>
          <w:lang w:eastAsia="en-AU"/>
        </w:rPr>
        <w:t xml:space="preserve">cafes and </w:t>
      </w:r>
      <w:r w:rsidR="006C730C" w:rsidRPr="04863CC6">
        <w:rPr>
          <w:lang w:eastAsia="en-AU"/>
        </w:rPr>
        <w:t>restaurants</w:t>
      </w:r>
      <w:r w:rsidR="001E48D1" w:rsidRPr="04863CC6">
        <w:rPr>
          <w:lang w:eastAsia="en-AU"/>
        </w:rPr>
        <w:t>,</w:t>
      </w:r>
      <w:r w:rsidR="0081494D" w:rsidRPr="04863CC6">
        <w:rPr>
          <w:lang w:eastAsia="en-AU"/>
        </w:rPr>
        <w:t xml:space="preserve"> or use </w:t>
      </w:r>
      <w:r w:rsidR="001E48D1" w:rsidRPr="04863CC6">
        <w:rPr>
          <w:lang w:eastAsia="en-AU"/>
        </w:rPr>
        <w:t>with</w:t>
      </w:r>
      <w:r w:rsidR="006C730C" w:rsidRPr="04863CC6">
        <w:rPr>
          <w:lang w:eastAsia="en-AU"/>
        </w:rPr>
        <w:t xml:space="preserve"> on-</w:t>
      </w:r>
      <w:r w:rsidR="00872C6A" w:rsidRPr="04863CC6">
        <w:rPr>
          <w:lang w:eastAsia="en-AU"/>
        </w:rPr>
        <w:t>demand transport</w:t>
      </w:r>
      <w:r w:rsidR="00926D9E" w:rsidRPr="04863CC6">
        <w:rPr>
          <w:lang w:eastAsia="en-AU"/>
        </w:rPr>
        <w:t xml:space="preserve"> services </w:t>
      </w:r>
      <w:r w:rsidR="00872C6A" w:rsidRPr="04863CC6">
        <w:rPr>
          <w:lang w:eastAsia="en-AU"/>
        </w:rPr>
        <w:t xml:space="preserve">such as </w:t>
      </w:r>
      <w:r w:rsidR="00846DC2" w:rsidRPr="04863CC6">
        <w:rPr>
          <w:lang w:eastAsia="en-AU"/>
        </w:rPr>
        <w:t>taxi and ride share</w:t>
      </w:r>
      <w:r w:rsidR="00926D9E" w:rsidRPr="04863CC6">
        <w:rPr>
          <w:lang w:eastAsia="en-AU"/>
        </w:rPr>
        <w:t>.</w:t>
      </w:r>
      <w:r w:rsidR="001C1585" w:rsidRPr="04863CC6">
        <w:rPr>
          <w:lang w:eastAsia="en-AU"/>
        </w:rPr>
        <w:t xml:space="preserve"> </w:t>
      </w:r>
      <w:r w:rsidR="00EE33CC" w:rsidRPr="04863CC6">
        <w:rPr>
          <w:lang w:eastAsia="en-AU"/>
        </w:rPr>
        <w:t xml:space="preserve">BCA </w:t>
      </w:r>
      <w:r w:rsidR="00D53359" w:rsidRPr="04863CC6">
        <w:rPr>
          <w:lang w:eastAsia="en-AU"/>
        </w:rPr>
        <w:t xml:space="preserve">routinely </w:t>
      </w:r>
      <w:r w:rsidR="00EE33CC" w:rsidRPr="04863CC6">
        <w:rPr>
          <w:lang w:eastAsia="en-AU"/>
        </w:rPr>
        <w:t xml:space="preserve">receives requests for </w:t>
      </w:r>
      <w:r w:rsidR="001C1585" w:rsidRPr="04863CC6">
        <w:rPr>
          <w:lang w:eastAsia="en-AU"/>
        </w:rPr>
        <w:t>advocacy support</w:t>
      </w:r>
      <w:r w:rsidR="002C0CBE" w:rsidRPr="04863CC6">
        <w:rPr>
          <w:lang w:eastAsia="en-AU"/>
        </w:rPr>
        <w:t xml:space="preserve"> regarding dog guide refusal</w:t>
      </w:r>
      <w:r w:rsidR="00872C6A" w:rsidRPr="04863CC6">
        <w:rPr>
          <w:lang w:eastAsia="en-AU"/>
        </w:rPr>
        <w:t xml:space="preserve">. </w:t>
      </w:r>
      <w:r w:rsidR="004B42B9" w:rsidRPr="04863CC6">
        <w:rPr>
          <w:lang w:val="en-US" w:eastAsia="en-AU"/>
        </w:rPr>
        <w:t xml:space="preserve">The following case study demonstrates </w:t>
      </w:r>
      <w:r w:rsidR="0007791D" w:rsidRPr="04863CC6">
        <w:rPr>
          <w:lang w:val="en-US" w:eastAsia="en-AU"/>
        </w:rPr>
        <w:t xml:space="preserve">prevailing </w:t>
      </w:r>
      <w:r w:rsidR="004B42B9" w:rsidRPr="04863CC6">
        <w:rPr>
          <w:lang w:val="en-US" w:eastAsia="en-AU"/>
        </w:rPr>
        <w:t xml:space="preserve">myths </w:t>
      </w:r>
      <w:r w:rsidR="00AB7D62" w:rsidRPr="04863CC6">
        <w:rPr>
          <w:lang w:val="en-US" w:eastAsia="en-AU"/>
        </w:rPr>
        <w:t xml:space="preserve">and </w:t>
      </w:r>
      <w:proofErr w:type="spellStart"/>
      <w:r w:rsidR="00AB7D62" w:rsidRPr="04863CC6">
        <w:rPr>
          <w:lang w:val="en-US" w:eastAsia="en-AU"/>
        </w:rPr>
        <w:t>patronising</w:t>
      </w:r>
      <w:proofErr w:type="spellEnd"/>
      <w:r w:rsidR="00AB7D62" w:rsidRPr="04863CC6">
        <w:rPr>
          <w:lang w:val="en-US" w:eastAsia="en-AU"/>
        </w:rPr>
        <w:t xml:space="preserve"> attitudes </w:t>
      </w:r>
      <w:r w:rsidR="004B42B9" w:rsidRPr="04863CC6">
        <w:rPr>
          <w:lang w:val="en-US" w:eastAsia="en-AU"/>
        </w:rPr>
        <w:t xml:space="preserve">regarding </w:t>
      </w:r>
      <w:r w:rsidR="0007791D" w:rsidRPr="04863CC6">
        <w:rPr>
          <w:lang w:val="en-US" w:eastAsia="en-AU"/>
        </w:rPr>
        <w:t>dog guide t</w:t>
      </w:r>
      <w:r w:rsidR="004B42B9" w:rsidRPr="04863CC6">
        <w:rPr>
          <w:lang w:val="en-US" w:eastAsia="en-AU"/>
        </w:rPr>
        <w:t xml:space="preserve">raining </w:t>
      </w:r>
      <w:r w:rsidR="0007791D" w:rsidRPr="04863CC6">
        <w:rPr>
          <w:lang w:val="en-US" w:eastAsia="en-AU"/>
        </w:rPr>
        <w:t xml:space="preserve">and their handling by </w:t>
      </w:r>
      <w:r w:rsidR="004B42B9" w:rsidRPr="04863CC6">
        <w:rPr>
          <w:lang w:val="en-US" w:eastAsia="en-AU"/>
        </w:rPr>
        <w:t>people who are blind or vision impaired.</w:t>
      </w:r>
    </w:p>
    <w:p w14:paraId="05677E73" w14:textId="60229FD1" w:rsidR="00FE43D3" w:rsidRDefault="004B42B9" w:rsidP="004B42B9">
      <w:pPr>
        <w:rPr>
          <w:lang w:eastAsia="en-AU"/>
        </w:rPr>
      </w:pPr>
      <w:r w:rsidRPr="004B42B9">
        <w:rPr>
          <w:lang w:val="en-US" w:eastAsia="en-AU"/>
        </w:rPr>
        <w:t xml:space="preserve">“A young man, when travelling with his dog guide, was denied access to the upper deck on a double decker sight-seeing bus run by the City Sight Seeing Tour Company. After complaining he was told </w:t>
      </w:r>
      <w:r w:rsidRPr="004B42B9">
        <w:rPr>
          <w:lang w:val="en-US" w:eastAsia="en-AU"/>
        </w:rPr>
        <w:lastRenderedPageBreak/>
        <w:t>that this access denial was due to company policy and Health and Safety regulations. Two reasons that were given to him for the denial were that other passengers may</w:t>
      </w:r>
      <w:r w:rsidR="009205C9">
        <w:rPr>
          <w:lang w:val="en-US" w:eastAsia="en-AU"/>
        </w:rPr>
        <w:t xml:space="preserve"> </w:t>
      </w:r>
      <w:r w:rsidRPr="004B42B9">
        <w:rPr>
          <w:lang w:val="en-US" w:eastAsia="en-AU"/>
        </w:rPr>
        <w:t>be frightened of the dog, and the dog could jump out of the bus through the large open gap on the top deck. He was also told that he should consider himself to be fortunate to be allowed on the bus at all with his dog.</w:t>
      </w:r>
      <w:r w:rsidR="002E4119">
        <w:rPr>
          <w:lang w:val="en-US" w:eastAsia="en-AU"/>
        </w:rPr>
        <w:t>”</w:t>
      </w:r>
    </w:p>
    <w:p w14:paraId="4FC84834" w14:textId="71BA2312" w:rsidR="005F428A" w:rsidRPr="00E27C37" w:rsidRDefault="005F428A" w:rsidP="005F0D68">
      <w:pPr>
        <w:rPr>
          <w:b/>
          <w:bCs/>
        </w:rPr>
      </w:pPr>
      <w:r>
        <w:rPr>
          <w:b/>
          <w:bCs/>
        </w:rPr>
        <w:t>Recommendation</w:t>
      </w:r>
      <w:r w:rsidR="0095533D">
        <w:rPr>
          <w:b/>
          <w:bCs/>
        </w:rPr>
        <w:t xml:space="preserve"> </w:t>
      </w:r>
      <w:r w:rsidR="00F3388E">
        <w:rPr>
          <w:b/>
          <w:bCs/>
        </w:rPr>
        <w:t>4</w:t>
      </w:r>
      <w:r>
        <w:rPr>
          <w:b/>
          <w:bCs/>
        </w:rPr>
        <w:t>: Modernise inclusion and reference to Assistance Animals in the ADA</w:t>
      </w:r>
      <w:r w:rsidR="4CCAC60F" w:rsidRPr="74801A73">
        <w:rPr>
          <w:b/>
          <w:bCs/>
        </w:rPr>
        <w:t>.</w:t>
      </w:r>
      <w:r>
        <w:rPr>
          <w:b/>
          <w:bCs/>
        </w:rPr>
        <w:t xml:space="preserve"> </w:t>
      </w:r>
    </w:p>
    <w:p w14:paraId="637137DE" w14:textId="4CDC0E40" w:rsidR="00E33404" w:rsidRDefault="00E33404" w:rsidP="00ED6CCD">
      <w:pPr>
        <w:pStyle w:val="Heading3"/>
        <w:numPr>
          <w:ilvl w:val="1"/>
          <w:numId w:val="11"/>
        </w:numPr>
      </w:pPr>
      <w:bookmarkStart w:id="27" w:name="_Toc205896812"/>
      <w:r>
        <w:t>Discrimination</w:t>
      </w:r>
      <w:bookmarkEnd w:id="27"/>
    </w:p>
    <w:p w14:paraId="29FFA84A" w14:textId="46F61042" w:rsidR="00416938" w:rsidRDefault="00416938" w:rsidP="00DB240D">
      <w:r>
        <w:t>P</w:t>
      </w:r>
      <w:r w:rsidRPr="00CD4AB0">
        <w:t>ervasive and often subconscious attitudes continue to exist regarding people who are blind or vision impaired. Such attitudes impact on the effective and genuine implementation of rights which people who are blind or vision impaired are often prevented from exercising without considerable advocacy and emotional stress</w:t>
      </w:r>
      <w:r w:rsidR="000F7AA1">
        <w:rPr>
          <w:rStyle w:val="EndnoteReference"/>
        </w:rPr>
        <w:endnoteReference w:id="3"/>
      </w:r>
      <w:r w:rsidRPr="00CD4AB0">
        <w:t xml:space="preserve">. </w:t>
      </w:r>
    </w:p>
    <w:p w14:paraId="60480443" w14:textId="575448E5" w:rsidR="00CC45A3" w:rsidRDefault="00CC2DB2" w:rsidP="00ED6CCD">
      <w:pPr>
        <w:pStyle w:val="Heading4"/>
      </w:pPr>
      <w:r>
        <w:t xml:space="preserve">3.2.1 </w:t>
      </w:r>
      <w:r w:rsidR="005B6AB8" w:rsidRPr="74801A73">
        <w:t>Test</w:t>
      </w:r>
      <w:r w:rsidR="005B6AB8">
        <w:t>ing</w:t>
      </w:r>
      <w:r w:rsidR="005B6AB8" w:rsidRPr="74801A73">
        <w:t xml:space="preserve"> for discrimination</w:t>
      </w:r>
    </w:p>
    <w:p w14:paraId="6EAF3E36" w14:textId="24EC78B6" w:rsidR="00CC45A3" w:rsidRDefault="00025522" w:rsidP="005B6AB8">
      <w:r>
        <w:t xml:space="preserve">BCA agrees that it can be hard to differentiate between direct and indirect </w:t>
      </w:r>
      <w:r w:rsidR="00AD0261">
        <w:t>discrimination,</w:t>
      </w:r>
      <w:r>
        <w:t xml:space="preserve"> and </w:t>
      </w:r>
      <w:r w:rsidR="00E33404" w:rsidRPr="00E33404">
        <w:t>a single incident of discrimination can constitute both forms.</w:t>
      </w:r>
      <w:r w:rsidR="00282F59">
        <w:t xml:space="preserve"> </w:t>
      </w:r>
      <w:r w:rsidR="00AD0261">
        <w:t xml:space="preserve">BCA agrees </w:t>
      </w:r>
      <w:r w:rsidR="009113F4">
        <w:t xml:space="preserve">that use of a </w:t>
      </w:r>
      <w:r w:rsidR="009113F4" w:rsidRPr="009113F4">
        <w:t xml:space="preserve">comparator test </w:t>
      </w:r>
      <w:r w:rsidR="009113F4">
        <w:t xml:space="preserve">is </w:t>
      </w:r>
      <w:r w:rsidR="009113F4" w:rsidRPr="009113F4">
        <w:t>overly complex and fail</w:t>
      </w:r>
      <w:r w:rsidR="009113F4">
        <w:t>s</w:t>
      </w:r>
      <w:r w:rsidR="009113F4" w:rsidRPr="009113F4">
        <w:t xml:space="preserve"> to reflect the lived experience of discrimination.</w:t>
      </w:r>
      <w:r w:rsidR="009113F4">
        <w:t xml:space="preserve"> </w:t>
      </w:r>
      <w:r w:rsidR="00FA4014">
        <w:t>D</w:t>
      </w:r>
      <w:r w:rsidR="00CC45A3" w:rsidRPr="00CC45A3">
        <w:t xml:space="preserve">etermining discrimination </w:t>
      </w:r>
      <w:r w:rsidR="1AD6DCF6" w:rsidRPr="00CC45A3">
        <w:t xml:space="preserve">based </w:t>
      </w:r>
      <w:r w:rsidR="00CC45A3" w:rsidRPr="00CC45A3">
        <w:t>on a comparator – who may be a real or conceived person – can be unnecessarily problematic for both people with disability and the court system.</w:t>
      </w:r>
      <w:r w:rsidR="00CC45A3">
        <w:t xml:space="preserve"> T</w:t>
      </w:r>
      <w:r w:rsidR="00CC45A3" w:rsidRPr="00CC45A3">
        <w:t xml:space="preserve">he use of a comparator does not </w:t>
      </w:r>
      <w:r w:rsidR="25FB95D4" w:rsidRPr="00CC45A3">
        <w:t>consider</w:t>
      </w:r>
      <w:r w:rsidR="00CC45A3" w:rsidRPr="00CC45A3">
        <w:t xml:space="preserve"> the accumulated disadvantage associated with disability, such as lower educational and employment outcomes and higher rates of poverty and social exclusion, which are harder to build into a comparator system.</w:t>
      </w:r>
      <w:r w:rsidR="008831EB" w:rsidRPr="008831EB">
        <w:rPr>
          <w:highlight w:val="yellow"/>
        </w:rPr>
        <w:t xml:space="preserve"> </w:t>
      </w:r>
    </w:p>
    <w:p w14:paraId="5511918A" w14:textId="4DA0ED6C" w:rsidR="001148AD" w:rsidRDefault="000E7130" w:rsidP="001148AD">
      <w:r>
        <w:t xml:space="preserve">The </w:t>
      </w:r>
      <w:r w:rsidR="00790A57">
        <w:t>Australian Human Rights Commission (</w:t>
      </w:r>
      <w:r>
        <w:t>AHRC</w:t>
      </w:r>
      <w:r w:rsidR="00790A57">
        <w:t>)</w:t>
      </w:r>
      <w:r>
        <w:rPr>
          <w:rStyle w:val="EndnoteReference"/>
        </w:rPr>
        <w:endnoteReference w:id="4"/>
      </w:r>
      <w:r>
        <w:t xml:space="preserve"> identifies reforms to simplify the test of discrimination by removing the requirement for a comparator </w:t>
      </w:r>
      <w:r w:rsidR="002F47BA">
        <w:t xml:space="preserve">in favour of a detriment test, </w:t>
      </w:r>
      <w:r w:rsidR="00A669A1">
        <w:t xml:space="preserve">and the </w:t>
      </w:r>
      <w:r w:rsidR="009113F4" w:rsidRPr="001148AD">
        <w:rPr>
          <w:iCs/>
        </w:rPr>
        <w:t>Disability Royal Commission Final Report</w:t>
      </w:r>
      <w:r w:rsidR="009113F4">
        <w:t xml:space="preserve"> </w:t>
      </w:r>
      <w:r w:rsidR="00D36439">
        <w:t xml:space="preserve">recommends </w:t>
      </w:r>
      <w:r w:rsidR="009113F4" w:rsidRPr="009113F4">
        <w:t>reform</w:t>
      </w:r>
      <w:r w:rsidR="00D36439">
        <w:t xml:space="preserve"> to</w:t>
      </w:r>
      <w:r w:rsidR="009113F4" w:rsidRPr="009113F4">
        <w:t xml:space="preserve"> the legal test for direct discrimination under the DDA to adopt </w:t>
      </w:r>
      <w:r w:rsidR="5C16E9CE">
        <w:t>an</w:t>
      </w:r>
      <w:r w:rsidR="009113F4" w:rsidRPr="009113F4">
        <w:t> unfavourable treatment approach</w:t>
      </w:r>
      <w:r w:rsidR="002F47BA">
        <w:t xml:space="preserve"> - </w:t>
      </w:r>
      <w:r w:rsidR="009113F4" w:rsidRPr="009113F4">
        <w:t xml:space="preserve">considered more appropriate and accessible for people with disability. </w:t>
      </w:r>
      <w:r w:rsidR="001148AD" w:rsidRPr="00CC45A3">
        <w:t>The U</w:t>
      </w:r>
      <w:r w:rsidR="001148AD">
        <w:t>N</w:t>
      </w:r>
      <w:r w:rsidR="001148AD" w:rsidRPr="00CC45A3">
        <w:t>CRPD includes a single definition of discrimination</w:t>
      </w:r>
      <w:r w:rsidR="001148AD">
        <w:rPr>
          <w:rStyle w:val="EndnoteReference"/>
        </w:rPr>
        <w:endnoteReference w:id="5"/>
      </w:r>
      <w:r w:rsidR="001148AD" w:rsidRPr="00CC45A3">
        <w:t xml:space="preserve"> </w:t>
      </w:r>
      <w:r w:rsidR="001148AD">
        <w:t>and tests</w:t>
      </w:r>
      <w:r w:rsidR="001148AD" w:rsidRPr="00CC45A3">
        <w:t xml:space="preserve"> whether a person’s human rights can be ‘recognised, enjoyed and exercised, on an equal basis with others. This definition appears to align </w:t>
      </w:r>
      <w:r w:rsidR="003D4CD9">
        <w:t xml:space="preserve">more closely </w:t>
      </w:r>
      <w:r w:rsidR="001148AD" w:rsidRPr="00CC45A3">
        <w:t xml:space="preserve">to a detriment test of disability discrimination which considers how a person’s rights have been impacted. </w:t>
      </w:r>
    </w:p>
    <w:p w14:paraId="43872E2D" w14:textId="4A03EDE8" w:rsidR="00CC45A3" w:rsidRPr="00265FE7" w:rsidRDefault="00D4722F" w:rsidP="00CC45A3">
      <w:pPr>
        <w:rPr>
          <w:b/>
          <w:bCs/>
          <w:i/>
          <w:iCs/>
        </w:rPr>
      </w:pPr>
      <w:r w:rsidRPr="00265FE7">
        <w:rPr>
          <w:b/>
          <w:bCs/>
        </w:rPr>
        <w:t>Recommendation</w:t>
      </w:r>
      <w:r w:rsidR="009113F4">
        <w:rPr>
          <w:b/>
          <w:bCs/>
        </w:rPr>
        <w:t xml:space="preserve"> </w:t>
      </w:r>
      <w:r w:rsidR="00E33E03">
        <w:rPr>
          <w:b/>
          <w:bCs/>
        </w:rPr>
        <w:t>5</w:t>
      </w:r>
      <w:r w:rsidRPr="00265FE7">
        <w:rPr>
          <w:b/>
          <w:bCs/>
        </w:rPr>
        <w:t xml:space="preserve">: </w:t>
      </w:r>
      <w:r w:rsidR="00AA5F5F">
        <w:rPr>
          <w:b/>
          <w:bCs/>
        </w:rPr>
        <w:t xml:space="preserve">Incorporate use of the </w:t>
      </w:r>
      <w:r w:rsidR="00265FE7" w:rsidRPr="00265FE7">
        <w:rPr>
          <w:b/>
          <w:bCs/>
        </w:rPr>
        <w:t xml:space="preserve">unfavourable treatment approach </w:t>
      </w:r>
      <w:r w:rsidR="00CC45A3" w:rsidRPr="00265FE7">
        <w:rPr>
          <w:b/>
          <w:bCs/>
        </w:rPr>
        <w:t>in place of a comparator test</w:t>
      </w:r>
      <w:r w:rsidR="00C44162">
        <w:rPr>
          <w:b/>
          <w:bCs/>
        </w:rPr>
        <w:t xml:space="preserve"> </w:t>
      </w:r>
      <w:r w:rsidR="006761D1">
        <w:rPr>
          <w:b/>
          <w:bCs/>
        </w:rPr>
        <w:t xml:space="preserve">for discrimination </w:t>
      </w:r>
      <w:r w:rsidR="00C44162">
        <w:rPr>
          <w:b/>
          <w:bCs/>
        </w:rPr>
        <w:t>in the ADA</w:t>
      </w:r>
      <w:r w:rsidR="00CC45A3" w:rsidRPr="00265FE7">
        <w:rPr>
          <w:b/>
          <w:bCs/>
        </w:rPr>
        <w:t xml:space="preserve">. </w:t>
      </w:r>
    </w:p>
    <w:p w14:paraId="641153D0" w14:textId="127222BE" w:rsidR="00133ADD" w:rsidRDefault="000B1116" w:rsidP="002C15AF">
      <w:pPr>
        <w:pStyle w:val="Heading4"/>
      </w:pPr>
      <w:r>
        <w:lastRenderedPageBreak/>
        <w:t>3.2.3. Positive dut</w:t>
      </w:r>
      <w:r w:rsidR="00163425">
        <w:t xml:space="preserve">ies </w:t>
      </w:r>
      <w:r>
        <w:t xml:space="preserve"> </w:t>
      </w:r>
    </w:p>
    <w:p w14:paraId="2BCBEA8E" w14:textId="58E98B09" w:rsidR="008B0EC7" w:rsidRDefault="00133ADD" w:rsidP="008B0EC7">
      <w:r>
        <w:t xml:space="preserve">BCA agrees to the incorporation of </w:t>
      </w:r>
      <w:r w:rsidRPr="00EA6C1C">
        <w:t xml:space="preserve">clear and enforceable positive duties to </w:t>
      </w:r>
      <w:r w:rsidR="00773BA1">
        <w:t>provide adjustments</w:t>
      </w:r>
      <w:r w:rsidR="00C632CA">
        <w:t xml:space="preserve"> (accommod</w:t>
      </w:r>
      <w:r w:rsidR="00690100">
        <w:t>ations)</w:t>
      </w:r>
      <w:r w:rsidR="00D704E8">
        <w:t xml:space="preserve"> for people with disability</w:t>
      </w:r>
      <w:r w:rsidR="00A6510D">
        <w:t xml:space="preserve"> and prevent discriminatio</w:t>
      </w:r>
      <w:r w:rsidR="00324782">
        <w:t>n</w:t>
      </w:r>
      <w:r w:rsidRPr="00EA6C1C">
        <w:t>.</w:t>
      </w:r>
      <w:r>
        <w:t xml:space="preserve"> </w:t>
      </w:r>
      <w:r w:rsidR="008B0EC7">
        <w:rPr>
          <w:lang w:eastAsia="en-AU"/>
        </w:rPr>
        <w:t>As indicated in the Consultation Paper, p</w:t>
      </w:r>
      <w:r w:rsidR="008B0EC7">
        <w:t xml:space="preserve">arties to the </w:t>
      </w:r>
      <w:r w:rsidR="00F01EA2">
        <w:t>UNCRPD</w:t>
      </w:r>
      <w:r w:rsidR="008B0EC7">
        <w:rPr>
          <w:rStyle w:val="EndnoteReference"/>
          <w:i/>
          <w:iCs/>
        </w:rPr>
        <w:endnoteReference w:id="6"/>
      </w:r>
      <w:r w:rsidR="008B0EC7">
        <w:t xml:space="preserve">, including Australia, </w:t>
      </w:r>
      <w:r w:rsidR="0020728A">
        <w:t>must take steps to ensure that “reasonable accommodation” is provided to people with disability</w:t>
      </w:r>
      <w:r w:rsidR="00AF62CA">
        <w:t>,</w:t>
      </w:r>
      <w:r w:rsidR="00866EE5">
        <w:t xml:space="preserve"> and as stated by the AHRC</w:t>
      </w:r>
      <w:r w:rsidR="00866EE5">
        <w:rPr>
          <w:rStyle w:val="EndnoteReference"/>
        </w:rPr>
        <w:endnoteReference w:id="7"/>
      </w:r>
      <w:r w:rsidR="00B14C8D">
        <w:t>, the</w:t>
      </w:r>
      <w:r w:rsidR="00866EE5">
        <w:t xml:space="preserve"> provision for reasonable adjustment is based on advancing substantive equality</w:t>
      </w:r>
      <w:r w:rsidR="00866EE5" w:rsidRPr="00A90956">
        <w:rPr>
          <w:lang w:eastAsia="en-AU"/>
        </w:rPr>
        <w:t>.</w:t>
      </w:r>
    </w:p>
    <w:p w14:paraId="3ABC835E" w14:textId="379ECB14" w:rsidR="008B0EC7" w:rsidRDefault="008B0EC7" w:rsidP="008B0EC7">
      <w:r w:rsidRPr="00EA6C1C">
        <w:t>Positive duties can help to prevent discrimination and reduce the burden of lodging individual complaints.</w:t>
      </w:r>
      <w:r w:rsidR="001867AC">
        <w:t xml:space="preserve"> </w:t>
      </w:r>
      <w:r>
        <w:t>For people with disability who experience discrimination,</w:t>
      </w:r>
      <w:r w:rsidRPr="000E32E9">
        <w:t xml:space="preserve"> </w:t>
      </w:r>
      <w:r w:rsidRPr="00CC45A3">
        <w:t>particularly indirect discrimination</w:t>
      </w:r>
      <w:r w:rsidRPr="000E32E9">
        <w:t>,</w:t>
      </w:r>
      <w:r>
        <w:t xml:space="preserve"> collecting evidence and meeting the </w:t>
      </w:r>
      <w:r w:rsidRPr="00CC45A3">
        <w:t>burden of proof</w:t>
      </w:r>
      <w:r>
        <w:t xml:space="preserve"> requirements</w:t>
      </w:r>
      <w:r w:rsidRPr="00CC45A3">
        <w:t xml:space="preserve"> </w:t>
      </w:r>
      <w:r>
        <w:t xml:space="preserve">can be difficult and can deter people from progressing with a complaint. </w:t>
      </w:r>
      <w:r w:rsidR="00AC1A48">
        <w:t xml:space="preserve">The Disability </w:t>
      </w:r>
      <w:r w:rsidR="00AC1A48" w:rsidRPr="00617D5E">
        <w:rPr>
          <w:szCs w:val="18"/>
        </w:rPr>
        <w:t>Royal Commission</w:t>
      </w:r>
      <w:r w:rsidR="00AC1A48">
        <w:rPr>
          <w:szCs w:val="18"/>
        </w:rPr>
        <w:t xml:space="preserve"> Report</w:t>
      </w:r>
      <w:r w:rsidR="00AC1A48" w:rsidRPr="00617D5E">
        <w:rPr>
          <w:szCs w:val="18"/>
        </w:rPr>
        <w:t xml:space="preserve"> </w:t>
      </w:r>
      <w:r w:rsidR="00AC1A48">
        <w:t xml:space="preserve">supported shifting the burden of proof from the claimant to the respondent </w:t>
      </w:r>
      <w:r w:rsidR="00AC1A48" w:rsidRPr="0066243A">
        <w:t>in its recommendations to reform the</w:t>
      </w:r>
      <w:r w:rsidR="00AC1A48">
        <w:t xml:space="preserve"> DDA and reduce procedural barriers for people with disability.</w:t>
      </w:r>
      <w:r w:rsidR="000927A7" w:rsidRPr="000927A7">
        <w:t xml:space="preserve"> </w:t>
      </w:r>
    </w:p>
    <w:p w14:paraId="1B9180A2" w14:textId="77777777" w:rsidR="00A9672B" w:rsidRDefault="007A4F06" w:rsidP="00F82F0A">
      <w:pPr>
        <w:rPr>
          <w:lang w:eastAsia="en-AU"/>
        </w:rPr>
      </w:pPr>
      <w:r>
        <w:rPr>
          <w:lang w:eastAsia="en-AU"/>
        </w:rPr>
        <w:t xml:space="preserve">Feedback </w:t>
      </w:r>
      <w:r w:rsidR="00517E58">
        <w:rPr>
          <w:lang w:eastAsia="en-AU"/>
        </w:rPr>
        <w:t xml:space="preserve">from </w:t>
      </w:r>
      <w:r w:rsidR="000B1116">
        <w:rPr>
          <w:lang w:eastAsia="en-AU"/>
        </w:rPr>
        <w:t xml:space="preserve">our members indicates </w:t>
      </w:r>
      <w:r w:rsidR="008B0EC7">
        <w:rPr>
          <w:lang w:eastAsia="en-AU"/>
        </w:rPr>
        <w:t xml:space="preserve">that a </w:t>
      </w:r>
      <w:r w:rsidR="000B1116" w:rsidRPr="00FC0D70">
        <w:rPr>
          <w:lang w:eastAsia="en-AU"/>
        </w:rPr>
        <w:t xml:space="preserve">complaint-driven </w:t>
      </w:r>
      <w:r w:rsidR="000B1116">
        <w:rPr>
          <w:lang w:eastAsia="en-AU"/>
        </w:rPr>
        <w:t xml:space="preserve">discrimination </w:t>
      </w:r>
      <w:r w:rsidR="000B1116" w:rsidRPr="00FC0D70">
        <w:rPr>
          <w:lang w:eastAsia="en-AU"/>
        </w:rPr>
        <w:t>model alone is insufficient, as it does not incentivi</w:t>
      </w:r>
      <w:r w:rsidR="000B1116">
        <w:rPr>
          <w:lang w:eastAsia="en-AU"/>
        </w:rPr>
        <w:t>s</w:t>
      </w:r>
      <w:r w:rsidR="000B1116" w:rsidRPr="00FC0D70">
        <w:rPr>
          <w:lang w:eastAsia="en-AU"/>
        </w:rPr>
        <w:t>e inclusive practices and poses significant barriers for individuals</w:t>
      </w:r>
      <w:r w:rsidR="000B1116">
        <w:rPr>
          <w:lang w:eastAsia="en-AU"/>
        </w:rPr>
        <w:t xml:space="preserve"> including </w:t>
      </w:r>
      <w:r w:rsidR="000B1116" w:rsidRPr="00FC0D70">
        <w:rPr>
          <w:lang w:eastAsia="en-AU"/>
        </w:rPr>
        <w:t xml:space="preserve">those who are blind or </w:t>
      </w:r>
      <w:r w:rsidR="000B1116">
        <w:rPr>
          <w:lang w:eastAsia="en-AU"/>
        </w:rPr>
        <w:t>vision impaired d</w:t>
      </w:r>
      <w:r w:rsidR="000B1116" w:rsidRPr="00FC0D70">
        <w:rPr>
          <w:lang w:eastAsia="en-AU"/>
        </w:rPr>
        <w:t xml:space="preserve">ue to its complexity, </w:t>
      </w:r>
      <w:r w:rsidR="000B1116">
        <w:rPr>
          <w:lang w:eastAsia="en-AU"/>
        </w:rPr>
        <w:t xml:space="preserve">power imbalance, </w:t>
      </w:r>
      <w:r w:rsidR="000B1116" w:rsidRPr="00FC0D70">
        <w:rPr>
          <w:lang w:eastAsia="en-AU"/>
        </w:rPr>
        <w:t xml:space="preserve">cost, and </w:t>
      </w:r>
      <w:r w:rsidR="000B1116">
        <w:rPr>
          <w:lang w:eastAsia="en-AU"/>
        </w:rPr>
        <w:t xml:space="preserve">the </w:t>
      </w:r>
      <w:r w:rsidR="000B1116" w:rsidRPr="00FC0D70">
        <w:rPr>
          <w:lang w:eastAsia="en-AU"/>
        </w:rPr>
        <w:t>uncertainty</w:t>
      </w:r>
      <w:r w:rsidR="000B1116">
        <w:rPr>
          <w:lang w:eastAsia="en-AU"/>
        </w:rPr>
        <w:t xml:space="preserve"> of </w:t>
      </w:r>
      <w:r w:rsidR="008B0EC7">
        <w:rPr>
          <w:lang w:eastAsia="en-AU"/>
        </w:rPr>
        <w:t xml:space="preserve">achieving </w:t>
      </w:r>
      <w:r w:rsidR="000B1116">
        <w:rPr>
          <w:lang w:eastAsia="en-AU"/>
        </w:rPr>
        <w:t>a satisfactory outcome</w:t>
      </w:r>
      <w:r w:rsidR="000B1116" w:rsidRPr="00FC0D70">
        <w:rPr>
          <w:lang w:eastAsia="en-AU"/>
        </w:rPr>
        <w:t>.</w:t>
      </w:r>
      <w:r w:rsidR="008F5530">
        <w:rPr>
          <w:lang w:eastAsia="en-AU"/>
        </w:rPr>
        <w:t xml:space="preserve"> </w:t>
      </w:r>
    </w:p>
    <w:p w14:paraId="0D02E01A" w14:textId="27640C2C" w:rsidR="00091675" w:rsidRDefault="00A666D3" w:rsidP="00091675">
      <w:r>
        <w:rPr>
          <w:lang w:eastAsia="en-AU"/>
        </w:rPr>
        <w:t xml:space="preserve">BCA do not believe that </w:t>
      </w:r>
      <w:r>
        <w:t>a person with a protected attribute should first have to request an adjustment, before the obligation to provide one arises.</w:t>
      </w:r>
      <w:r w:rsidR="00C1259C">
        <w:t xml:space="preserve"> As noted in the Consultation Paper, introduction of a separate duty to provide adjustments provides that a failure to provide adjustments can itself be unlawful discrimination.</w:t>
      </w:r>
      <w:r w:rsidR="00A9672B">
        <w:t xml:space="preserve"> </w:t>
      </w:r>
      <w:r w:rsidR="009177D9" w:rsidRPr="0016390F">
        <w:t>Examples</w:t>
      </w:r>
      <w:r w:rsidR="005E241C">
        <w:t xml:space="preserve"> of a</w:t>
      </w:r>
      <w:r w:rsidR="00045AF9">
        <w:t>djustments or accommodations</w:t>
      </w:r>
      <w:r w:rsidR="009177D9" w:rsidRPr="0016390F">
        <w:t xml:space="preserve"> </w:t>
      </w:r>
      <w:r w:rsidR="00A80355" w:rsidRPr="0016390F">
        <w:t>for</w:t>
      </w:r>
      <w:r w:rsidR="52B66729" w:rsidRPr="0016390F">
        <w:t xml:space="preserve"> people who are</w:t>
      </w:r>
      <w:r w:rsidR="00A80355" w:rsidRPr="0016390F">
        <w:t xml:space="preserve"> </w:t>
      </w:r>
      <w:proofErr w:type="gramStart"/>
      <w:r w:rsidR="00A80355" w:rsidRPr="0016390F">
        <w:t>blind</w:t>
      </w:r>
      <w:proofErr w:type="gramEnd"/>
      <w:r w:rsidR="00A80355" w:rsidRPr="0016390F">
        <w:t xml:space="preserve"> </w:t>
      </w:r>
      <w:r w:rsidR="405D7E54" w:rsidRPr="0016390F">
        <w:t>or</w:t>
      </w:r>
      <w:r w:rsidR="00A80355" w:rsidRPr="0016390F">
        <w:t xml:space="preserve"> vision impaired </w:t>
      </w:r>
      <w:r w:rsidR="009177D9" w:rsidRPr="0016390F">
        <w:t>include installing audio announcements in a lift</w:t>
      </w:r>
      <w:r w:rsidR="00EB41E3">
        <w:t>,</w:t>
      </w:r>
      <w:r w:rsidR="009177D9" w:rsidRPr="0016390F">
        <w:t xml:space="preserve"> </w:t>
      </w:r>
      <w:r w:rsidR="0016390F" w:rsidRPr="0016390F">
        <w:t>providing s</w:t>
      </w:r>
      <w:r w:rsidR="008D3FE4" w:rsidRPr="0016390F">
        <w:t>creen-reading software (e.g. JAWS) or screen magnification tools (e.g. ZoomText)</w:t>
      </w:r>
      <w:r w:rsidR="00EB41E3">
        <w:t xml:space="preserve"> or</w:t>
      </w:r>
      <w:r w:rsidR="0013495D">
        <w:t xml:space="preserve"> the option for</w:t>
      </w:r>
      <w:r w:rsidR="00EB41E3">
        <w:t xml:space="preserve"> </w:t>
      </w:r>
      <w:r w:rsidR="005A781F">
        <w:t>mortgage</w:t>
      </w:r>
      <w:r w:rsidR="00EB41E3">
        <w:t xml:space="preserve"> documents in</w:t>
      </w:r>
      <w:r w:rsidR="005A781F">
        <w:t xml:space="preserve"> accessible formats</w:t>
      </w:r>
      <w:r w:rsidR="00045AF9">
        <w:t xml:space="preserve"> such as braille</w:t>
      </w:r>
      <w:r w:rsidR="0016390F" w:rsidRPr="0016390F">
        <w:t>.</w:t>
      </w:r>
      <w:r w:rsidR="00CD7D11" w:rsidRPr="04863CC6">
        <w:rPr>
          <w:rFonts w:eastAsiaTheme="minorEastAsia"/>
          <w:lang w:eastAsia="en-AU"/>
        </w:rPr>
        <w:t xml:space="preserve"> </w:t>
      </w:r>
    </w:p>
    <w:p w14:paraId="0FE8D463" w14:textId="36E8FBAA" w:rsidR="000B1116" w:rsidRDefault="00512FB7" w:rsidP="000B1116">
      <w:r>
        <w:rPr>
          <w:lang w:eastAsia="en-AU"/>
        </w:rPr>
        <w:t>I</w:t>
      </w:r>
      <w:r w:rsidR="000B1116" w:rsidRPr="00FC0D70">
        <w:rPr>
          <w:lang w:eastAsia="en-AU"/>
        </w:rPr>
        <w:t>mpos</w:t>
      </w:r>
      <w:r>
        <w:rPr>
          <w:lang w:eastAsia="en-AU"/>
        </w:rPr>
        <w:t>ing</w:t>
      </w:r>
      <w:r w:rsidR="000B1116" w:rsidRPr="00FC0D70">
        <w:rPr>
          <w:lang w:eastAsia="en-AU"/>
        </w:rPr>
        <w:t xml:space="preserve"> enforceable positive </w:t>
      </w:r>
      <w:r w:rsidR="00440334">
        <w:rPr>
          <w:lang w:eastAsia="en-AU"/>
        </w:rPr>
        <w:t>duties</w:t>
      </w:r>
      <w:r w:rsidR="000B1116" w:rsidRPr="00FC0D70">
        <w:rPr>
          <w:lang w:eastAsia="en-AU"/>
        </w:rPr>
        <w:t xml:space="preserve">, supported by </w:t>
      </w:r>
      <w:r w:rsidR="000B1116">
        <w:rPr>
          <w:lang w:eastAsia="en-AU"/>
        </w:rPr>
        <w:t xml:space="preserve">relevant </w:t>
      </w:r>
      <w:r w:rsidR="000B1116" w:rsidRPr="00FC0D70">
        <w:rPr>
          <w:lang w:eastAsia="en-AU"/>
        </w:rPr>
        <w:t>compliance powers</w:t>
      </w:r>
      <w:r w:rsidR="000B1116">
        <w:rPr>
          <w:lang w:eastAsia="en-AU"/>
        </w:rPr>
        <w:t xml:space="preserve"> and processes</w:t>
      </w:r>
      <w:r>
        <w:rPr>
          <w:lang w:eastAsia="en-AU"/>
        </w:rPr>
        <w:t xml:space="preserve">, </w:t>
      </w:r>
      <w:r w:rsidR="008B0EC7">
        <w:rPr>
          <w:lang w:eastAsia="en-AU"/>
        </w:rPr>
        <w:t xml:space="preserve">is in keeping </w:t>
      </w:r>
      <w:r w:rsidR="000B1116" w:rsidRPr="00FC0D70">
        <w:rPr>
          <w:lang w:eastAsia="en-AU"/>
        </w:rPr>
        <w:t>with legislation in</w:t>
      </w:r>
      <w:r w:rsidR="000B1116">
        <w:rPr>
          <w:lang w:eastAsia="en-AU"/>
        </w:rPr>
        <w:t xml:space="preserve"> other jurisdictions</w:t>
      </w:r>
      <w:r w:rsidR="009866FA">
        <w:rPr>
          <w:lang w:eastAsia="en-AU"/>
        </w:rPr>
        <w:t>,</w:t>
      </w:r>
      <w:r w:rsidR="000B1116" w:rsidRPr="00FC0D70">
        <w:rPr>
          <w:lang w:eastAsia="en-AU"/>
        </w:rPr>
        <w:t xml:space="preserve"> </w:t>
      </w:r>
      <w:r w:rsidR="0074523E">
        <w:rPr>
          <w:lang w:eastAsia="en-AU"/>
        </w:rPr>
        <w:t xml:space="preserve">is </w:t>
      </w:r>
      <w:r w:rsidR="000B1116" w:rsidRPr="00FC0D70">
        <w:rPr>
          <w:lang w:eastAsia="en-AU"/>
        </w:rPr>
        <w:t xml:space="preserve">supported by the </w:t>
      </w:r>
      <w:r w:rsidR="006E44D1">
        <w:rPr>
          <w:lang w:eastAsia="en-AU"/>
        </w:rPr>
        <w:t>Disabil</w:t>
      </w:r>
      <w:r w:rsidR="00F82F0A">
        <w:rPr>
          <w:lang w:eastAsia="en-AU"/>
        </w:rPr>
        <w:t xml:space="preserve">ity </w:t>
      </w:r>
      <w:r w:rsidR="000B1116" w:rsidRPr="00FC0D70">
        <w:rPr>
          <w:lang w:eastAsia="en-AU"/>
        </w:rPr>
        <w:t>Royal Commission Report</w:t>
      </w:r>
      <w:r w:rsidR="009866FA">
        <w:rPr>
          <w:lang w:eastAsia="en-AU"/>
        </w:rPr>
        <w:t xml:space="preserve"> and c</w:t>
      </w:r>
      <w:r w:rsidR="008165E9">
        <w:t>onsistent with Australia’s international obligations</w:t>
      </w:r>
      <w:r w:rsidR="009866FA">
        <w:t>.</w:t>
      </w:r>
    </w:p>
    <w:p w14:paraId="20D092B1" w14:textId="6246AFBE" w:rsidR="0022792C" w:rsidRDefault="005430C8" w:rsidP="000B1116">
      <w:r>
        <w:t>S</w:t>
      </w:r>
      <w:r w:rsidR="0022792C">
        <w:t>tandards</w:t>
      </w:r>
      <w:r w:rsidR="002B4CBC">
        <w:t>, such as those established under the DDA</w:t>
      </w:r>
      <w:r>
        <w:t>,</w:t>
      </w:r>
      <w:r w:rsidR="002B4CBC">
        <w:t xml:space="preserve"> play a critical role in </w:t>
      </w:r>
      <w:r w:rsidR="00A36788">
        <w:t>clarifying positive duties to prevent discrimination</w:t>
      </w:r>
      <w:r>
        <w:t xml:space="preserve"> of people with disability</w:t>
      </w:r>
      <w:r w:rsidR="00A36788">
        <w:t xml:space="preserve">. The standards provide specific, actionable guidelines that translate </w:t>
      </w:r>
      <w:r w:rsidR="004E1F69">
        <w:t>broad anti-discrimination principles into practical obligations</w:t>
      </w:r>
      <w:r w:rsidR="000B36C3">
        <w:t xml:space="preserve"> and measurable requirements</w:t>
      </w:r>
      <w:r w:rsidR="004E1F69">
        <w:t xml:space="preserve"> for</w:t>
      </w:r>
      <w:r w:rsidR="005E627B">
        <w:t xml:space="preserve"> duty holders </w:t>
      </w:r>
      <w:r>
        <w:t>(</w:t>
      </w:r>
      <w:proofErr w:type="spellStart"/>
      <w:r w:rsidR="001D32B0">
        <w:t>e.g</w:t>
      </w:r>
      <w:proofErr w:type="spellEnd"/>
      <w:r w:rsidR="001D32B0">
        <w:t xml:space="preserve"> </w:t>
      </w:r>
      <w:r w:rsidR="004E1F69">
        <w:t>organisations, businesses and governments</w:t>
      </w:r>
      <w:r>
        <w:t>)</w:t>
      </w:r>
      <w:r w:rsidR="004E1F69">
        <w:t>.</w:t>
      </w:r>
      <w:r w:rsidR="00843996">
        <w:t xml:space="preserve"> For </w:t>
      </w:r>
      <w:r w:rsidR="001E7730">
        <w:t>example,</w:t>
      </w:r>
      <w:r w:rsidR="00843996">
        <w:t xml:space="preserve"> the </w:t>
      </w:r>
      <w:r w:rsidR="00843996" w:rsidRPr="007A54EE">
        <w:rPr>
          <w:i/>
          <w:iCs/>
        </w:rPr>
        <w:lastRenderedPageBreak/>
        <w:t>Disability Standards for Accessible Pu</w:t>
      </w:r>
      <w:r w:rsidR="00677012" w:rsidRPr="007A54EE">
        <w:rPr>
          <w:i/>
          <w:iCs/>
        </w:rPr>
        <w:t>blic Transport 2002</w:t>
      </w:r>
      <w:r w:rsidR="00677012">
        <w:t xml:space="preserve"> require transport providers to </w:t>
      </w:r>
      <w:r w:rsidR="00991358">
        <w:t xml:space="preserve">use </w:t>
      </w:r>
      <w:r w:rsidR="00894E81">
        <w:t>tactile paving and audio announcements</w:t>
      </w:r>
      <w:r w:rsidR="0008348C">
        <w:t xml:space="preserve"> (among other things)</w:t>
      </w:r>
      <w:r w:rsidR="00894E81">
        <w:t xml:space="preserve"> </w:t>
      </w:r>
      <w:r w:rsidR="000C1169">
        <w:t xml:space="preserve">to provide accessibility </w:t>
      </w:r>
      <w:r w:rsidR="00894E81">
        <w:t>for blind and vision impaired people.</w:t>
      </w:r>
      <w:r w:rsidR="00B167B4">
        <w:t xml:space="preserve"> </w:t>
      </w:r>
      <w:r w:rsidR="008305B1">
        <w:t xml:space="preserve">The standards also include timelines and compliance mechanisms to ensure organisations </w:t>
      </w:r>
      <w:proofErr w:type="gramStart"/>
      <w:r w:rsidR="008305B1">
        <w:t>take action</w:t>
      </w:r>
      <w:proofErr w:type="gramEnd"/>
      <w:r w:rsidR="008305B1">
        <w:t xml:space="preserve">. </w:t>
      </w:r>
      <w:r w:rsidR="00BC7294">
        <w:t>In introducing positive duties into the ADA, BCA recommends the Commission consider mechanisms</w:t>
      </w:r>
      <w:r w:rsidR="00AD04A3">
        <w:t xml:space="preserve"> (such as standards) </w:t>
      </w:r>
      <w:r w:rsidR="00BC7294">
        <w:t>by which to</w:t>
      </w:r>
      <w:r w:rsidR="00AD04A3">
        <w:t xml:space="preserve"> support implementation</w:t>
      </w:r>
      <w:r w:rsidR="008C0A3A">
        <w:t xml:space="preserve">, monitoring </w:t>
      </w:r>
      <w:r w:rsidR="00AD04A3">
        <w:t xml:space="preserve">and compliance. </w:t>
      </w:r>
      <w:r w:rsidR="00BC7294">
        <w:t xml:space="preserve"> </w:t>
      </w:r>
      <w:r w:rsidR="00894E81">
        <w:t xml:space="preserve"> </w:t>
      </w:r>
      <w:r w:rsidR="004E1F69">
        <w:t xml:space="preserve"> </w:t>
      </w:r>
    </w:p>
    <w:p w14:paraId="35DF2FAF" w14:textId="38BF3D39" w:rsidR="008B0EC7" w:rsidRDefault="000B1116" w:rsidP="008B0EC7">
      <w:pPr>
        <w:rPr>
          <w:lang w:eastAsia="en-AU"/>
        </w:rPr>
      </w:pPr>
      <w:r w:rsidRPr="00D379B5">
        <w:rPr>
          <w:b/>
          <w:bCs/>
          <w:lang w:eastAsia="en-AU"/>
        </w:rPr>
        <w:t>Recommendation</w:t>
      </w:r>
      <w:r w:rsidR="00F3388E">
        <w:rPr>
          <w:b/>
          <w:bCs/>
          <w:lang w:eastAsia="en-AU"/>
        </w:rPr>
        <w:t xml:space="preserve"> </w:t>
      </w:r>
      <w:r w:rsidR="000228AF">
        <w:rPr>
          <w:b/>
          <w:bCs/>
          <w:lang w:eastAsia="en-AU"/>
        </w:rPr>
        <w:t>6</w:t>
      </w:r>
      <w:r w:rsidRPr="00D379B5">
        <w:rPr>
          <w:b/>
          <w:bCs/>
          <w:lang w:eastAsia="en-AU"/>
        </w:rPr>
        <w:t xml:space="preserve">: Establish a </w:t>
      </w:r>
      <w:r>
        <w:rPr>
          <w:b/>
          <w:bCs/>
          <w:lang w:eastAsia="en-AU"/>
        </w:rPr>
        <w:t xml:space="preserve">standalone </w:t>
      </w:r>
      <w:r w:rsidRPr="00D379B5">
        <w:rPr>
          <w:b/>
          <w:bCs/>
          <w:lang w:eastAsia="en-AU"/>
        </w:rPr>
        <w:t xml:space="preserve">positive duty </w:t>
      </w:r>
      <w:r w:rsidR="00A7757E">
        <w:rPr>
          <w:b/>
          <w:bCs/>
          <w:lang w:eastAsia="en-AU"/>
        </w:rPr>
        <w:t xml:space="preserve">in the ADA </w:t>
      </w:r>
      <w:r w:rsidRPr="00D379B5">
        <w:rPr>
          <w:b/>
          <w:bCs/>
          <w:lang w:eastAsia="en-AU"/>
        </w:rPr>
        <w:t xml:space="preserve">to </w:t>
      </w:r>
      <w:r w:rsidR="005E3C28">
        <w:rPr>
          <w:b/>
          <w:bCs/>
          <w:lang w:eastAsia="en-AU"/>
        </w:rPr>
        <w:t xml:space="preserve">require duty holders to </w:t>
      </w:r>
      <w:r w:rsidRPr="00D379B5">
        <w:rPr>
          <w:b/>
          <w:bCs/>
          <w:lang w:eastAsia="en-AU"/>
        </w:rPr>
        <w:t xml:space="preserve">provide </w:t>
      </w:r>
      <w:r w:rsidR="001C2A71">
        <w:rPr>
          <w:b/>
          <w:bCs/>
          <w:lang w:eastAsia="en-AU"/>
        </w:rPr>
        <w:t>adjustment</w:t>
      </w:r>
      <w:r w:rsidRPr="00D379B5">
        <w:rPr>
          <w:b/>
          <w:bCs/>
          <w:lang w:eastAsia="en-AU"/>
        </w:rPr>
        <w:t xml:space="preserve"> </w:t>
      </w:r>
      <w:r>
        <w:rPr>
          <w:b/>
          <w:bCs/>
          <w:lang w:eastAsia="en-AU"/>
        </w:rPr>
        <w:t>for people with disability</w:t>
      </w:r>
      <w:r w:rsidR="008A3E9C">
        <w:rPr>
          <w:b/>
          <w:bCs/>
          <w:lang w:eastAsia="en-AU"/>
        </w:rPr>
        <w:t xml:space="preserve"> and prevent discrimination</w:t>
      </w:r>
      <w:r w:rsidRPr="00D379B5">
        <w:rPr>
          <w:b/>
          <w:bCs/>
          <w:lang w:eastAsia="en-AU"/>
        </w:rPr>
        <w:t>.</w:t>
      </w:r>
      <w:r w:rsidR="008B0EC7" w:rsidRPr="008B0EC7">
        <w:rPr>
          <w:lang w:eastAsia="en-AU"/>
        </w:rPr>
        <w:t xml:space="preserve"> </w:t>
      </w:r>
    </w:p>
    <w:p w14:paraId="64885B1C" w14:textId="71EAB9FB" w:rsidR="004933F0" w:rsidRDefault="0061587A" w:rsidP="0061587A">
      <w:pPr>
        <w:pStyle w:val="Heading3"/>
      </w:pPr>
      <w:bookmarkStart w:id="28" w:name="_Toc195082013"/>
      <w:bookmarkStart w:id="29" w:name="_Toc198621077"/>
      <w:bookmarkStart w:id="30" w:name="_Toc205896813"/>
      <w:r>
        <w:t xml:space="preserve">3.3 </w:t>
      </w:r>
      <w:r w:rsidR="008C5EF5">
        <w:t xml:space="preserve">Protected </w:t>
      </w:r>
      <w:r w:rsidR="00715669">
        <w:t>a</w:t>
      </w:r>
      <w:r w:rsidR="008C5EF5">
        <w:t xml:space="preserve">reas </w:t>
      </w:r>
      <w:bookmarkEnd w:id="28"/>
      <w:bookmarkEnd w:id="29"/>
      <w:r w:rsidR="006A4DAA">
        <w:t>and</w:t>
      </w:r>
      <w:r w:rsidR="00C15C20">
        <w:t xml:space="preserve"> </w:t>
      </w:r>
      <w:r w:rsidR="00715669">
        <w:t>e</w:t>
      </w:r>
      <w:r w:rsidR="00C15C20">
        <w:t>xceptions</w:t>
      </w:r>
      <w:bookmarkEnd w:id="30"/>
    </w:p>
    <w:p w14:paraId="230F815F" w14:textId="52A4DBB0" w:rsidR="004933F0" w:rsidRDefault="00CC2DB2" w:rsidP="002C15AF">
      <w:pPr>
        <w:pStyle w:val="Heading4"/>
      </w:pPr>
      <w:r>
        <w:t xml:space="preserve">3.3.1 </w:t>
      </w:r>
      <w:r w:rsidR="004933F0">
        <w:t>Work</w:t>
      </w:r>
    </w:p>
    <w:p w14:paraId="1118DAD7" w14:textId="6A9FC03E" w:rsidR="009C78CC" w:rsidRPr="009C78CC" w:rsidRDefault="007945FF" w:rsidP="009C78CC">
      <w:pPr>
        <w:rPr>
          <w:lang w:eastAsia="en-AU"/>
        </w:rPr>
      </w:pPr>
      <w:r>
        <w:rPr>
          <w:lang w:eastAsia="en-AU"/>
        </w:rPr>
        <w:t>As noted in the Consultation Paper i</w:t>
      </w:r>
      <w:r w:rsidR="00AF5943" w:rsidRPr="005F0D68">
        <w:rPr>
          <w:lang w:eastAsia="en-AU"/>
        </w:rPr>
        <w:t>t’s unclear if the ADA covers unpaid workers and volunteers</w:t>
      </w:r>
      <w:r w:rsidR="009C78CC" w:rsidRPr="005F0D68">
        <w:rPr>
          <w:lang w:eastAsia="en-AU"/>
        </w:rPr>
        <w:t xml:space="preserve">. </w:t>
      </w:r>
      <w:r w:rsidR="009C78CC" w:rsidRPr="009C78CC">
        <w:rPr>
          <w:lang w:eastAsia="en-AU"/>
        </w:rPr>
        <w:t xml:space="preserve">Many people who are blind or vision impaired rely on volunteer work to build up the necessary skills and work experience to gain paid work. </w:t>
      </w:r>
      <w:r w:rsidR="00703C68" w:rsidRPr="00703C68">
        <w:rPr>
          <w:lang w:eastAsia="en-AU"/>
        </w:rPr>
        <w:t xml:space="preserve">Leaving such a cohort of people excluded from protections against unlawful discrimination is unacceptable. </w:t>
      </w:r>
      <w:r w:rsidR="008831EB" w:rsidRPr="005F0D68">
        <w:rPr>
          <w:lang w:eastAsia="en-AU"/>
        </w:rPr>
        <w:t xml:space="preserve">BCA is </w:t>
      </w:r>
      <w:r w:rsidR="009C78CC" w:rsidRPr="009C78CC">
        <w:rPr>
          <w:lang w:eastAsia="en-AU"/>
        </w:rPr>
        <w:t>aware of many instances where volunteering opportunities have been denied to a person who is blind or vision impaired due to perceived risks around occupational health and safety – despite research concluding that people with disability are significantly less likely to have a workplace accident</w:t>
      </w:r>
      <w:r w:rsidR="000C757C">
        <w:rPr>
          <w:rStyle w:val="EndnoteReference"/>
          <w:lang w:eastAsia="en-AU"/>
        </w:rPr>
        <w:endnoteReference w:id="8"/>
      </w:r>
      <w:r w:rsidR="009C78CC" w:rsidRPr="009C78CC">
        <w:rPr>
          <w:lang w:eastAsia="en-AU"/>
        </w:rPr>
        <w:t xml:space="preserve"> – or presumptions about how the volunteer will complete the tasks associated with a position.</w:t>
      </w:r>
      <w:r w:rsidR="0078121B">
        <w:rPr>
          <w:rStyle w:val="EndnoteReference"/>
          <w:lang w:eastAsia="en-AU"/>
        </w:rPr>
        <w:endnoteReference w:id="9"/>
      </w:r>
      <w:r w:rsidR="009C78CC" w:rsidRPr="009C78CC">
        <w:rPr>
          <w:lang w:eastAsia="en-AU"/>
        </w:rPr>
        <w:t xml:space="preserve"> </w:t>
      </w:r>
    </w:p>
    <w:p w14:paraId="5BDBC845" w14:textId="77777777" w:rsidR="00E555AB" w:rsidRDefault="007945FF" w:rsidP="006C0C01">
      <w:pPr>
        <w:rPr>
          <w:lang w:eastAsia="en-AU"/>
        </w:rPr>
      </w:pPr>
      <w:r>
        <w:rPr>
          <w:lang w:eastAsia="en-AU"/>
        </w:rPr>
        <w:t xml:space="preserve">BCA </w:t>
      </w:r>
      <w:r w:rsidR="009B13E1">
        <w:rPr>
          <w:lang w:eastAsia="en-AU"/>
        </w:rPr>
        <w:t xml:space="preserve">agrees </w:t>
      </w:r>
      <w:r>
        <w:rPr>
          <w:lang w:eastAsia="en-AU"/>
        </w:rPr>
        <w:t xml:space="preserve">the </w:t>
      </w:r>
      <w:r w:rsidRPr="004933F0">
        <w:rPr>
          <w:lang w:eastAsia="en-AU"/>
        </w:rPr>
        <w:t>ADA should have a different definition of who is responsible for work discrimination</w:t>
      </w:r>
      <w:r>
        <w:rPr>
          <w:lang w:eastAsia="en-AU"/>
        </w:rPr>
        <w:t xml:space="preserve"> with a </w:t>
      </w:r>
      <w:r w:rsidRPr="004933F0">
        <w:rPr>
          <w:lang w:eastAsia="en-AU"/>
        </w:rPr>
        <w:t>focus on whether someone has been discrimin</w:t>
      </w:r>
      <w:r w:rsidRPr="009B13E1">
        <w:rPr>
          <w:lang w:eastAsia="en-AU"/>
        </w:rPr>
        <w:t xml:space="preserve">ated against at work, </w:t>
      </w:r>
      <w:r w:rsidR="0094601B">
        <w:rPr>
          <w:lang w:eastAsia="en-AU"/>
        </w:rPr>
        <w:t xml:space="preserve">and </w:t>
      </w:r>
      <w:r w:rsidRPr="009B13E1">
        <w:rPr>
          <w:lang w:eastAsia="en-AU"/>
        </w:rPr>
        <w:t>not whether they have a particular employment relationship</w:t>
      </w:r>
      <w:r w:rsidR="009B13E1" w:rsidRPr="009B13E1">
        <w:rPr>
          <w:lang w:eastAsia="en-AU"/>
        </w:rPr>
        <w:t>. This would help to overcome gaps in protection where individuals who experience discrimination may not be covered because their work arrangement may not fit traditional definitions and focus instead on the experience of discrimination itself.</w:t>
      </w:r>
      <w:r w:rsidRPr="009B13E1">
        <w:rPr>
          <w:lang w:eastAsia="en-AU"/>
        </w:rPr>
        <w:t xml:space="preserve"> </w:t>
      </w:r>
    </w:p>
    <w:p w14:paraId="4C52EC14" w14:textId="3329625D" w:rsidR="009C78CC" w:rsidRPr="00F37358" w:rsidRDefault="00F37358" w:rsidP="00AF5943">
      <w:pPr>
        <w:rPr>
          <w:b/>
          <w:bCs/>
          <w:lang w:eastAsia="en-AU"/>
        </w:rPr>
      </w:pPr>
      <w:r w:rsidRPr="00F37358">
        <w:rPr>
          <w:b/>
          <w:bCs/>
          <w:lang w:eastAsia="en-AU"/>
        </w:rPr>
        <w:t>Recommendation</w:t>
      </w:r>
      <w:r w:rsidR="007817E2">
        <w:rPr>
          <w:b/>
          <w:bCs/>
          <w:lang w:eastAsia="en-AU"/>
        </w:rPr>
        <w:t xml:space="preserve"> </w:t>
      </w:r>
      <w:r w:rsidR="00C84112">
        <w:rPr>
          <w:b/>
          <w:bCs/>
          <w:lang w:eastAsia="en-AU"/>
        </w:rPr>
        <w:t>7</w:t>
      </w:r>
      <w:r w:rsidRPr="00F37358">
        <w:rPr>
          <w:b/>
          <w:bCs/>
          <w:lang w:eastAsia="en-AU"/>
        </w:rPr>
        <w:t>: Ex</w:t>
      </w:r>
      <w:r>
        <w:rPr>
          <w:b/>
          <w:bCs/>
          <w:lang w:eastAsia="en-AU"/>
        </w:rPr>
        <w:t>pand</w:t>
      </w:r>
      <w:r w:rsidRPr="00F37358">
        <w:rPr>
          <w:b/>
          <w:bCs/>
          <w:lang w:eastAsia="en-AU"/>
        </w:rPr>
        <w:t xml:space="preserve"> the </w:t>
      </w:r>
      <w:r w:rsidRPr="00F37358">
        <w:rPr>
          <w:b/>
          <w:bCs/>
        </w:rPr>
        <w:t>definition of employment</w:t>
      </w:r>
      <w:r>
        <w:rPr>
          <w:b/>
          <w:bCs/>
        </w:rPr>
        <w:t xml:space="preserve"> in the ADA </w:t>
      </w:r>
      <w:r w:rsidRPr="00F37358">
        <w:rPr>
          <w:b/>
          <w:bCs/>
        </w:rPr>
        <w:t xml:space="preserve">to include </w:t>
      </w:r>
      <w:r>
        <w:rPr>
          <w:b/>
          <w:bCs/>
        </w:rPr>
        <w:t xml:space="preserve">protection of </w:t>
      </w:r>
      <w:r w:rsidRPr="00F37358">
        <w:rPr>
          <w:b/>
          <w:bCs/>
        </w:rPr>
        <w:t>voluntary</w:t>
      </w:r>
      <w:r>
        <w:rPr>
          <w:b/>
          <w:bCs/>
        </w:rPr>
        <w:t xml:space="preserve"> and unpaid</w:t>
      </w:r>
      <w:r w:rsidRPr="00F37358">
        <w:rPr>
          <w:b/>
          <w:bCs/>
        </w:rPr>
        <w:t xml:space="preserve"> workers</w:t>
      </w:r>
      <w:r w:rsidR="00512DC9">
        <w:rPr>
          <w:b/>
          <w:bCs/>
        </w:rPr>
        <w:t xml:space="preserve"> and </w:t>
      </w:r>
      <w:r w:rsidR="004545A5">
        <w:rPr>
          <w:b/>
          <w:bCs/>
        </w:rPr>
        <w:t xml:space="preserve">shift </w:t>
      </w:r>
      <w:r w:rsidR="00512DC9">
        <w:rPr>
          <w:b/>
          <w:bCs/>
        </w:rPr>
        <w:t>focus</w:t>
      </w:r>
      <w:r w:rsidR="004545A5">
        <w:rPr>
          <w:b/>
          <w:bCs/>
        </w:rPr>
        <w:t xml:space="preserve"> away from </w:t>
      </w:r>
      <w:proofErr w:type="gramStart"/>
      <w:r w:rsidR="00B664E0">
        <w:rPr>
          <w:b/>
          <w:bCs/>
        </w:rPr>
        <w:t xml:space="preserve">particular </w:t>
      </w:r>
      <w:r w:rsidR="004545A5">
        <w:rPr>
          <w:b/>
          <w:bCs/>
        </w:rPr>
        <w:t>employment</w:t>
      </w:r>
      <w:proofErr w:type="gramEnd"/>
      <w:r w:rsidR="004545A5">
        <w:rPr>
          <w:b/>
          <w:bCs/>
        </w:rPr>
        <w:t xml:space="preserve"> relationships</w:t>
      </w:r>
      <w:r>
        <w:rPr>
          <w:b/>
          <w:bCs/>
        </w:rPr>
        <w:t>.</w:t>
      </w:r>
    </w:p>
    <w:p w14:paraId="060C5C0C" w14:textId="2D55F1FA" w:rsidR="00467BC5" w:rsidRDefault="00467BC5" w:rsidP="00467BC5">
      <w:r w:rsidRPr="00891835">
        <w:t xml:space="preserve">The labour force participation rate for people with </w:t>
      </w:r>
      <w:r w:rsidR="00A05DCC">
        <w:t>disability</w:t>
      </w:r>
      <w:r w:rsidRPr="00891835">
        <w:t xml:space="preserve"> in Australia is only 53% compared to 84% of people without a disability</w:t>
      </w:r>
      <w:r>
        <w:rPr>
          <w:rStyle w:val="EndnoteReference"/>
        </w:rPr>
        <w:endnoteReference w:id="10"/>
      </w:r>
      <w:r w:rsidRPr="00891835">
        <w:t>.</w:t>
      </w:r>
      <w:r>
        <w:t xml:space="preserve"> </w:t>
      </w:r>
      <w:r w:rsidRPr="00891835">
        <w:t>Over 575,000 Australians are blind or vision impaired, representing a significant portion of those impacted by inaccessible products, services, and workplaces</w:t>
      </w:r>
      <w:r>
        <w:rPr>
          <w:rStyle w:val="EndnoteReference"/>
        </w:rPr>
        <w:endnoteReference w:id="11"/>
      </w:r>
      <w:r w:rsidRPr="00891835">
        <w:t>.  </w:t>
      </w:r>
    </w:p>
    <w:p w14:paraId="61F0966A" w14:textId="11732BFD" w:rsidR="00AF5943" w:rsidRDefault="00AF5943" w:rsidP="00AF5943">
      <w:pPr>
        <w:rPr>
          <w:lang w:eastAsia="en-AU"/>
        </w:rPr>
      </w:pPr>
      <w:r w:rsidRPr="00AF5943">
        <w:rPr>
          <w:lang w:eastAsia="en-AU"/>
        </w:rPr>
        <w:lastRenderedPageBreak/>
        <w:t xml:space="preserve">The ADA </w:t>
      </w:r>
      <w:r w:rsidR="00B5554E">
        <w:rPr>
          <w:lang w:eastAsia="en-AU"/>
        </w:rPr>
        <w:t xml:space="preserve">currently </w:t>
      </w:r>
      <w:r w:rsidRPr="00AF5943">
        <w:rPr>
          <w:lang w:eastAsia="en-AU"/>
        </w:rPr>
        <w:t>allows some duty holders to discriminate against someone based on disability or carer’s responsibilities if they can’t carry out the “inherent requirements” of the job. Discrimination is also allowed if:</w:t>
      </w:r>
      <w:r w:rsidR="00F37358">
        <w:rPr>
          <w:lang w:eastAsia="en-AU"/>
        </w:rPr>
        <w:t xml:space="preserve"> </w:t>
      </w:r>
      <w:r w:rsidRPr="00AF5943">
        <w:rPr>
          <w:lang w:eastAsia="en-AU"/>
        </w:rPr>
        <w:t>someone needs a special arrangement to help them meet those job requirements, and it would cause the duty holder “unjustifiable hardship” to provide it.</w:t>
      </w:r>
    </w:p>
    <w:p w14:paraId="66741CAB" w14:textId="2703F58E" w:rsidR="009D0FA4" w:rsidRDefault="00F54F9A" w:rsidP="00BD25F0">
      <w:r>
        <w:rPr>
          <w:lang w:eastAsia="en-AU"/>
        </w:rPr>
        <w:t>BCA</w:t>
      </w:r>
      <w:r w:rsidR="00BD25F0">
        <w:rPr>
          <w:lang w:eastAsia="en-AU"/>
        </w:rPr>
        <w:t xml:space="preserve"> </w:t>
      </w:r>
      <w:r w:rsidR="00BD25F0" w:rsidRPr="00BD25F0">
        <w:rPr>
          <w:lang w:eastAsia="en-AU"/>
        </w:rPr>
        <w:t>supports amendment of the ADA in relation to the Inherent Requirements exemption</w:t>
      </w:r>
      <w:r w:rsidR="00BD25F0">
        <w:rPr>
          <w:lang w:eastAsia="en-AU"/>
        </w:rPr>
        <w:t xml:space="preserve">, in line with recommendations from the </w:t>
      </w:r>
      <w:r w:rsidR="000470B1">
        <w:rPr>
          <w:lang w:eastAsia="en-AU"/>
        </w:rPr>
        <w:t xml:space="preserve">Disability </w:t>
      </w:r>
      <w:r w:rsidR="00BD25F0">
        <w:rPr>
          <w:lang w:eastAsia="en-AU"/>
        </w:rPr>
        <w:t xml:space="preserve">Royal Commission Report whereby employers have a duty to </w:t>
      </w:r>
      <w:r>
        <w:rPr>
          <w:lang w:eastAsia="en-AU"/>
        </w:rPr>
        <w:t xml:space="preserve">make </w:t>
      </w:r>
      <w:r w:rsidR="00476934">
        <w:rPr>
          <w:lang w:eastAsia="en-AU"/>
        </w:rPr>
        <w:t>accommodations</w:t>
      </w:r>
      <w:r w:rsidR="002C5710">
        <w:rPr>
          <w:lang w:eastAsia="en-AU"/>
        </w:rPr>
        <w:t xml:space="preserve"> to</w:t>
      </w:r>
      <w:r w:rsidR="00AF5943" w:rsidRPr="00AF5943">
        <w:rPr>
          <w:lang w:eastAsia="en-AU"/>
        </w:rPr>
        <w:t xml:space="preserve"> enable a person to do their job</w:t>
      </w:r>
      <w:r w:rsidR="00F37358">
        <w:rPr>
          <w:lang w:eastAsia="en-AU"/>
        </w:rPr>
        <w:t xml:space="preserve"> and that d</w:t>
      </w:r>
      <w:r w:rsidR="00AF5943" w:rsidRPr="00AF5943">
        <w:rPr>
          <w:lang w:eastAsia="en-AU"/>
        </w:rPr>
        <w:t xml:space="preserve">iscrimination only be allowed if </w:t>
      </w:r>
      <w:r w:rsidR="00AF5943" w:rsidRPr="00F54F9A">
        <w:t xml:space="preserve">the person still </w:t>
      </w:r>
      <w:r w:rsidR="00AF5943" w:rsidRPr="00F54F9A">
        <w:rPr>
          <w:lang w:eastAsia="en-AU"/>
        </w:rPr>
        <w:t xml:space="preserve">couldn’t meet the job requirements despite the </w:t>
      </w:r>
      <w:r w:rsidR="00506762">
        <w:rPr>
          <w:lang w:eastAsia="en-AU"/>
        </w:rPr>
        <w:t>accommodations</w:t>
      </w:r>
      <w:r w:rsidR="00BD25F0">
        <w:rPr>
          <w:lang w:eastAsia="en-AU"/>
        </w:rPr>
        <w:t xml:space="preserve"> and </w:t>
      </w:r>
      <w:r w:rsidR="00AF5943" w:rsidRPr="00F54F9A">
        <w:rPr>
          <w:lang w:eastAsia="en-AU"/>
        </w:rPr>
        <w:t>it is reasonable, proportionate and justifiable.</w:t>
      </w:r>
      <w:r w:rsidR="00BD25F0">
        <w:rPr>
          <w:lang w:eastAsia="en-AU"/>
        </w:rPr>
        <w:t xml:space="preserve"> </w:t>
      </w:r>
      <w:r w:rsidR="00BD25F0" w:rsidRPr="00BD25F0">
        <w:rPr>
          <w:lang w:eastAsia="en-AU"/>
        </w:rPr>
        <w:t xml:space="preserve">Furthermore, BCA agrees with Vision Australia that </w:t>
      </w:r>
      <w:r w:rsidR="009D0FA4" w:rsidRPr="00BD25F0">
        <w:rPr>
          <w:lang w:eastAsia="en-AU"/>
        </w:rPr>
        <w:t xml:space="preserve">additional factors to be </w:t>
      </w:r>
      <w:proofErr w:type="gramStart"/>
      <w:r w:rsidR="009D0FA4" w:rsidRPr="00BD25F0">
        <w:rPr>
          <w:lang w:eastAsia="en-AU"/>
        </w:rPr>
        <w:t>taken into account</w:t>
      </w:r>
      <w:proofErr w:type="gramEnd"/>
      <w:r w:rsidR="009D0FA4" w:rsidRPr="00BD25F0">
        <w:rPr>
          <w:lang w:eastAsia="en-AU"/>
        </w:rPr>
        <w:t xml:space="preserve"> should be: (a) the nature and extent of any </w:t>
      </w:r>
      <w:r w:rsidR="00476934">
        <w:rPr>
          <w:lang w:eastAsia="en-AU"/>
        </w:rPr>
        <w:t>accommodations</w:t>
      </w:r>
      <w:r w:rsidR="009D0FA4" w:rsidRPr="00BD25F0">
        <w:rPr>
          <w:lang w:eastAsia="en-AU"/>
        </w:rPr>
        <w:t xml:space="preserve"> made; and (b) the extent of consultation with any person with disability concerned.</w:t>
      </w:r>
      <w:r w:rsidR="009D0FA4" w:rsidRPr="009D0FA4">
        <w:rPr>
          <w:highlight w:val="yellow"/>
        </w:rPr>
        <w:t xml:space="preserve"> </w:t>
      </w:r>
    </w:p>
    <w:p w14:paraId="1F863715" w14:textId="4EF6F184" w:rsidR="00771FD2" w:rsidRDefault="00771FD2" w:rsidP="00AF5943">
      <w:pPr>
        <w:rPr>
          <w:lang w:eastAsia="en-AU"/>
        </w:rPr>
      </w:pPr>
      <w:r w:rsidRPr="00771FD2">
        <w:rPr>
          <w:lang w:eastAsia="en-AU"/>
        </w:rPr>
        <w:t xml:space="preserve">The barriers to employment for people who are </w:t>
      </w:r>
      <w:proofErr w:type="gramStart"/>
      <w:r w:rsidRPr="00771FD2">
        <w:rPr>
          <w:lang w:eastAsia="en-AU"/>
        </w:rPr>
        <w:t>blind</w:t>
      </w:r>
      <w:proofErr w:type="gramEnd"/>
      <w:r w:rsidRPr="00771FD2">
        <w:rPr>
          <w:lang w:eastAsia="en-AU"/>
        </w:rPr>
        <w:t xml:space="preserve"> or vision impaired remain unacceptably high. In 2021, the publication of Ernst &amp; Young’s decade-long survey of 1,000 employers revealed that 92 per cent of people involved in recruitment had concerns about hiring someone who was blind or vision impaired. </w:t>
      </w:r>
      <w:r w:rsidR="007353DC">
        <w:rPr>
          <w:lang w:eastAsia="en-AU"/>
        </w:rPr>
        <w:t xml:space="preserve">Concerns included </w:t>
      </w:r>
      <w:r w:rsidRPr="00771FD2">
        <w:rPr>
          <w:lang w:eastAsia="en-AU"/>
        </w:rPr>
        <w:t xml:space="preserve">workplace health and safety, expense of workplace </w:t>
      </w:r>
      <w:r w:rsidR="00AD69CC">
        <w:rPr>
          <w:lang w:eastAsia="en-AU"/>
        </w:rPr>
        <w:t>accommodations</w:t>
      </w:r>
      <w:r w:rsidRPr="00771FD2">
        <w:rPr>
          <w:lang w:eastAsia="en-AU"/>
        </w:rPr>
        <w:t>, productivity and transport</w:t>
      </w:r>
      <w:r>
        <w:rPr>
          <w:lang w:eastAsia="en-AU"/>
        </w:rPr>
        <w:t>.</w:t>
      </w:r>
      <w:r w:rsidR="0095533D">
        <w:rPr>
          <w:rStyle w:val="EndnoteReference"/>
          <w:lang w:eastAsia="en-AU"/>
        </w:rPr>
        <w:endnoteReference w:id="12"/>
      </w:r>
    </w:p>
    <w:p w14:paraId="293A8E5F" w14:textId="0AAEB737" w:rsidR="002C7B6F" w:rsidRPr="006C0C01" w:rsidRDefault="007353DC" w:rsidP="002C7B6F">
      <w:pPr>
        <w:rPr>
          <w:b/>
          <w:bCs/>
          <w:lang w:eastAsia="en-AU"/>
        </w:rPr>
      </w:pPr>
      <w:r w:rsidRPr="00891835">
        <w:t>A 2011 PWC report estimated that increasing the employment of people with di</w:t>
      </w:r>
      <w:r w:rsidR="00575E3D">
        <w:t>sability</w:t>
      </w:r>
      <w:r w:rsidRPr="00891835">
        <w:t xml:space="preserve"> could add almost $50billion or 1.4% to Australia’s Gross Domestic Product (GDP) by 2050</w:t>
      </w:r>
      <w:r>
        <w:rPr>
          <w:rStyle w:val="EndnoteReference"/>
        </w:rPr>
        <w:endnoteReference w:id="13"/>
      </w:r>
      <w:r w:rsidRPr="00891835">
        <w:t xml:space="preserve">. Research by the International Labor Organisation (ILO) showed that economies lose up to 7% of their GDP when </w:t>
      </w:r>
      <w:r w:rsidR="00A62B38">
        <w:t>people</w:t>
      </w:r>
      <w:r w:rsidRPr="00891835">
        <w:t xml:space="preserve"> with </w:t>
      </w:r>
      <w:r w:rsidR="00A62B38">
        <w:t>disability</w:t>
      </w:r>
      <w:r w:rsidRPr="00891835">
        <w:t xml:space="preserve"> are excluded from the workforce due to inaccessible environments (either physical or digital)</w:t>
      </w:r>
      <w:r w:rsidRPr="00856A75">
        <w:rPr>
          <w:szCs w:val="32"/>
        </w:rPr>
        <w:t>.</w:t>
      </w:r>
      <w:r w:rsidR="002C7B6F">
        <w:rPr>
          <w:szCs w:val="32"/>
        </w:rPr>
        <w:t xml:space="preserve"> T</w:t>
      </w:r>
      <w:r w:rsidR="002C7B6F" w:rsidRPr="006C0C01">
        <w:rPr>
          <w:lang w:eastAsia="en-AU"/>
        </w:rPr>
        <w:t>he A</w:t>
      </w:r>
      <w:r w:rsidR="002C7B6F">
        <w:rPr>
          <w:lang w:eastAsia="en-AU"/>
        </w:rPr>
        <w:t>DA</w:t>
      </w:r>
      <w:r w:rsidR="002C7B6F" w:rsidRPr="006C0C01">
        <w:rPr>
          <w:lang w:eastAsia="en-AU"/>
        </w:rPr>
        <w:t xml:space="preserve"> </w:t>
      </w:r>
      <w:r w:rsidR="002C7B6F">
        <w:rPr>
          <w:lang w:eastAsia="en-AU"/>
        </w:rPr>
        <w:t xml:space="preserve">should </w:t>
      </w:r>
      <w:r w:rsidR="002C7B6F" w:rsidRPr="006C0C01">
        <w:rPr>
          <w:lang w:eastAsia="en-AU"/>
        </w:rPr>
        <w:t xml:space="preserve">reflect today’s </w:t>
      </w:r>
      <w:r w:rsidR="002C7B6F">
        <w:rPr>
          <w:lang w:eastAsia="en-AU"/>
        </w:rPr>
        <w:t xml:space="preserve">work </w:t>
      </w:r>
      <w:r w:rsidR="002C7B6F" w:rsidRPr="006C0C01">
        <w:rPr>
          <w:lang w:eastAsia="en-AU"/>
        </w:rPr>
        <w:t>environment</w:t>
      </w:r>
      <w:r w:rsidR="002C7B6F">
        <w:rPr>
          <w:lang w:eastAsia="en-AU"/>
        </w:rPr>
        <w:t xml:space="preserve">s and </w:t>
      </w:r>
      <w:r w:rsidR="002C7B6F" w:rsidRPr="006C0C01">
        <w:rPr>
          <w:lang w:eastAsia="en-AU"/>
        </w:rPr>
        <w:t>address inaccessibility, digital exclusion, and systemic bias as forms of discrimination</w:t>
      </w:r>
      <w:r w:rsidR="002C7B6F">
        <w:rPr>
          <w:lang w:eastAsia="en-AU"/>
        </w:rPr>
        <w:t xml:space="preserve"> within modern work practices and processes including recruitment. </w:t>
      </w:r>
    </w:p>
    <w:p w14:paraId="19CF38B9" w14:textId="0F55CC97" w:rsidR="00730748" w:rsidRPr="00730748" w:rsidRDefault="00730748" w:rsidP="00AF5943">
      <w:pPr>
        <w:rPr>
          <w:b/>
          <w:bCs/>
          <w:lang w:eastAsia="en-AU"/>
        </w:rPr>
      </w:pPr>
      <w:r w:rsidRPr="00730748">
        <w:rPr>
          <w:b/>
          <w:bCs/>
          <w:lang w:eastAsia="en-AU"/>
        </w:rPr>
        <w:t>Recommend</w:t>
      </w:r>
      <w:r w:rsidR="00E34751">
        <w:rPr>
          <w:b/>
          <w:bCs/>
          <w:lang w:eastAsia="en-AU"/>
        </w:rPr>
        <w:t xml:space="preserve">ation </w:t>
      </w:r>
      <w:r w:rsidR="00F17D3D">
        <w:rPr>
          <w:b/>
          <w:bCs/>
          <w:lang w:eastAsia="en-AU"/>
        </w:rPr>
        <w:t>8</w:t>
      </w:r>
      <w:r w:rsidRPr="00730748">
        <w:rPr>
          <w:b/>
          <w:bCs/>
          <w:lang w:eastAsia="en-AU"/>
        </w:rPr>
        <w:t xml:space="preserve">: Amend the ADA in relation to the Inherent Requirements exemption in line with recommendations from the </w:t>
      </w:r>
      <w:r w:rsidR="00F17D3D">
        <w:rPr>
          <w:b/>
          <w:bCs/>
          <w:lang w:eastAsia="en-AU"/>
        </w:rPr>
        <w:t xml:space="preserve">Disability </w:t>
      </w:r>
      <w:r w:rsidRPr="00730748">
        <w:rPr>
          <w:b/>
          <w:bCs/>
          <w:lang w:eastAsia="en-AU"/>
        </w:rPr>
        <w:t>Royal Commission Report.</w:t>
      </w:r>
    </w:p>
    <w:p w14:paraId="6BFD9F43" w14:textId="272C8128" w:rsidR="004933F0" w:rsidRDefault="005A038C" w:rsidP="005A038C">
      <w:pPr>
        <w:pStyle w:val="Heading4"/>
      </w:pPr>
      <w:r>
        <w:t xml:space="preserve">3.3.2 </w:t>
      </w:r>
      <w:r w:rsidR="00AF5943">
        <w:t xml:space="preserve">Education </w:t>
      </w:r>
    </w:p>
    <w:p w14:paraId="7F9F9878" w14:textId="541C5183" w:rsidR="00730748" w:rsidRDefault="006871AB" w:rsidP="00730748">
      <w:r>
        <w:t xml:space="preserve">BCA shares </w:t>
      </w:r>
      <w:r w:rsidRPr="00481078">
        <w:t xml:space="preserve">concerns that </w:t>
      </w:r>
      <w:r w:rsidR="00730748">
        <w:t xml:space="preserve">existing </w:t>
      </w:r>
      <w:r w:rsidRPr="00481078">
        <w:t>exceptions</w:t>
      </w:r>
      <w:r>
        <w:t xml:space="preserve"> under the ADA </w:t>
      </w:r>
      <w:r w:rsidRPr="00481078">
        <w:t>permit</w:t>
      </w:r>
      <w:r w:rsidR="00EA3747">
        <w:t>ting</w:t>
      </w:r>
      <w:r w:rsidRPr="00481078">
        <w:t xml:space="preserve"> discrimination against people with disability</w:t>
      </w:r>
      <w:r>
        <w:t xml:space="preserve"> </w:t>
      </w:r>
      <w:r w:rsidRPr="00481078">
        <w:t>are outdated, unjustified and undermine inclusivity</w:t>
      </w:r>
      <w:r w:rsidR="000B1116">
        <w:t>. Also, that they</w:t>
      </w:r>
      <w:r>
        <w:t xml:space="preserve"> </w:t>
      </w:r>
      <w:r w:rsidRPr="00481078">
        <w:t>apply unconditionally, without requiring duty holders to justify their conduct.</w:t>
      </w:r>
      <w:r w:rsidRPr="006871AB">
        <w:t xml:space="preserve"> BCA does not support the </w:t>
      </w:r>
      <w:r w:rsidR="00EA3747">
        <w:t xml:space="preserve">ADA </w:t>
      </w:r>
      <w:r w:rsidRPr="006871AB">
        <w:t>exception for private educational authorities to discriminate against students with disability and recommend</w:t>
      </w:r>
      <w:r w:rsidR="0085571A">
        <w:t>s</w:t>
      </w:r>
      <w:r w:rsidR="00EA3747">
        <w:t xml:space="preserve"> the exception</w:t>
      </w:r>
      <w:r w:rsidRPr="006871AB">
        <w:t xml:space="preserve"> be removed.</w:t>
      </w:r>
      <w:r w:rsidR="00EA3747">
        <w:t xml:space="preserve"> </w:t>
      </w:r>
    </w:p>
    <w:p w14:paraId="45844EC5" w14:textId="5E714D05" w:rsidR="00467BC5" w:rsidRDefault="00730748" w:rsidP="00730748">
      <w:pPr>
        <w:rPr>
          <w:b/>
          <w:bCs/>
          <w:szCs w:val="23"/>
        </w:rPr>
      </w:pPr>
      <w:r w:rsidRPr="00730748">
        <w:rPr>
          <w:lang w:eastAsia="en-AU"/>
        </w:rPr>
        <w:lastRenderedPageBreak/>
        <w:t xml:space="preserve">Reports by UNESCO indicate that </w:t>
      </w:r>
      <w:r w:rsidRPr="00B83283">
        <w:rPr>
          <w:szCs w:val="23"/>
        </w:rPr>
        <w:t xml:space="preserve">children with </w:t>
      </w:r>
      <w:r w:rsidR="00A62B38">
        <w:rPr>
          <w:szCs w:val="23"/>
        </w:rPr>
        <w:t>disability</w:t>
      </w:r>
      <w:r w:rsidRPr="00B83283">
        <w:rPr>
          <w:szCs w:val="23"/>
        </w:rPr>
        <w:t xml:space="preserve"> are among the most excluded from education systems globally</w:t>
      </w:r>
      <w:r>
        <w:rPr>
          <w:rStyle w:val="EndnoteReference"/>
          <w:szCs w:val="23"/>
        </w:rPr>
        <w:endnoteReference w:id="14"/>
      </w:r>
      <w:r>
        <w:rPr>
          <w:szCs w:val="23"/>
        </w:rPr>
        <w:t xml:space="preserve"> and </w:t>
      </w:r>
      <w:r w:rsidR="00B23E65" w:rsidRPr="00410FFB">
        <w:rPr>
          <w:szCs w:val="23"/>
        </w:rPr>
        <w:t xml:space="preserve">illiteracy is higher in children with visual impairments, multiple or mental disorders compared to children with motor </w:t>
      </w:r>
      <w:r w:rsidR="00A62B38">
        <w:rPr>
          <w:szCs w:val="23"/>
        </w:rPr>
        <w:t>disability</w:t>
      </w:r>
      <w:r w:rsidR="00B23E65">
        <w:rPr>
          <w:b/>
          <w:bCs/>
          <w:szCs w:val="23"/>
        </w:rPr>
        <w:t>.</w:t>
      </w:r>
      <w:r w:rsidR="0061587A">
        <w:rPr>
          <w:rStyle w:val="EndnoteReference"/>
          <w:b/>
          <w:bCs/>
          <w:szCs w:val="23"/>
        </w:rPr>
        <w:endnoteReference w:id="15"/>
      </w:r>
      <w:r w:rsidR="00B23E65">
        <w:rPr>
          <w:b/>
          <w:bCs/>
          <w:szCs w:val="23"/>
        </w:rPr>
        <w:t xml:space="preserve"> </w:t>
      </w:r>
      <w:r w:rsidR="00467BC5" w:rsidRPr="00B26225">
        <w:rPr>
          <w:szCs w:val="23"/>
        </w:rPr>
        <w:t xml:space="preserve">The World Blind Union substantiates that “children with visual </w:t>
      </w:r>
      <w:r w:rsidR="00A62B38">
        <w:rPr>
          <w:szCs w:val="23"/>
        </w:rPr>
        <w:t>disability</w:t>
      </w:r>
      <w:r w:rsidR="00467BC5" w:rsidRPr="00B26225">
        <w:rPr>
          <w:szCs w:val="23"/>
        </w:rPr>
        <w:t xml:space="preserve"> are among the most excluded group from the education system.</w:t>
      </w:r>
      <w:r w:rsidR="0061587A">
        <w:rPr>
          <w:rStyle w:val="EndnoteReference"/>
          <w:szCs w:val="23"/>
        </w:rPr>
        <w:endnoteReference w:id="16"/>
      </w:r>
    </w:p>
    <w:p w14:paraId="64AA1E6B" w14:textId="49B085B6" w:rsidR="00B23E65" w:rsidRPr="00410FFB" w:rsidRDefault="00467BC5" w:rsidP="00730748">
      <w:pPr>
        <w:rPr>
          <w:szCs w:val="23"/>
        </w:rPr>
      </w:pPr>
      <w:r>
        <w:t>UNCRPD states that s</w:t>
      </w:r>
      <w:r w:rsidRPr="00B26225">
        <w:rPr>
          <w:lang w:eastAsia="en-AU"/>
        </w:rPr>
        <w:t xml:space="preserve">tudents who are blind, or vision impaired must not be excluded from education based on disability </w:t>
      </w:r>
      <w:r>
        <w:rPr>
          <w:lang w:eastAsia="en-AU"/>
        </w:rPr>
        <w:t xml:space="preserve">and should </w:t>
      </w:r>
      <w:r w:rsidRPr="00B26225">
        <w:rPr>
          <w:lang w:eastAsia="en-AU"/>
        </w:rPr>
        <w:t>receiv</w:t>
      </w:r>
      <w:r>
        <w:rPr>
          <w:lang w:eastAsia="en-AU"/>
        </w:rPr>
        <w:t>e</w:t>
      </w:r>
      <w:r w:rsidRPr="00B26225">
        <w:rPr>
          <w:lang w:eastAsia="en-AU"/>
        </w:rPr>
        <w:t xml:space="preserve"> </w:t>
      </w:r>
      <w:r w:rsidRPr="00730748">
        <w:rPr>
          <w:lang w:eastAsia="en-AU"/>
        </w:rPr>
        <w:t>education on an equal basis to peers in their communities.</w:t>
      </w:r>
      <w:r>
        <w:rPr>
          <w:rStyle w:val="EndnoteReference"/>
          <w:lang w:eastAsia="en-AU"/>
        </w:rPr>
        <w:endnoteReference w:id="17"/>
      </w:r>
    </w:p>
    <w:p w14:paraId="50865A52" w14:textId="52A0F543" w:rsidR="00B26225" w:rsidRDefault="00730748" w:rsidP="00B26225">
      <w:pPr>
        <w:pStyle w:val="BodyText"/>
        <w:rPr>
          <w:szCs w:val="23"/>
        </w:rPr>
      </w:pPr>
      <w:r>
        <w:rPr>
          <w:szCs w:val="23"/>
        </w:rPr>
        <w:t xml:space="preserve">Australian Institute of Health and Welfare figures </w:t>
      </w:r>
      <w:r w:rsidRPr="00B23E65">
        <w:rPr>
          <w:szCs w:val="23"/>
        </w:rPr>
        <w:t>reinforce the persistent gap in educational attainment between people with and without disability. As of 2018, only 34% of people aged 20 and over with disability had completed Year 12, compared to 66% of people without disability.</w:t>
      </w:r>
      <w:r>
        <w:rPr>
          <w:rStyle w:val="EndnoteReference"/>
          <w:szCs w:val="23"/>
        </w:rPr>
        <w:endnoteReference w:id="18"/>
      </w:r>
    </w:p>
    <w:p w14:paraId="26E5D48B" w14:textId="66E047D9" w:rsidR="003E1DFD" w:rsidRPr="0056603B" w:rsidRDefault="00C15C20" w:rsidP="003E1DFD">
      <w:pPr>
        <w:rPr>
          <w:b/>
          <w:bCs/>
        </w:rPr>
      </w:pPr>
      <w:bookmarkStart w:id="31" w:name="_Toc192855247"/>
      <w:bookmarkStart w:id="32" w:name="_Toc193878210"/>
      <w:bookmarkStart w:id="33" w:name="_Toc194317721"/>
      <w:bookmarkStart w:id="34" w:name="_Toc194329763"/>
      <w:bookmarkStart w:id="35" w:name="_Toc194484725"/>
      <w:bookmarkStart w:id="36" w:name="_Toc194999289"/>
      <w:bookmarkStart w:id="37" w:name="_Toc195540200"/>
      <w:bookmarkStart w:id="38" w:name="_Toc195785709"/>
      <w:r w:rsidRPr="0056603B">
        <w:rPr>
          <w:b/>
          <w:bCs/>
        </w:rPr>
        <w:t>Recommend</w:t>
      </w:r>
      <w:r w:rsidR="00E34751">
        <w:rPr>
          <w:b/>
          <w:bCs/>
        </w:rPr>
        <w:t xml:space="preserve">ation </w:t>
      </w:r>
      <w:r w:rsidR="006257B4">
        <w:rPr>
          <w:b/>
          <w:bCs/>
        </w:rPr>
        <w:t>9</w:t>
      </w:r>
      <w:r w:rsidRPr="0056603B">
        <w:rPr>
          <w:b/>
          <w:bCs/>
        </w:rPr>
        <w:t xml:space="preserve">: Remove </w:t>
      </w:r>
      <w:r w:rsidR="00E62FB1" w:rsidRPr="0056603B">
        <w:rPr>
          <w:b/>
          <w:bCs/>
        </w:rPr>
        <w:t>exceptions for private educational authorities in education to discriminate against students and prospective students with disability.</w:t>
      </w:r>
    </w:p>
    <w:p w14:paraId="7BBFD7D0" w14:textId="3CDB188D" w:rsidR="00D854C4" w:rsidRPr="00D854C4" w:rsidRDefault="005A038C" w:rsidP="005A038C">
      <w:pPr>
        <w:pStyle w:val="Heading4"/>
      </w:pPr>
      <w:r>
        <w:t xml:space="preserve">3.3.3 </w:t>
      </w:r>
      <w:r w:rsidR="00511070">
        <w:t>G</w:t>
      </w:r>
      <w:r w:rsidR="00D854C4" w:rsidRPr="00D854C4">
        <w:t>oods and services</w:t>
      </w:r>
      <w:bookmarkEnd w:id="31"/>
      <w:bookmarkEnd w:id="32"/>
      <w:bookmarkEnd w:id="33"/>
      <w:bookmarkEnd w:id="34"/>
      <w:bookmarkEnd w:id="35"/>
      <w:bookmarkEnd w:id="36"/>
      <w:bookmarkEnd w:id="37"/>
      <w:bookmarkEnd w:id="38"/>
    </w:p>
    <w:p w14:paraId="0E3F7B9E" w14:textId="24F5B1C3" w:rsidR="009E0435" w:rsidRDefault="00D854C4" w:rsidP="009D0FA4">
      <w:pPr>
        <w:rPr>
          <w:lang w:eastAsia="en-AU"/>
        </w:rPr>
      </w:pPr>
      <w:r w:rsidRPr="00D42BB5">
        <w:rPr>
          <w:lang w:eastAsia="en-AU"/>
        </w:rPr>
        <w:t>BCA agree</w:t>
      </w:r>
      <w:r w:rsidR="00040DEA" w:rsidRPr="00D42BB5">
        <w:rPr>
          <w:lang w:eastAsia="en-AU"/>
        </w:rPr>
        <w:t>s</w:t>
      </w:r>
      <w:r w:rsidR="00EA3747" w:rsidRPr="00D42BB5">
        <w:rPr>
          <w:lang w:eastAsia="en-AU"/>
        </w:rPr>
        <w:t xml:space="preserve"> </w:t>
      </w:r>
      <w:r w:rsidR="00446DD0">
        <w:rPr>
          <w:lang w:eastAsia="en-AU"/>
        </w:rPr>
        <w:t xml:space="preserve">for </w:t>
      </w:r>
      <w:r w:rsidR="00EA3747" w:rsidRPr="00D42BB5">
        <w:rPr>
          <w:lang w:eastAsia="en-AU"/>
        </w:rPr>
        <w:t xml:space="preserve">the </w:t>
      </w:r>
      <w:r w:rsidR="00EA3747" w:rsidRPr="00D42BB5">
        <w:rPr>
          <w:lang w:val="en-US" w:eastAsia="en-AU"/>
        </w:rPr>
        <w:t xml:space="preserve">ADA </w:t>
      </w:r>
      <w:r w:rsidR="00446DD0">
        <w:rPr>
          <w:lang w:val="en-US" w:eastAsia="en-AU"/>
        </w:rPr>
        <w:t xml:space="preserve">to </w:t>
      </w:r>
      <w:r w:rsidR="00EA3747" w:rsidRPr="00D42BB5">
        <w:rPr>
          <w:lang w:val="en-US" w:eastAsia="en-AU"/>
        </w:rPr>
        <w:t>be amended to deal with discrimination in the provision of goods and services,</w:t>
      </w:r>
      <w:r w:rsidR="009B214E">
        <w:rPr>
          <w:lang w:val="en-US" w:eastAsia="en-AU"/>
        </w:rPr>
        <w:t xml:space="preserve"> </w:t>
      </w:r>
      <w:r w:rsidR="00EA3747" w:rsidRPr="00D42BB5">
        <w:rPr>
          <w:lang w:eastAsia="en-AU"/>
        </w:rPr>
        <w:t xml:space="preserve">prohibiting discrimination in the </w:t>
      </w:r>
      <w:r w:rsidR="00EA3747" w:rsidRPr="00D42BB5">
        <w:rPr>
          <w:i/>
          <w:iCs/>
          <w:lang w:eastAsia="en-AU"/>
        </w:rPr>
        <w:t>way</w:t>
      </w:r>
      <w:r w:rsidR="00EA3747" w:rsidRPr="00D42BB5">
        <w:rPr>
          <w:lang w:eastAsia="en-AU"/>
        </w:rPr>
        <w:t xml:space="preserve"> the good or service is provided</w:t>
      </w:r>
      <w:r w:rsidR="00335BCB">
        <w:rPr>
          <w:lang w:eastAsia="en-AU"/>
        </w:rPr>
        <w:t xml:space="preserve">. </w:t>
      </w:r>
      <w:r w:rsidR="00F01EC2">
        <w:rPr>
          <w:lang w:eastAsia="en-AU"/>
        </w:rPr>
        <w:t xml:space="preserve">For example, </w:t>
      </w:r>
      <w:r w:rsidR="00171228">
        <w:rPr>
          <w:lang w:eastAsia="en-AU"/>
        </w:rPr>
        <w:t xml:space="preserve">if a </w:t>
      </w:r>
      <w:proofErr w:type="spellStart"/>
      <w:proofErr w:type="gramStart"/>
      <w:r w:rsidR="00171228">
        <w:rPr>
          <w:lang w:eastAsia="en-AU"/>
        </w:rPr>
        <w:t>self service</w:t>
      </w:r>
      <w:proofErr w:type="spellEnd"/>
      <w:proofErr w:type="gramEnd"/>
      <w:r w:rsidR="00171228">
        <w:rPr>
          <w:lang w:eastAsia="en-AU"/>
        </w:rPr>
        <w:t xml:space="preserve"> </w:t>
      </w:r>
      <w:r w:rsidR="000420D9">
        <w:rPr>
          <w:lang w:eastAsia="en-AU"/>
        </w:rPr>
        <w:t>ticket machine lacks accessibility features</w:t>
      </w:r>
      <w:r w:rsidR="00ED7378">
        <w:rPr>
          <w:lang w:eastAsia="en-AU"/>
        </w:rPr>
        <w:t xml:space="preserve"> such as tactile buttons or audio guidance and relies solely on </w:t>
      </w:r>
      <w:r w:rsidR="00C847A0">
        <w:rPr>
          <w:lang w:eastAsia="en-AU"/>
        </w:rPr>
        <w:t xml:space="preserve">a </w:t>
      </w:r>
      <w:r w:rsidR="00ED7378">
        <w:rPr>
          <w:lang w:eastAsia="en-AU"/>
        </w:rPr>
        <w:t>visual</w:t>
      </w:r>
      <w:r w:rsidR="00C847A0">
        <w:rPr>
          <w:lang w:eastAsia="en-AU"/>
        </w:rPr>
        <w:t xml:space="preserve"> interface it excludes people who are blind or vision impaired. </w:t>
      </w:r>
      <w:r w:rsidR="00ED7378">
        <w:rPr>
          <w:lang w:eastAsia="en-AU"/>
        </w:rPr>
        <w:t xml:space="preserve"> </w:t>
      </w:r>
    </w:p>
    <w:p w14:paraId="00A59C20" w14:textId="2A3ED1F1" w:rsidR="009D0FA4" w:rsidRPr="009D0FA4" w:rsidRDefault="00F01EC2" w:rsidP="009D0FA4">
      <w:pPr>
        <w:rPr>
          <w:lang w:eastAsia="en-AU"/>
        </w:rPr>
      </w:pPr>
      <w:r>
        <w:rPr>
          <w:lang w:eastAsia="en-AU"/>
        </w:rPr>
        <w:t>The ADA</w:t>
      </w:r>
      <w:r w:rsidR="00A84179">
        <w:rPr>
          <w:lang w:eastAsia="en-AU"/>
        </w:rPr>
        <w:t xml:space="preserve"> should </w:t>
      </w:r>
      <w:r w:rsidR="00EA3747" w:rsidRPr="00D42BB5">
        <w:rPr>
          <w:lang w:val="en-US" w:eastAsia="en-AU"/>
        </w:rPr>
        <w:t>reflect the scope and language of the equivalent section of the DDA</w:t>
      </w:r>
      <w:r w:rsidR="0061587A">
        <w:rPr>
          <w:lang w:val="en-US" w:eastAsia="en-AU"/>
        </w:rPr>
        <w:t xml:space="preserve"> (S.24)</w:t>
      </w:r>
      <w:r w:rsidR="0061587A">
        <w:rPr>
          <w:vertAlign w:val="superscript"/>
          <w:lang w:val="en-US" w:eastAsia="en-AU"/>
        </w:rPr>
        <w:t xml:space="preserve"> </w:t>
      </w:r>
      <w:r w:rsidR="00EA3747" w:rsidRPr="00D42BB5">
        <w:rPr>
          <w:lang w:val="en-US" w:eastAsia="en-AU"/>
        </w:rPr>
        <w:t xml:space="preserve"> </w:t>
      </w:r>
      <w:r w:rsidR="00D42BB5" w:rsidRPr="00D42BB5">
        <w:rPr>
          <w:lang w:val="en-US" w:eastAsia="en-AU"/>
        </w:rPr>
        <w:t>with particular attention to</w:t>
      </w:r>
      <w:r w:rsidR="00446DD0">
        <w:rPr>
          <w:lang w:val="en-US" w:eastAsia="en-AU"/>
        </w:rPr>
        <w:t>:</w:t>
      </w:r>
      <w:r w:rsidR="00D42BB5" w:rsidRPr="00D42BB5">
        <w:rPr>
          <w:lang w:val="en-US" w:eastAsia="en-AU"/>
        </w:rPr>
        <w:t xml:space="preserve"> </w:t>
      </w:r>
      <w:r w:rsidR="009D0FA4" w:rsidRPr="00D42BB5">
        <w:rPr>
          <w:lang w:val="en-US" w:eastAsia="en-AU"/>
        </w:rPr>
        <w:t>(a) to add the phrase ‘terms and condition’ to replace the singular word ‘terms’; and (b) to expand the definition of ‘services’ in relation to ‘the use of facilities’ to include the terms and conditions on which the facilities can be used, and the manner in which they are made available.</w:t>
      </w:r>
      <w:r w:rsidR="009D0FA4" w:rsidRPr="009D0FA4">
        <w:rPr>
          <w:lang w:val="en-US" w:eastAsia="en-AU"/>
        </w:rPr>
        <w:t xml:space="preserve"> </w:t>
      </w:r>
    </w:p>
    <w:p w14:paraId="2CDE6357" w14:textId="2C8F66FD" w:rsidR="00D20796" w:rsidRPr="00D00CDD" w:rsidRDefault="00D20796" w:rsidP="00BB1132">
      <w:pPr>
        <w:rPr>
          <w:b/>
          <w:bCs/>
          <w:lang w:eastAsia="en-AU"/>
        </w:rPr>
      </w:pPr>
      <w:r w:rsidRPr="00D00CDD">
        <w:rPr>
          <w:b/>
          <w:bCs/>
          <w:lang w:eastAsia="en-AU"/>
        </w:rPr>
        <w:t>Recommendation</w:t>
      </w:r>
      <w:r w:rsidR="00E34751">
        <w:rPr>
          <w:b/>
          <w:bCs/>
          <w:lang w:eastAsia="en-AU"/>
        </w:rPr>
        <w:t xml:space="preserve"> 1</w:t>
      </w:r>
      <w:r w:rsidR="00C566B7">
        <w:rPr>
          <w:b/>
          <w:bCs/>
          <w:lang w:eastAsia="en-AU"/>
        </w:rPr>
        <w:t>0</w:t>
      </w:r>
      <w:r w:rsidRPr="00D00CDD">
        <w:rPr>
          <w:b/>
          <w:bCs/>
          <w:lang w:eastAsia="en-AU"/>
        </w:rPr>
        <w:t xml:space="preserve">: Expand </w:t>
      </w:r>
      <w:r w:rsidRPr="00D00CDD">
        <w:rPr>
          <w:b/>
          <w:bCs/>
        </w:rPr>
        <w:t>the definition and coverage of the protected area of “the provision of goods and services”</w:t>
      </w:r>
      <w:r w:rsidR="00D00CDD" w:rsidRPr="00D00CDD">
        <w:rPr>
          <w:b/>
          <w:bCs/>
        </w:rPr>
        <w:t>.</w:t>
      </w:r>
      <w:r w:rsidRPr="00D00CDD">
        <w:rPr>
          <w:b/>
          <w:bCs/>
        </w:rPr>
        <w:t xml:space="preserve">  </w:t>
      </w:r>
    </w:p>
    <w:p w14:paraId="6E4D74CE" w14:textId="525E7D9B" w:rsidR="00A642B1" w:rsidRPr="006F40F1" w:rsidRDefault="005A038C" w:rsidP="005A038C">
      <w:pPr>
        <w:pStyle w:val="Heading4"/>
      </w:pPr>
      <w:r>
        <w:t xml:space="preserve">3.3.4 </w:t>
      </w:r>
      <w:r w:rsidR="00A642B1" w:rsidRPr="006F40F1">
        <w:t xml:space="preserve">Digital </w:t>
      </w:r>
      <w:r w:rsidR="006F40F1">
        <w:t>goods and services</w:t>
      </w:r>
    </w:p>
    <w:p w14:paraId="770987C7" w14:textId="3D5E535E" w:rsidR="00991C14" w:rsidRDefault="00991C14" w:rsidP="008352C6">
      <w:pPr>
        <w:rPr>
          <w:lang w:eastAsia="en-AU"/>
        </w:rPr>
      </w:pPr>
      <w:r w:rsidRPr="00991C14">
        <w:rPr>
          <w:lang w:eastAsia="en-AU"/>
        </w:rPr>
        <w:t xml:space="preserve">BCA </w:t>
      </w:r>
      <w:r w:rsidR="00D26F37">
        <w:rPr>
          <w:lang w:eastAsia="en-AU"/>
        </w:rPr>
        <w:t>recommends</w:t>
      </w:r>
      <w:r w:rsidRPr="00991C14">
        <w:rPr>
          <w:lang w:eastAsia="en-AU"/>
        </w:rPr>
        <w:t xml:space="preserve"> </w:t>
      </w:r>
      <w:r>
        <w:rPr>
          <w:lang w:eastAsia="en-AU"/>
        </w:rPr>
        <w:t xml:space="preserve">amendment of the ADA to include </w:t>
      </w:r>
      <w:r w:rsidRPr="00991C14">
        <w:rPr>
          <w:lang w:eastAsia="en-AU"/>
        </w:rPr>
        <w:t>digital goods and services as a protected area</w:t>
      </w:r>
      <w:r w:rsidR="00922918">
        <w:rPr>
          <w:lang w:eastAsia="en-AU"/>
        </w:rPr>
        <w:t xml:space="preserve">. </w:t>
      </w:r>
    </w:p>
    <w:p w14:paraId="5E5C06F8" w14:textId="5DB9912B" w:rsidR="00922918" w:rsidRDefault="00446DD0" w:rsidP="00F33CDB">
      <w:pPr>
        <w:pStyle w:val="ListBullet"/>
        <w:numPr>
          <w:ilvl w:val="0"/>
          <w:numId w:val="0"/>
        </w:numPr>
        <w:rPr>
          <w:lang w:eastAsia="en-AU"/>
        </w:rPr>
      </w:pPr>
      <w:r w:rsidRPr="008352C6">
        <w:rPr>
          <w:lang w:eastAsia="en-AU"/>
        </w:rPr>
        <w:t xml:space="preserve">A significant and increasing barrier to the inclusion of Australians who are blind or vision impaired is the development and use of </w:t>
      </w:r>
      <w:r w:rsidR="007353DC">
        <w:rPr>
          <w:lang w:eastAsia="en-AU"/>
        </w:rPr>
        <w:t xml:space="preserve">digital goods and services </w:t>
      </w:r>
      <w:r w:rsidR="00772909">
        <w:rPr>
          <w:lang w:eastAsia="en-AU"/>
        </w:rPr>
        <w:t>and</w:t>
      </w:r>
      <w:r w:rsidR="007353DC">
        <w:rPr>
          <w:lang w:eastAsia="en-AU"/>
        </w:rPr>
        <w:t xml:space="preserve"> </w:t>
      </w:r>
      <w:r w:rsidRPr="008352C6">
        <w:rPr>
          <w:lang w:eastAsia="en-AU"/>
        </w:rPr>
        <w:t xml:space="preserve">technology which does not </w:t>
      </w:r>
      <w:proofErr w:type="gramStart"/>
      <w:r w:rsidRPr="008352C6">
        <w:rPr>
          <w:lang w:eastAsia="en-AU"/>
        </w:rPr>
        <w:t>take into account</w:t>
      </w:r>
      <w:proofErr w:type="gramEnd"/>
      <w:r w:rsidRPr="008352C6">
        <w:rPr>
          <w:lang w:eastAsia="en-AU"/>
        </w:rPr>
        <w:t xml:space="preserve"> our needs.</w:t>
      </w:r>
      <w:r w:rsidR="00D00CDD" w:rsidRPr="00D00CDD">
        <w:rPr>
          <w:lang w:eastAsia="en-AU"/>
        </w:rPr>
        <w:t xml:space="preserve"> </w:t>
      </w:r>
      <w:r w:rsidR="008352C6" w:rsidRPr="008352C6">
        <w:rPr>
          <w:lang w:eastAsia="en-AU"/>
        </w:rPr>
        <w:t>People who are blind or vision impaired can be</w:t>
      </w:r>
      <w:r>
        <w:rPr>
          <w:lang w:eastAsia="en-AU"/>
        </w:rPr>
        <w:t>,</w:t>
      </w:r>
      <w:r w:rsidR="008352C6" w:rsidRPr="008352C6">
        <w:rPr>
          <w:lang w:eastAsia="en-AU"/>
        </w:rPr>
        <w:t xml:space="preserve"> and are</w:t>
      </w:r>
      <w:r>
        <w:rPr>
          <w:lang w:eastAsia="en-AU"/>
        </w:rPr>
        <w:t>,</w:t>
      </w:r>
      <w:r w:rsidR="008352C6" w:rsidRPr="008352C6">
        <w:rPr>
          <w:lang w:eastAsia="en-AU"/>
        </w:rPr>
        <w:t xml:space="preserve"> competent users of many forms of technology</w:t>
      </w:r>
      <w:r w:rsidR="00991C14">
        <w:rPr>
          <w:lang w:eastAsia="en-AU"/>
        </w:rPr>
        <w:t xml:space="preserve"> yet </w:t>
      </w:r>
      <w:proofErr w:type="gramStart"/>
      <w:r w:rsidR="008352C6" w:rsidRPr="008352C6">
        <w:rPr>
          <w:lang w:eastAsia="en-AU"/>
        </w:rPr>
        <w:t>lack of</w:t>
      </w:r>
      <w:proofErr w:type="gramEnd"/>
      <w:r w:rsidR="008352C6" w:rsidRPr="008352C6">
        <w:rPr>
          <w:lang w:eastAsia="en-AU"/>
        </w:rPr>
        <w:t xml:space="preserve"> </w:t>
      </w:r>
      <w:r w:rsidR="00922918">
        <w:rPr>
          <w:lang w:eastAsia="en-AU"/>
        </w:rPr>
        <w:t xml:space="preserve">application of </w:t>
      </w:r>
      <w:r w:rsidR="008352C6" w:rsidRPr="008352C6">
        <w:rPr>
          <w:lang w:eastAsia="en-AU"/>
        </w:rPr>
        <w:t>universal design principles</w:t>
      </w:r>
      <w:r w:rsidR="008E521A">
        <w:rPr>
          <w:lang w:eastAsia="en-AU"/>
        </w:rPr>
        <w:t xml:space="preserve"> or </w:t>
      </w:r>
      <w:r w:rsidR="008E521A" w:rsidRPr="008E521A">
        <w:rPr>
          <w:lang w:eastAsia="en-AU"/>
        </w:rPr>
        <w:t>compliance with accessibility standards in the design and delivery of products and services</w:t>
      </w:r>
      <w:r w:rsidR="008352C6" w:rsidRPr="008352C6">
        <w:rPr>
          <w:lang w:eastAsia="en-AU"/>
        </w:rPr>
        <w:t xml:space="preserve"> render</w:t>
      </w:r>
      <w:r w:rsidR="00922918">
        <w:rPr>
          <w:lang w:eastAsia="en-AU"/>
        </w:rPr>
        <w:t>s</w:t>
      </w:r>
      <w:r w:rsidR="008352C6" w:rsidRPr="008352C6">
        <w:rPr>
          <w:lang w:eastAsia="en-AU"/>
        </w:rPr>
        <w:t xml:space="preserve"> technology </w:t>
      </w:r>
      <w:r w:rsidR="008352C6" w:rsidRPr="008352C6">
        <w:rPr>
          <w:lang w:eastAsia="en-AU"/>
        </w:rPr>
        <w:lastRenderedPageBreak/>
        <w:t>inaccessible, irrespective of the user's skills or equipment.</w:t>
      </w:r>
      <w:r w:rsidR="00922918">
        <w:rPr>
          <w:lang w:eastAsia="en-AU"/>
        </w:rPr>
        <w:t xml:space="preserve"> </w:t>
      </w:r>
      <w:r w:rsidR="00236BB4">
        <w:rPr>
          <w:lang w:eastAsia="en-AU"/>
        </w:rPr>
        <w:t>Vendors and providers of e</w:t>
      </w:r>
      <w:r w:rsidR="009C57A3">
        <w:rPr>
          <w:lang w:eastAsia="en-AU"/>
        </w:rPr>
        <w:t xml:space="preserve">ssential services are increasingly </w:t>
      </w:r>
      <w:r w:rsidR="00AF5EE0">
        <w:rPr>
          <w:lang w:eastAsia="en-AU"/>
        </w:rPr>
        <w:t xml:space="preserve">requiring people to </w:t>
      </w:r>
      <w:r w:rsidR="00CB7F6B">
        <w:rPr>
          <w:lang w:eastAsia="en-AU"/>
        </w:rPr>
        <w:t>utilise</w:t>
      </w:r>
      <w:r w:rsidR="00D96B7C">
        <w:rPr>
          <w:lang w:eastAsia="en-AU"/>
        </w:rPr>
        <w:t xml:space="preserve"> digital </w:t>
      </w:r>
      <w:r w:rsidR="00E74833">
        <w:rPr>
          <w:lang w:eastAsia="en-AU"/>
        </w:rPr>
        <w:t xml:space="preserve">goods and </w:t>
      </w:r>
      <w:r w:rsidR="00D12468">
        <w:rPr>
          <w:lang w:eastAsia="en-AU"/>
        </w:rPr>
        <w:t>services</w:t>
      </w:r>
      <w:r w:rsidR="00D96B7C">
        <w:rPr>
          <w:lang w:eastAsia="en-AU"/>
        </w:rPr>
        <w:t xml:space="preserve"> </w:t>
      </w:r>
      <w:r w:rsidR="00AF5EE0">
        <w:rPr>
          <w:lang w:eastAsia="en-AU"/>
        </w:rPr>
        <w:t>to</w:t>
      </w:r>
      <w:r w:rsidR="00900675">
        <w:rPr>
          <w:lang w:eastAsia="en-AU"/>
        </w:rPr>
        <w:t xml:space="preserve"> </w:t>
      </w:r>
      <w:r w:rsidR="00D03FCB">
        <w:rPr>
          <w:lang w:eastAsia="en-AU"/>
        </w:rPr>
        <w:t>undertake</w:t>
      </w:r>
      <w:r w:rsidR="00F47365">
        <w:rPr>
          <w:lang w:eastAsia="en-AU"/>
        </w:rPr>
        <w:t xml:space="preserve"> </w:t>
      </w:r>
      <w:r w:rsidR="00142BB5">
        <w:rPr>
          <w:lang w:eastAsia="en-AU"/>
        </w:rPr>
        <w:t>daily living tasks</w:t>
      </w:r>
      <w:r w:rsidR="00F47365">
        <w:rPr>
          <w:lang w:eastAsia="en-AU"/>
        </w:rPr>
        <w:t xml:space="preserve"> such as </w:t>
      </w:r>
      <w:r w:rsidR="000D705B" w:rsidRPr="00CB73A9">
        <w:t>book medical appointments, apply for</w:t>
      </w:r>
      <w:r w:rsidR="00AF5EE0">
        <w:t xml:space="preserve"> employment or</w:t>
      </w:r>
      <w:r w:rsidR="000D705B" w:rsidRPr="00CB73A9">
        <w:t xml:space="preserve"> </w:t>
      </w:r>
      <w:r w:rsidR="000D705B">
        <w:t>housing</w:t>
      </w:r>
      <w:r w:rsidR="000D705B" w:rsidRPr="00CB73A9">
        <w:t>,</w:t>
      </w:r>
      <w:r w:rsidR="009D4829">
        <w:t xml:space="preserve"> </w:t>
      </w:r>
      <w:r w:rsidR="00310A9A">
        <w:t>use automated/self</w:t>
      </w:r>
      <w:r w:rsidR="00E9665E">
        <w:t>-</w:t>
      </w:r>
      <w:r w:rsidR="00310A9A">
        <w:t xml:space="preserve">service </w:t>
      </w:r>
      <w:r w:rsidR="00E9665E">
        <w:t>terminals</w:t>
      </w:r>
      <w:r w:rsidR="00310A9A">
        <w:t xml:space="preserve">, </w:t>
      </w:r>
      <w:r w:rsidR="000D705B" w:rsidRPr="00CB73A9">
        <w:t xml:space="preserve">or </w:t>
      </w:r>
      <w:r w:rsidR="00F33CDB">
        <w:t xml:space="preserve">purchase products. </w:t>
      </w:r>
    </w:p>
    <w:p w14:paraId="19D958B5" w14:textId="684CA65C" w:rsidR="008352C6" w:rsidRDefault="00922918" w:rsidP="00BB1132">
      <w:pPr>
        <w:rPr>
          <w:lang w:eastAsia="en-AU"/>
        </w:rPr>
      </w:pPr>
      <w:r w:rsidRPr="04863CC6">
        <w:rPr>
          <w:lang w:eastAsia="en-AU"/>
        </w:rPr>
        <w:t>Accessibility</w:t>
      </w:r>
      <w:r w:rsidR="00C745A5">
        <w:rPr>
          <w:lang w:eastAsia="en-AU"/>
        </w:rPr>
        <w:t xml:space="preserve"> </w:t>
      </w:r>
      <w:r w:rsidR="0038273F">
        <w:rPr>
          <w:lang w:eastAsia="en-AU"/>
        </w:rPr>
        <w:t xml:space="preserve">of </w:t>
      </w:r>
      <w:r w:rsidRPr="04863CC6">
        <w:rPr>
          <w:lang w:eastAsia="en-AU"/>
        </w:rPr>
        <w:t xml:space="preserve">digital goods and services for people who are </w:t>
      </w:r>
      <w:proofErr w:type="gramStart"/>
      <w:r w:rsidRPr="04863CC6">
        <w:rPr>
          <w:lang w:eastAsia="en-AU"/>
        </w:rPr>
        <w:t>blind</w:t>
      </w:r>
      <w:proofErr w:type="gramEnd"/>
      <w:r w:rsidRPr="04863CC6">
        <w:rPr>
          <w:lang w:eastAsia="en-AU"/>
        </w:rPr>
        <w:t xml:space="preserve"> or vision impaired depends on whether the digital service is navigable, readable, and usable and there are many </w:t>
      </w:r>
      <w:r w:rsidR="008352C6" w:rsidRPr="04863CC6">
        <w:rPr>
          <w:lang w:eastAsia="en-AU"/>
        </w:rPr>
        <w:t xml:space="preserve">ways technology can fail to </w:t>
      </w:r>
      <w:r w:rsidRPr="04863CC6">
        <w:rPr>
          <w:lang w:eastAsia="en-AU"/>
        </w:rPr>
        <w:t xml:space="preserve">be inclusive. For </w:t>
      </w:r>
      <w:r w:rsidR="000E70C5" w:rsidRPr="04863CC6">
        <w:rPr>
          <w:lang w:eastAsia="en-AU"/>
        </w:rPr>
        <w:t>example,</w:t>
      </w:r>
      <w:r w:rsidRPr="04863CC6">
        <w:rPr>
          <w:lang w:eastAsia="en-AU"/>
        </w:rPr>
        <w:t xml:space="preserve"> t</w:t>
      </w:r>
      <w:r w:rsidR="00991C14" w:rsidRPr="04863CC6">
        <w:rPr>
          <w:lang w:eastAsia="en-AU"/>
        </w:rPr>
        <w:t>ouchscreens</w:t>
      </w:r>
      <w:r w:rsidRPr="04863CC6">
        <w:rPr>
          <w:lang w:eastAsia="en-AU"/>
        </w:rPr>
        <w:t xml:space="preserve"> without tactile</w:t>
      </w:r>
      <w:r w:rsidR="00772909" w:rsidRPr="04863CC6">
        <w:rPr>
          <w:lang w:eastAsia="en-AU"/>
        </w:rPr>
        <w:t xml:space="preserve"> features</w:t>
      </w:r>
      <w:r w:rsidR="00991C14" w:rsidRPr="04863CC6">
        <w:rPr>
          <w:lang w:eastAsia="en-AU"/>
        </w:rPr>
        <w:t>, b</w:t>
      </w:r>
      <w:r w:rsidR="008352C6" w:rsidRPr="04863CC6">
        <w:rPr>
          <w:lang w:eastAsia="en-AU"/>
        </w:rPr>
        <w:t xml:space="preserve">uttons which are not labelled, verification requiring </w:t>
      </w:r>
      <w:r w:rsidR="04E62DCF" w:rsidRPr="04863CC6">
        <w:rPr>
          <w:lang w:eastAsia="en-AU"/>
        </w:rPr>
        <w:t>CAPTCHA</w:t>
      </w:r>
      <w:r w:rsidR="008352C6" w:rsidRPr="04863CC6">
        <w:rPr>
          <w:lang w:eastAsia="en-AU"/>
        </w:rPr>
        <w:t xml:space="preserve">, graphics and photos without image descriptions, videos without audio description, </w:t>
      </w:r>
      <w:r w:rsidR="00991C14" w:rsidRPr="04863CC6">
        <w:rPr>
          <w:lang w:eastAsia="en-AU"/>
        </w:rPr>
        <w:t xml:space="preserve">and </w:t>
      </w:r>
      <w:r w:rsidR="008352C6" w:rsidRPr="04863CC6">
        <w:rPr>
          <w:lang w:eastAsia="en-AU"/>
        </w:rPr>
        <w:t>webpages where elements are not labelled</w:t>
      </w:r>
      <w:r w:rsidR="00991C14" w:rsidRPr="04863CC6">
        <w:rPr>
          <w:lang w:eastAsia="en-AU"/>
        </w:rPr>
        <w:t>. Highlighting the inaccessibility of government websites, smartphone applications and documents is one of BCA’s most often repeated tasks</w:t>
      </w:r>
      <w:r w:rsidRPr="04863CC6">
        <w:rPr>
          <w:lang w:eastAsia="en-AU"/>
        </w:rPr>
        <w:t xml:space="preserve">. </w:t>
      </w:r>
      <w:r w:rsidR="008A1E49" w:rsidRPr="04863CC6">
        <w:rPr>
          <w:lang w:eastAsia="en-AU"/>
        </w:rPr>
        <w:t>I</w:t>
      </w:r>
      <w:r w:rsidR="00B401EB" w:rsidRPr="04863CC6">
        <w:rPr>
          <w:lang w:eastAsia="en-AU"/>
        </w:rPr>
        <w:t>f the visual elements of a</w:t>
      </w:r>
      <w:r w:rsidR="008577E4" w:rsidRPr="04863CC6">
        <w:rPr>
          <w:lang w:eastAsia="en-AU"/>
        </w:rPr>
        <w:t xml:space="preserve"> critical</w:t>
      </w:r>
      <w:r w:rsidR="00B401EB" w:rsidRPr="04863CC6">
        <w:rPr>
          <w:lang w:eastAsia="en-AU"/>
        </w:rPr>
        <w:t xml:space="preserve"> information video are not described, people who are blind or vision impaired are denied access to information in a whole range of areas, including parenting, travel, safety, emergency warnings, contact information and products.</w:t>
      </w:r>
    </w:p>
    <w:p w14:paraId="6F341ABB" w14:textId="13DC1F8F" w:rsidR="007353DC" w:rsidRDefault="007353DC" w:rsidP="007353DC">
      <w:r>
        <w:t>The UN</w:t>
      </w:r>
      <w:r w:rsidRPr="007759A1">
        <w:t>CRPD</w:t>
      </w:r>
      <w:r>
        <w:t xml:space="preserve"> explicitly refers to the importance of accessible products and services. Article 4 of the CRPD promotes universal design i</w:t>
      </w:r>
      <w:r w:rsidRPr="00380D7C">
        <w:t>n the development, availability and use of goods, services, and facilities to enhance accessibility</w:t>
      </w:r>
      <w:r>
        <w:t>, as well as support for research and development for new technologies that benefit people with disability, and to ensure affordable access to these devices and technologies. Similarly, Article 9 states that governments must ensure that people with disability have equal</w:t>
      </w:r>
      <w:r w:rsidRPr="00762141">
        <w:rPr>
          <w:color w:val="000000"/>
          <w:bdr w:val="none" w:sz="0" w:space="0" w:color="auto" w:frame="1"/>
        </w:rPr>
        <w:t xml:space="preserve"> </w:t>
      </w:r>
      <w:r w:rsidRPr="00762141">
        <w:t>access to the physical environment, transportation, and information and communications technologies</w:t>
      </w:r>
      <w:r>
        <w:rPr>
          <w:rStyle w:val="EndnoteReference"/>
        </w:rPr>
        <w:endnoteReference w:id="19"/>
      </w:r>
      <w:r>
        <w:t xml:space="preserve">. </w:t>
      </w:r>
      <w:r w:rsidR="005213B8">
        <w:t>T</w:t>
      </w:r>
      <w:r>
        <w:t xml:space="preserve">he </w:t>
      </w:r>
      <w:r w:rsidRPr="00843C2D">
        <w:rPr>
          <w:i/>
          <w:iCs/>
        </w:rPr>
        <w:t>Web Content Accessibility Guidelines (WCAG) 2.</w:t>
      </w:r>
      <w:r w:rsidR="00791F86" w:rsidRPr="00843C2D">
        <w:rPr>
          <w:i/>
          <w:iCs/>
        </w:rPr>
        <w:t>2</w:t>
      </w:r>
      <w:r>
        <w:t xml:space="preserve"> m</w:t>
      </w:r>
      <w:r w:rsidRPr="002070FE">
        <w:t>andates that digital technologies meet internationally recognised accessibility standards, ensuring usability by people who are blind or vision impaired, including compatibility with screen readers</w:t>
      </w:r>
      <w:r>
        <w:t>.</w:t>
      </w:r>
    </w:p>
    <w:p w14:paraId="0D9F2E0C" w14:textId="28441D1F" w:rsidR="006D30E8" w:rsidRPr="006D30E8" w:rsidRDefault="00E028CC" w:rsidP="00BF4C98">
      <w:r>
        <w:t>As noted by Vision Australia, t</w:t>
      </w:r>
      <w:r w:rsidRPr="00E028CC">
        <w:t>here are few effective mechanisms for reporting and redressing accessibility failures in digital technologies and online services. Many examples of inaccessibility persist despite the existence of anti-discrimination legislation in all Australian jurisdictions.</w:t>
      </w:r>
      <w:r w:rsidR="006D30E8">
        <w:t xml:space="preserve"> This</w:t>
      </w:r>
      <w:r w:rsidR="00A3133B">
        <w:t xml:space="preserve"> highlights </w:t>
      </w:r>
      <w:r w:rsidR="006D30E8">
        <w:t xml:space="preserve">the </w:t>
      </w:r>
      <w:r w:rsidR="00425FC9">
        <w:t xml:space="preserve">need </w:t>
      </w:r>
      <w:r w:rsidR="00067456">
        <w:t xml:space="preserve">to </w:t>
      </w:r>
      <w:r w:rsidR="00A05B19">
        <w:t xml:space="preserve">use mechanisms which </w:t>
      </w:r>
      <w:r w:rsidR="008F1240">
        <w:t xml:space="preserve">reinforce </w:t>
      </w:r>
      <w:r w:rsidR="006D30E8" w:rsidRPr="006D30E8">
        <w:t>that discrimination in digital environments is unlawful</w:t>
      </w:r>
      <w:r w:rsidR="008C25CE">
        <w:t>, enhance consequences for non</w:t>
      </w:r>
      <w:r w:rsidR="00BC3600">
        <w:t>-</w:t>
      </w:r>
      <w:r w:rsidR="008C25CE">
        <w:t xml:space="preserve">compliance </w:t>
      </w:r>
      <w:r w:rsidR="0023556E">
        <w:t xml:space="preserve">and </w:t>
      </w:r>
      <w:r w:rsidR="004111F3">
        <w:t xml:space="preserve">require </w:t>
      </w:r>
      <w:r w:rsidR="007F315F">
        <w:t>proactive</w:t>
      </w:r>
      <w:r w:rsidR="001D3436">
        <w:t xml:space="preserve"> action on </w:t>
      </w:r>
      <w:r w:rsidR="000B2F94">
        <w:t xml:space="preserve">digital </w:t>
      </w:r>
      <w:r w:rsidR="001D3436">
        <w:t>accessibility (positive duty)</w:t>
      </w:r>
      <w:r w:rsidR="006D30E8" w:rsidRPr="006D30E8">
        <w:t>.</w:t>
      </w:r>
    </w:p>
    <w:p w14:paraId="2FF5896A" w14:textId="494D9556" w:rsidR="00D00CDD" w:rsidRPr="00D00CDD" w:rsidRDefault="00D00CDD" w:rsidP="00BB1132">
      <w:pPr>
        <w:rPr>
          <w:b/>
          <w:bCs/>
          <w:lang w:eastAsia="en-AU"/>
        </w:rPr>
      </w:pPr>
      <w:r w:rsidRPr="00D00CDD">
        <w:rPr>
          <w:b/>
          <w:bCs/>
          <w:lang w:eastAsia="en-AU"/>
        </w:rPr>
        <w:t>Recommendation</w:t>
      </w:r>
      <w:r w:rsidR="00E34751">
        <w:rPr>
          <w:b/>
          <w:bCs/>
          <w:lang w:eastAsia="en-AU"/>
        </w:rPr>
        <w:t xml:space="preserve"> 1</w:t>
      </w:r>
      <w:r w:rsidR="00BF4C98">
        <w:rPr>
          <w:b/>
          <w:bCs/>
          <w:lang w:eastAsia="en-AU"/>
        </w:rPr>
        <w:t>1</w:t>
      </w:r>
      <w:r w:rsidRPr="00D00CDD">
        <w:rPr>
          <w:b/>
          <w:bCs/>
          <w:lang w:eastAsia="en-AU"/>
        </w:rPr>
        <w:t xml:space="preserve">: </w:t>
      </w:r>
      <w:r w:rsidR="00E34751" w:rsidRPr="00E34751">
        <w:rPr>
          <w:b/>
          <w:bCs/>
          <w:lang w:eastAsia="en-AU"/>
        </w:rPr>
        <w:t>E</w:t>
      </w:r>
      <w:r w:rsidRPr="00E34751">
        <w:rPr>
          <w:b/>
          <w:bCs/>
          <w:lang w:eastAsia="en-AU"/>
        </w:rPr>
        <w:t xml:space="preserve">levate the status of digital goods and services in </w:t>
      </w:r>
      <w:r w:rsidR="003669B2" w:rsidRPr="00E34751">
        <w:rPr>
          <w:b/>
          <w:bCs/>
          <w:lang w:eastAsia="en-AU"/>
        </w:rPr>
        <w:t>the ADA</w:t>
      </w:r>
      <w:r w:rsidR="00E34751" w:rsidRPr="00E34751">
        <w:rPr>
          <w:b/>
          <w:bCs/>
          <w:lang w:eastAsia="en-AU"/>
        </w:rPr>
        <w:t xml:space="preserve"> </w:t>
      </w:r>
      <w:r w:rsidR="00A71A25">
        <w:rPr>
          <w:b/>
          <w:bCs/>
          <w:lang w:eastAsia="en-AU"/>
        </w:rPr>
        <w:t xml:space="preserve">by </w:t>
      </w:r>
      <w:r w:rsidR="00E34751" w:rsidRPr="00E34751">
        <w:rPr>
          <w:b/>
          <w:bCs/>
          <w:lang w:eastAsia="en-AU"/>
        </w:rPr>
        <w:t>includ</w:t>
      </w:r>
      <w:r w:rsidR="00A71A25">
        <w:rPr>
          <w:b/>
          <w:bCs/>
          <w:lang w:eastAsia="en-AU"/>
        </w:rPr>
        <w:t>ing it</w:t>
      </w:r>
      <w:r w:rsidR="00E34751" w:rsidRPr="00E34751">
        <w:rPr>
          <w:b/>
          <w:bCs/>
          <w:lang w:eastAsia="en-AU"/>
        </w:rPr>
        <w:t xml:space="preserve"> as a protected area.</w:t>
      </w:r>
    </w:p>
    <w:p w14:paraId="6F806A85" w14:textId="24E7F68E" w:rsidR="00D854C4" w:rsidRPr="006F40F1" w:rsidRDefault="005A038C" w:rsidP="005A038C">
      <w:pPr>
        <w:pStyle w:val="Heading4"/>
      </w:pPr>
      <w:bookmarkStart w:id="39" w:name="_Toc193878211"/>
      <w:bookmarkStart w:id="40" w:name="_Toc194317722"/>
      <w:bookmarkStart w:id="41" w:name="_Toc194329764"/>
      <w:bookmarkStart w:id="42" w:name="_Toc194484726"/>
      <w:bookmarkStart w:id="43" w:name="_Toc194999290"/>
      <w:bookmarkStart w:id="44" w:name="_Toc195540201"/>
      <w:bookmarkStart w:id="45" w:name="_Toc195785710"/>
      <w:r>
        <w:lastRenderedPageBreak/>
        <w:t xml:space="preserve">3.3.5 </w:t>
      </w:r>
      <w:r w:rsidR="00D854C4" w:rsidRPr="008C5EF5">
        <w:t>Accommodation</w:t>
      </w:r>
      <w:bookmarkEnd w:id="39"/>
      <w:bookmarkEnd w:id="40"/>
      <w:bookmarkEnd w:id="41"/>
      <w:bookmarkEnd w:id="42"/>
      <w:bookmarkEnd w:id="43"/>
      <w:bookmarkEnd w:id="44"/>
      <w:bookmarkEnd w:id="45"/>
      <w:r w:rsidR="00D854C4" w:rsidRPr="008C5EF5">
        <w:t xml:space="preserve"> </w:t>
      </w:r>
    </w:p>
    <w:p w14:paraId="0797ABA4" w14:textId="77777777" w:rsidR="00263F0D" w:rsidRDefault="008D0DE6" w:rsidP="00BB1132">
      <w:pPr>
        <w:rPr>
          <w:lang w:eastAsia="en-AU"/>
        </w:rPr>
      </w:pPr>
      <w:r>
        <w:t xml:space="preserve">BCA agrees that coverage of this area should more clearly reflect the rights of people </w:t>
      </w:r>
      <w:r w:rsidRPr="001D38E6">
        <w:t>with disability</w:t>
      </w:r>
      <w:r>
        <w:t xml:space="preserve"> and incorporate relevant protections to improve alignment with other discrimination laws</w:t>
      </w:r>
      <w:r w:rsidR="00D74D62">
        <w:t xml:space="preserve"> as </w:t>
      </w:r>
      <w:r w:rsidR="00D74D62">
        <w:rPr>
          <w:lang w:eastAsia="en-AU"/>
        </w:rPr>
        <w:t xml:space="preserve">outlined in the Consultation Paper. </w:t>
      </w:r>
    </w:p>
    <w:p w14:paraId="02DCEB41" w14:textId="308CBEC6" w:rsidR="00263F0D" w:rsidRDefault="000C0BF4" w:rsidP="00BB1132">
      <w:pPr>
        <w:rPr>
          <w:lang w:eastAsia="en-AU"/>
        </w:rPr>
      </w:pPr>
      <w:r>
        <w:t>BCA supports (a) an amendment which allows a person with disability to make reasonable alterations to accommodation if certain conditions are met and (b) an amendment to make it unlawful to refuse accommodation to a person with disability because they have an assistance anima</w:t>
      </w:r>
      <w:r w:rsidR="00936C10">
        <w:t>l</w:t>
      </w:r>
      <w:r w:rsidR="00233072">
        <w:t>.</w:t>
      </w:r>
    </w:p>
    <w:p w14:paraId="620AA0F7" w14:textId="50E9F994" w:rsidR="00D20796" w:rsidRPr="00D00CDD" w:rsidRDefault="00D20796" w:rsidP="00BB1132">
      <w:pPr>
        <w:rPr>
          <w:b/>
          <w:bCs/>
          <w:lang w:eastAsia="en-AU"/>
        </w:rPr>
      </w:pPr>
      <w:r w:rsidRPr="00D74D62">
        <w:rPr>
          <w:b/>
          <w:bCs/>
          <w:lang w:eastAsia="en-AU"/>
        </w:rPr>
        <w:t>Recommendation</w:t>
      </w:r>
      <w:r w:rsidR="00D74D62">
        <w:rPr>
          <w:b/>
          <w:bCs/>
          <w:lang w:eastAsia="en-AU"/>
        </w:rPr>
        <w:t xml:space="preserve"> 1</w:t>
      </w:r>
      <w:r w:rsidR="00DB3F75">
        <w:rPr>
          <w:b/>
          <w:bCs/>
          <w:lang w:eastAsia="en-AU"/>
        </w:rPr>
        <w:t>2</w:t>
      </w:r>
      <w:r w:rsidRPr="00D74D62">
        <w:rPr>
          <w:b/>
          <w:bCs/>
          <w:lang w:eastAsia="en-AU"/>
        </w:rPr>
        <w:t>: Improve protection of disability rights in accommodation</w:t>
      </w:r>
      <w:r w:rsidR="003B0977">
        <w:rPr>
          <w:b/>
          <w:bCs/>
          <w:lang w:eastAsia="en-AU"/>
        </w:rPr>
        <w:t xml:space="preserve"> in the ADA</w:t>
      </w:r>
      <w:r w:rsidR="00D74D62" w:rsidRPr="00D74D62">
        <w:rPr>
          <w:b/>
          <w:bCs/>
          <w:lang w:eastAsia="en-AU"/>
        </w:rPr>
        <w:t>.</w:t>
      </w:r>
      <w:r w:rsidRPr="00D74D62">
        <w:rPr>
          <w:b/>
          <w:bCs/>
          <w:lang w:eastAsia="en-AU"/>
        </w:rPr>
        <w:t xml:space="preserve"> </w:t>
      </w:r>
      <w:r w:rsidRPr="00D00CDD">
        <w:rPr>
          <w:b/>
          <w:bCs/>
          <w:lang w:eastAsia="en-AU"/>
        </w:rPr>
        <w:t xml:space="preserve"> </w:t>
      </w:r>
    </w:p>
    <w:p w14:paraId="21A32ED5" w14:textId="12322FAA" w:rsidR="008C5EF5" w:rsidRDefault="002B2832" w:rsidP="005A038C">
      <w:pPr>
        <w:pStyle w:val="Heading4"/>
      </w:pPr>
      <w:r>
        <w:t xml:space="preserve">3.3.6 </w:t>
      </w:r>
      <w:r w:rsidR="008C5EF5" w:rsidRPr="008C5EF5">
        <w:t xml:space="preserve">Sport </w:t>
      </w:r>
    </w:p>
    <w:p w14:paraId="4E897E4B" w14:textId="36FFD23F" w:rsidR="008C5EF5" w:rsidRDefault="008C5EF5" w:rsidP="00BB1132">
      <w:r w:rsidRPr="003E1DFD">
        <w:t>Whilst the inclusion of people with disability within the community has increased</w:t>
      </w:r>
      <w:r>
        <w:t xml:space="preserve"> and </w:t>
      </w:r>
      <w:r w:rsidRPr="003E1DFD">
        <w:t xml:space="preserve">many clubs do make a concerted effort, many people who are blind or vision impaired continue to be treated less equitably in their pursuit of sport and recreation. </w:t>
      </w:r>
      <w:r>
        <w:t xml:space="preserve">BCA agrees that </w:t>
      </w:r>
      <w:r w:rsidR="003669B2">
        <w:t>the ADA</w:t>
      </w:r>
      <w:r>
        <w:t xml:space="preserve"> </w:t>
      </w:r>
      <w:r w:rsidR="00D00CDD">
        <w:t xml:space="preserve">should </w:t>
      </w:r>
      <w:r>
        <w:t xml:space="preserve">recognise </w:t>
      </w:r>
      <w:r w:rsidR="00D00CDD">
        <w:t>S</w:t>
      </w:r>
      <w:r>
        <w:t>port as a distinct protected area in line with the approach taken in Victoria and the</w:t>
      </w:r>
      <w:r w:rsidR="00D00CDD">
        <w:t xml:space="preserve"> DDA. </w:t>
      </w:r>
    </w:p>
    <w:p w14:paraId="121F4D08" w14:textId="2C302FA3" w:rsidR="00366A7B" w:rsidRDefault="00366A7B" w:rsidP="00BB1132">
      <w:pPr>
        <w:rPr>
          <w:lang w:eastAsia="en-AU"/>
        </w:rPr>
      </w:pPr>
      <w:r w:rsidRPr="00366A7B">
        <w:rPr>
          <w:lang w:val="en-US" w:eastAsia="en-AU"/>
        </w:rPr>
        <w:t>Mainstream activities can be impacted for children with d</w:t>
      </w:r>
      <w:r w:rsidR="00355E6D">
        <w:rPr>
          <w:lang w:val="en-US" w:eastAsia="en-AU"/>
        </w:rPr>
        <w:t>isability</w:t>
      </w:r>
      <w:r w:rsidRPr="00366A7B">
        <w:rPr>
          <w:lang w:val="en-US" w:eastAsia="en-AU"/>
        </w:rPr>
        <w:t xml:space="preserve"> even at an early age, as the following example illustrates</w:t>
      </w:r>
      <w:r w:rsidR="00902616">
        <w:rPr>
          <w:lang w:val="en-US" w:eastAsia="en-AU"/>
        </w:rPr>
        <w:t xml:space="preserve">: </w:t>
      </w:r>
      <w:r w:rsidRPr="00366A7B">
        <w:rPr>
          <w:lang w:val="en-US" w:eastAsia="en-AU"/>
        </w:rPr>
        <w:t>“When my son was about 2 1/2, we joined a swim class for mothers and tots. It was here I experienced an unpleasant situation. The staff would not allow me to stay in the water with my son while other mums stayed out of the pool while the little ones were in the water with support jackets. The instructor felt if I were to stay in the water with my son, (for his security), others’ tots would want the same. We really had to leave the program. That was hard. To this day people will stare at my son. For the most part I’ve dealt with that but will admit it sometimes hurts”.</w:t>
      </w:r>
      <w:r w:rsidR="00923BAD">
        <w:rPr>
          <w:lang w:val="en-US" w:eastAsia="en-AU"/>
        </w:rPr>
        <w:t xml:space="preserve"> </w:t>
      </w:r>
    </w:p>
    <w:p w14:paraId="19E1B064" w14:textId="299C7090" w:rsidR="008C5EF5" w:rsidRDefault="008C5EF5" w:rsidP="00BB1132">
      <w:pPr>
        <w:rPr>
          <w:b/>
          <w:bCs/>
        </w:rPr>
      </w:pPr>
      <w:r w:rsidRPr="00C15C20">
        <w:rPr>
          <w:b/>
          <w:bCs/>
          <w:lang w:eastAsia="en-AU"/>
        </w:rPr>
        <w:t>Recommendation</w:t>
      </w:r>
      <w:r w:rsidR="00D74D62">
        <w:rPr>
          <w:b/>
          <w:bCs/>
          <w:lang w:eastAsia="en-AU"/>
        </w:rPr>
        <w:t xml:space="preserve"> 1</w:t>
      </w:r>
      <w:r w:rsidR="00961658">
        <w:rPr>
          <w:b/>
          <w:bCs/>
          <w:lang w:eastAsia="en-AU"/>
        </w:rPr>
        <w:t>3</w:t>
      </w:r>
      <w:r w:rsidRPr="00C15C20">
        <w:rPr>
          <w:b/>
          <w:bCs/>
          <w:lang w:eastAsia="en-AU"/>
        </w:rPr>
        <w:t xml:space="preserve">: Include Sport as an </w:t>
      </w:r>
      <w:r w:rsidRPr="00C15C20">
        <w:rPr>
          <w:b/>
          <w:bCs/>
        </w:rPr>
        <w:t xml:space="preserve">additional protected area in </w:t>
      </w:r>
      <w:r w:rsidR="003669B2">
        <w:rPr>
          <w:b/>
          <w:bCs/>
        </w:rPr>
        <w:t>the ADA</w:t>
      </w:r>
      <w:r w:rsidR="00961658">
        <w:rPr>
          <w:b/>
          <w:bCs/>
        </w:rPr>
        <w:t>.</w:t>
      </w:r>
    </w:p>
    <w:p w14:paraId="4F82D5B0" w14:textId="1214D695" w:rsidR="00803655" w:rsidRPr="006F40F1" w:rsidRDefault="002B2832" w:rsidP="002B2832">
      <w:pPr>
        <w:pStyle w:val="Heading4"/>
      </w:pPr>
      <w:r>
        <w:t xml:space="preserve">3.3.7 </w:t>
      </w:r>
      <w:r w:rsidR="00803655" w:rsidRPr="00481078">
        <w:t>Voluntary Bodies</w:t>
      </w:r>
    </w:p>
    <w:p w14:paraId="694C989A" w14:textId="400498AA" w:rsidR="00803655" w:rsidRDefault="00803655" w:rsidP="00803655">
      <w:pPr>
        <w:rPr>
          <w:lang w:eastAsia="en-AU"/>
        </w:rPr>
      </w:pPr>
      <w:r>
        <w:rPr>
          <w:lang w:val="en-US" w:eastAsia="en-AU"/>
        </w:rPr>
        <w:t xml:space="preserve">Like other members of the community, people who are blind and vision impaired participate with voluntary associations. BCA agrees that given that many voluntary bodies receive </w:t>
      </w:r>
      <w:r w:rsidRPr="00481078">
        <w:rPr>
          <w:lang w:eastAsia="en-AU"/>
        </w:rPr>
        <w:t>substantial public funding and benefits and provide</w:t>
      </w:r>
      <w:r>
        <w:rPr>
          <w:lang w:eastAsia="en-AU"/>
        </w:rPr>
        <w:t xml:space="preserve"> an array of</w:t>
      </w:r>
      <w:r w:rsidRPr="00481078">
        <w:rPr>
          <w:lang w:eastAsia="en-AU"/>
        </w:rPr>
        <w:t xml:space="preserve"> important community services</w:t>
      </w:r>
      <w:r w:rsidR="0099349D">
        <w:rPr>
          <w:lang w:eastAsia="en-AU"/>
        </w:rPr>
        <w:t>,</w:t>
      </w:r>
      <w:r>
        <w:rPr>
          <w:lang w:eastAsia="en-AU"/>
        </w:rPr>
        <w:t xml:space="preserve"> ex</w:t>
      </w:r>
      <w:r w:rsidR="00B9645E">
        <w:rPr>
          <w:lang w:eastAsia="en-AU"/>
        </w:rPr>
        <w:t>c</w:t>
      </w:r>
      <w:r>
        <w:rPr>
          <w:lang w:eastAsia="en-AU"/>
        </w:rPr>
        <w:t xml:space="preserve">eption under the ADA is not appropriate. </w:t>
      </w:r>
      <w:r w:rsidRPr="00481078">
        <w:rPr>
          <w:lang w:eastAsia="en-AU"/>
        </w:rPr>
        <w:t xml:space="preserve"> </w:t>
      </w:r>
    </w:p>
    <w:p w14:paraId="3A8739B7" w14:textId="05EEAD82" w:rsidR="00803655" w:rsidRPr="00D5202F" w:rsidRDefault="00803655" w:rsidP="00803655">
      <w:pPr>
        <w:rPr>
          <w:b/>
          <w:bCs/>
          <w:lang w:eastAsia="en-AU"/>
        </w:rPr>
      </w:pPr>
      <w:r w:rsidRPr="00D5202F">
        <w:rPr>
          <w:b/>
          <w:bCs/>
          <w:lang w:eastAsia="en-AU"/>
        </w:rPr>
        <w:t>Recommendation</w:t>
      </w:r>
      <w:r>
        <w:rPr>
          <w:b/>
          <w:bCs/>
          <w:lang w:eastAsia="en-AU"/>
        </w:rPr>
        <w:t xml:space="preserve"> 1</w:t>
      </w:r>
      <w:r w:rsidR="0014145D">
        <w:rPr>
          <w:b/>
          <w:bCs/>
          <w:lang w:eastAsia="en-AU"/>
        </w:rPr>
        <w:t>4</w:t>
      </w:r>
      <w:r w:rsidRPr="00D5202F">
        <w:rPr>
          <w:b/>
          <w:bCs/>
          <w:lang w:eastAsia="en-AU"/>
        </w:rPr>
        <w:t xml:space="preserve">: </w:t>
      </w:r>
      <w:r>
        <w:rPr>
          <w:b/>
          <w:bCs/>
          <w:lang w:eastAsia="en-AU"/>
        </w:rPr>
        <w:t xml:space="preserve">Do not </w:t>
      </w:r>
      <w:r w:rsidRPr="00803655">
        <w:rPr>
          <w:b/>
          <w:bCs/>
          <w:lang w:eastAsia="en-AU"/>
        </w:rPr>
        <w:t>provide an exception for voluntary bodies</w:t>
      </w:r>
      <w:r>
        <w:rPr>
          <w:b/>
          <w:bCs/>
          <w:lang w:eastAsia="en-AU"/>
        </w:rPr>
        <w:t xml:space="preserve"> in the ADA</w:t>
      </w:r>
      <w:r w:rsidR="0014145D">
        <w:rPr>
          <w:b/>
          <w:bCs/>
          <w:lang w:eastAsia="en-AU"/>
        </w:rPr>
        <w:t>.</w:t>
      </w:r>
    </w:p>
    <w:p w14:paraId="49A20682" w14:textId="1F8B06A8" w:rsidR="009A691F" w:rsidRPr="006F40F1" w:rsidRDefault="009A691F" w:rsidP="003147C9">
      <w:pPr>
        <w:pStyle w:val="Heading3"/>
        <w:numPr>
          <w:ilvl w:val="1"/>
          <w:numId w:val="13"/>
        </w:numPr>
      </w:pPr>
      <w:bookmarkStart w:id="46" w:name="_Toc205896814"/>
      <w:r>
        <w:lastRenderedPageBreak/>
        <w:t>Vilification</w:t>
      </w:r>
      <w:r w:rsidR="006F40F1">
        <w:t xml:space="preserve"> </w:t>
      </w:r>
      <w:r w:rsidR="0009161C">
        <w:t>and</w:t>
      </w:r>
      <w:r w:rsidR="006F40F1">
        <w:t xml:space="preserve"> </w:t>
      </w:r>
      <w:r w:rsidR="0009161C">
        <w:t>h</w:t>
      </w:r>
      <w:r w:rsidR="00D74D62">
        <w:t>arassment</w:t>
      </w:r>
      <w:bookmarkEnd w:id="46"/>
    </w:p>
    <w:p w14:paraId="4FD32C8E" w14:textId="59CBF739" w:rsidR="00D74D62" w:rsidRDefault="009A691F" w:rsidP="009A691F">
      <w:r w:rsidRPr="00E62FB1">
        <w:rPr>
          <w:lang w:eastAsia="en-AU"/>
        </w:rPr>
        <w:t xml:space="preserve">Currently, the ADA doesn’t protect against vilification based </w:t>
      </w:r>
      <w:r w:rsidR="00C643AB" w:rsidRPr="00E62FB1">
        <w:rPr>
          <w:lang w:eastAsia="en-AU"/>
        </w:rPr>
        <w:t xml:space="preserve">on disability as well as other protected attributes. BCA agrees that </w:t>
      </w:r>
      <w:r w:rsidRPr="00E62FB1">
        <w:rPr>
          <w:lang w:eastAsia="en-AU"/>
        </w:rPr>
        <w:t xml:space="preserve">more attributes should be protected from vilification, recognising that people from other groups can experience hate-based conduct. </w:t>
      </w:r>
      <w:r w:rsidR="00C643AB" w:rsidRPr="00E62FB1">
        <w:rPr>
          <w:lang w:eastAsia="en-AU"/>
        </w:rPr>
        <w:t>BCA supports the</w:t>
      </w:r>
      <w:r w:rsidR="000147F8">
        <w:rPr>
          <w:lang w:eastAsia="en-AU"/>
        </w:rPr>
        <w:t xml:space="preserve"> </w:t>
      </w:r>
      <w:r w:rsidR="0001003E">
        <w:rPr>
          <w:lang w:eastAsia="en-AU"/>
        </w:rPr>
        <w:t>suggestion that the</w:t>
      </w:r>
      <w:r w:rsidR="00C643AB" w:rsidRPr="00E62FB1">
        <w:rPr>
          <w:lang w:eastAsia="en-AU"/>
        </w:rPr>
        <w:t xml:space="preserve"> same list of attributes could be used for</w:t>
      </w:r>
      <w:r w:rsidRPr="00E62FB1">
        <w:rPr>
          <w:lang w:eastAsia="en-AU"/>
        </w:rPr>
        <w:t xml:space="preserve"> both discrimination and vilification</w:t>
      </w:r>
      <w:r w:rsidR="00C643AB" w:rsidRPr="00E62FB1">
        <w:rPr>
          <w:lang w:eastAsia="en-AU"/>
        </w:rPr>
        <w:t xml:space="preserve"> and agrees that the ADA should prohibit intersectional vilification</w:t>
      </w:r>
      <w:r w:rsidRPr="00E62FB1">
        <w:rPr>
          <w:lang w:eastAsia="en-AU"/>
        </w:rPr>
        <w:t xml:space="preserve">. </w:t>
      </w:r>
      <w:r w:rsidR="00F014E5">
        <w:t xml:space="preserve">As stated in the Consultation Paper, aligning the areas and attributes could make it easier to understand when harassment and discrimination were unlawful, and </w:t>
      </w:r>
      <w:r w:rsidR="00803655">
        <w:t>c</w:t>
      </w:r>
      <w:r w:rsidR="00F014E5">
        <w:t xml:space="preserve">ould promote consistency across the </w:t>
      </w:r>
      <w:r w:rsidR="00F014E5" w:rsidRPr="00C322F1">
        <w:rPr>
          <w:iCs/>
        </w:rPr>
        <w:t>ADA</w:t>
      </w:r>
      <w:r w:rsidR="00F014E5">
        <w:t>.</w:t>
      </w:r>
    </w:p>
    <w:p w14:paraId="0EAD5D62" w14:textId="4888FB43" w:rsidR="009A691F" w:rsidRDefault="00A57FA3" w:rsidP="009A691F">
      <w:pPr>
        <w:rPr>
          <w:lang w:eastAsia="en-AU"/>
        </w:rPr>
      </w:pPr>
      <w:r>
        <w:t xml:space="preserve">Findings from the </w:t>
      </w:r>
      <w:r w:rsidR="00754B80">
        <w:t xml:space="preserve">Disability </w:t>
      </w:r>
      <w:r>
        <w:t>Royal Commission speak to the need for strengthened protections for people with disability. It is noted that w</w:t>
      </w:r>
      <w:r w:rsidR="004D6C7E" w:rsidRPr="00E62FB1">
        <w:rPr>
          <w:lang w:eastAsia="en-AU"/>
        </w:rPr>
        <w:t xml:space="preserve">hile the DDA does not </w:t>
      </w:r>
      <w:r w:rsidR="00D74D62">
        <w:rPr>
          <w:lang w:eastAsia="en-AU"/>
        </w:rPr>
        <w:t xml:space="preserve">currently </w:t>
      </w:r>
      <w:r w:rsidR="004D6C7E" w:rsidRPr="00E62FB1">
        <w:rPr>
          <w:lang w:eastAsia="en-AU"/>
        </w:rPr>
        <w:t xml:space="preserve">have a vilification provision, the </w:t>
      </w:r>
      <w:r w:rsidR="00755BB2">
        <w:rPr>
          <w:lang w:eastAsia="en-AU"/>
        </w:rPr>
        <w:t xml:space="preserve">Disability </w:t>
      </w:r>
      <w:r w:rsidR="00D00CDD">
        <w:rPr>
          <w:lang w:eastAsia="en-AU"/>
        </w:rPr>
        <w:t>Royal Commission</w:t>
      </w:r>
      <w:r w:rsidR="00D74D62">
        <w:rPr>
          <w:lang w:eastAsia="en-AU"/>
        </w:rPr>
        <w:t xml:space="preserve"> Report</w:t>
      </w:r>
      <w:r w:rsidR="00D00CDD">
        <w:rPr>
          <w:lang w:eastAsia="en-AU"/>
        </w:rPr>
        <w:t xml:space="preserve"> </w:t>
      </w:r>
      <w:r w:rsidR="004D6C7E" w:rsidRPr="00E62FB1">
        <w:rPr>
          <w:lang w:eastAsia="en-AU"/>
        </w:rPr>
        <w:t>includes a similar recommendation</w:t>
      </w:r>
      <w:r w:rsidR="00DC3E5A">
        <w:rPr>
          <w:lang w:eastAsia="en-AU"/>
        </w:rPr>
        <w:t xml:space="preserve"> and </w:t>
      </w:r>
      <w:r w:rsidR="00C25F88">
        <w:rPr>
          <w:lang w:eastAsia="en-AU"/>
        </w:rPr>
        <w:t>consider</w:t>
      </w:r>
      <w:r w:rsidR="000E3ECE">
        <w:rPr>
          <w:lang w:eastAsia="en-AU"/>
        </w:rPr>
        <w:t>ation of</w:t>
      </w:r>
      <w:r w:rsidR="00C25F88">
        <w:rPr>
          <w:lang w:eastAsia="en-AU"/>
        </w:rPr>
        <w:t xml:space="preserve"> m</w:t>
      </w:r>
      <w:r w:rsidR="00A313B7" w:rsidRPr="00A313B7">
        <w:rPr>
          <w:lang w:eastAsia="en-AU"/>
        </w:rPr>
        <w:t>aking it illegal to harass, threaten, or spread hate about people with disability</w:t>
      </w:r>
      <w:r w:rsidR="00ED6983">
        <w:rPr>
          <w:lang w:eastAsia="en-AU"/>
        </w:rPr>
        <w:t>,</w:t>
      </w:r>
      <w:r w:rsidR="00C25F88">
        <w:rPr>
          <w:lang w:eastAsia="en-AU"/>
        </w:rPr>
        <w:t xml:space="preserve"> e</w:t>
      </w:r>
      <w:r w:rsidR="00A313B7" w:rsidRPr="00A313B7">
        <w:rPr>
          <w:lang w:eastAsia="en-AU"/>
        </w:rPr>
        <w:t>xtending protection to online spaces (such as social media)</w:t>
      </w:r>
      <w:r w:rsidR="00DC3E5A">
        <w:rPr>
          <w:lang w:eastAsia="en-AU"/>
        </w:rPr>
        <w:t xml:space="preserve"> and </w:t>
      </w:r>
      <w:r w:rsidR="00DC3E5A" w:rsidRPr="00E62FB1">
        <w:rPr>
          <w:lang w:eastAsia="en-AU"/>
        </w:rPr>
        <w:t>includ</w:t>
      </w:r>
      <w:r w:rsidR="00ED6983">
        <w:rPr>
          <w:lang w:eastAsia="en-AU"/>
        </w:rPr>
        <w:t>ing</w:t>
      </w:r>
      <w:r w:rsidR="00DC3E5A" w:rsidRPr="00E62FB1">
        <w:rPr>
          <w:lang w:eastAsia="en-AU"/>
        </w:rPr>
        <w:t xml:space="preserve"> one-off or isolated instances of harassment</w:t>
      </w:r>
      <w:r w:rsidR="00EB0301">
        <w:rPr>
          <w:lang w:eastAsia="en-AU"/>
        </w:rPr>
        <w:t xml:space="preserve">. </w:t>
      </w:r>
      <w:r w:rsidR="003D0DD1">
        <w:rPr>
          <w:lang w:eastAsia="en-AU"/>
        </w:rPr>
        <w:t xml:space="preserve">BCA </w:t>
      </w:r>
      <w:r w:rsidR="001C44AA">
        <w:rPr>
          <w:lang w:eastAsia="en-AU"/>
        </w:rPr>
        <w:t>posits</w:t>
      </w:r>
      <w:r w:rsidR="0012643B">
        <w:rPr>
          <w:lang w:eastAsia="en-AU"/>
        </w:rPr>
        <w:t xml:space="preserve"> the ADA should </w:t>
      </w:r>
      <w:r w:rsidR="00B41231">
        <w:rPr>
          <w:lang w:eastAsia="en-AU"/>
        </w:rPr>
        <w:t>be similarly amended</w:t>
      </w:r>
      <w:r w:rsidR="00A313B7" w:rsidRPr="00A313B7">
        <w:rPr>
          <w:lang w:eastAsia="en-AU"/>
        </w:rPr>
        <w:t>.</w:t>
      </w:r>
    </w:p>
    <w:p w14:paraId="3A7DEEE4" w14:textId="293B2C71" w:rsidR="00C643AB" w:rsidRPr="00103A7B" w:rsidRDefault="00E62FB1" w:rsidP="009A691F">
      <w:pPr>
        <w:rPr>
          <w:b/>
          <w:bCs/>
          <w:lang w:eastAsia="en-AU"/>
        </w:rPr>
      </w:pPr>
      <w:r w:rsidRPr="00103A7B">
        <w:rPr>
          <w:b/>
          <w:bCs/>
          <w:lang w:eastAsia="en-AU"/>
        </w:rPr>
        <w:t>Recommendation</w:t>
      </w:r>
      <w:r w:rsidR="00F3388E">
        <w:rPr>
          <w:b/>
          <w:bCs/>
          <w:lang w:eastAsia="en-AU"/>
        </w:rPr>
        <w:t xml:space="preserve"> 1</w:t>
      </w:r>
      <w:r w:rsidR="0072349C">
        <w:rPr>
          <w:b/>
          <w:bCs/>
          <w:lang w:eastAsia="en-AU"/>
        </w:rPr>
        <w:t>5</w:t>
      </w:r>
      <w:r w:rsidRPr="00103A7B">
        <w:rPr>
          <w:b/>
          <w:bCs/>
          <w:lang w:eastAsia="en-AU"/>
        </w:rPr>
        <w:t xml:space="preserve">: Amend </w:t>
      </w:r>
      <w:r w:rsidR="003669B2" w:rsidRPr="00103A7B">
        <w:rPr>
          <w:b/>
          <w:bCs/>
          <w:lang w:eastAsia="en-AU"/>
        </w:rPr>
        <w:t>the ADA</w:t>
      </w:r>
      <w:r w:rsidRPr="00103A7B">
        <w:rPr>
          <w:b/>
          <w:bCs/>
          <w:lang w:eastAsia="en-AU"/>
        </w:rPr>
        <w:t xml:space="preserve"> to </w:t>
      </w:r>
      <w:r w:rsidR="00F1636A" w:rsidRPr="00103A7B">
        <w:rPr>
          <w:b/>
          <w:bCs/>
        </w:rPr>
        <w:t>prohibit vilification based on</w:t>
      </w:r>
      <w:r w:rsidR="00A73DE2" w:rsidRPr="00103A7B">
        <w:rPr>
          <w:b/>
          <w:bCs/>
        </w:rPr>
        <w:t xml:space="preserve"> the protected attribute</w:t>
      </w:r>
      <w:r w:rsidR="00F1636A" w:rsidRPr="00103A7B">
        <w:rPr>
          <w:b/>
          <w:bCs/>
          <w:lang w:eastAsia="en-AU"/>
        </w:rPr>
        <w:t xml:space="preserve"> </w:t>
      </w:r>
      <w:r w:rsidR="00A73DE2" w:rsidRPr="00103A7B">
        <w:rPr>
          <w:b/>
          <w:bCs/>
          <w:lang w:eastAsia="en-AU"/>
        </w:rPr>
        <w:t xml:space="preserve">of </w:t>
      </w:r>
      <w:r w:rsidRPr="00103A7B">
        <w:rPr>
          <w:b/>
          <w:bCs/>
          <w:lang w:eastAsia="en-AU"/>
        </w:rPr>
        <w:t>disability</w:t>
      </w:r>
      <w:r w:rsidR="00D00CDD" w:rsidRPr="00103A7B">
        <w:rPr>
          <w:b/>
          <w:bCs/>
          <w:lang w:eastAsia="en-AU"/>
        </w:rPr>
        <w:t>.</w:t>
      </w:r>
      <w:r w:rsidRPr="00103A7B">
        <w:rPr>
          <w:b/>
          <w:bCs/>
          <w:lang w:eastAsia="en-AU"/>
        </w:rPr>
        <w:t xml:space="preserve"> </w:t>
      </w:r>
    </w:p>
    <w:p w14:paraId="2F7B6289" w14:textId="31F11D16" w:rsidR="00F3388E" w:rsidRDefault="00D2411D" w:rsidP="00E63389">
      <w:pPr>
        <w:pStyle w:val="Heading2"/>
      </w:pPr>
      <w:bookmarkStart w:id="47" w:name="_Toc205896815"/>
      <w:r>
        <w:t xml:space="preserve">4. </w:t>
      </w:r>
      <w:r w:rsidR="00F3388E" w:rsidRPr="00F3388E">
        <w:t xml:space="preserve">Summary of </w:t>
      </w:r>
      <w:r w:rsidR="00C0315C">
        <w:t>r</w:t>
      </w:r>
      <w:r w:rsidR="00F3388E" w:rsidRPr="00F3388E">
        <w:t>ecommendation</w:t>
      </w:r>
      <w:r w:rsidR="00F3388E">
        <w:t>s</w:t>
      </w:r>
      <w:bookmarkEnd w:id="47"/>
    </w:p>
    <w:p w14:paraId="1FCD9A76" w14:textId="2DF1E34A" w:rsidR="00A44CF2" w:rsidRPr="00AB786E" w:rsidRDefault="00A44CF2" w:rsidP="00DC170F">
      <w:pPr>
        <w:pStyle w:val="ListParagraph"/>
      </w:pPr>
      <w:r>
        <w:t xml:space="preserve">Update the ADA to modernise </w:t>
      </w:r>
      <w:r w:rsidR="001336C4">
        <w:t>language</w:t>
      </w:r>
      <w:r>
        <w:t xml:space="preserve"> and reflect contemporary understandings of disability, including those specific to blindness and vision</w:t>
      </w:r>
      <w:r w:rsidR="31902F82">
        <w:t xml:space="preserve"> impairment</w:t>
      </w:r>
      <w:r w:rsidR="00AB786E">
        <w:t xml:space="preserve">, </w:t>
      </w:r>
      <w:r w:rsidR="00AB786E" w:rsidRPr="00AB786E">
        <w:t>and align with the revised DDA definition.</w:t>
      </w:r>
    </w:p>
    <w:p w14:paraId="2268F72A" w14:textId="0F35FA96" w:rsidR="00F3388E" w:rsidRPr="00890B3E" w:rsidRDefault="006440EA" w:rsidP="00DC170F">
      <w:pPr>
        <w:pStyle w:val="ListParagraph"/>
      </w:pPr>
      <w:r w:rsidRPr="006440EA">
        <w:t>Recognise intersectionality in the ADA and prohibit unlawful conduct that is based on more than one, or a combination of, protected attributes.</w:t>
      </w:r>
    </w:p>
    <w:p w14:paraId="0E222F18" w14:textId="4497710F" w:rsidR="00890B3E" w:rsidRDefault="00890B3E" w:rsidP="00DC170F">
      <w:pPr>
        <w:pStyle w:val="ListParagraph"/>
      </w:pPr>
      <w:r w:rsidRPr="00890B3E">
        <w:t>Extend the ADA to include provision for an attribute which protects against discrimination based on being a relative or associate of someone with any other protected attribute.</w:t>
      </w:r>
    </w:p>
    <w:p w14:paraId="0F5EF18D" w14:textId="6BE61BA0" w:rsidR="00E10F62" w:rsidRDefault="00E10F62" w:rsidP="00DC170F">
      <w:pPr>
        <w:pStyle w:val="ListParagraph"/>
      </w:pPr>
      <w:r w:rsidRPr="00E10F62">
        <w:t>Modernise inclusion and reference to Assistance Animals in the ADA.</w:t>
      </w:r>
    </w:p>
    <w:p w14:paraId="182343DA" w14:textId="162983E1" w:rsidR="007A4B78" w:rsidRPr="00C44162" w:rsidRDefault="00C44162" w:rsidP="00DC170F">
      <w:pPr>
        <w:pStyle w:val="ListParagraph"/>
      </w:pPr>
      <w:r w:rsidRPr="00C44162">
        <w:t>Incorporate use of the unfavourable treatment approach in place of a comparator test</w:t>
      </w:r>
      <w:r w:rsidR="005307CE">
        <w:t xml:space="preserve"> for discriminat</w:t>
      </w:r>
      <w:r w:rsidR="000228AF">
        <w:t>i</w:t>
      </w:r>
      <w:r w:rsidR="005307CE">
        <w:t>on</w:t>
      </w:r>
      <w:r w:rsidRPr="00C44162">
        <w:t xml:space="preserve"> in the ADA.</w:t>
      </w:r>
    </w:p>
    <w:p w14:paraId="30B94DC7" w14:textId="0F72E616" w:rsidR="007A4B78" w:rsidRDefault="006E7476" w:rsidP="00DC170F">
      <w:pPr>
        <w:pStyle w:val="ListParagraph"/>
      </w:pPr>
      <w:r w:rsidRPr="006E7476">
        <w:lastRenderedPageBreak/>
        <w:t>Establish a standalone positive duty in the ADA to require duty holders to provide adjustment for people with disability and prevent discrimination.</w:t>
      </w:r>
    </w:p>
    <w:p w14:paraId="02E86339" w14:textId="51322FB1" w:rsidR="00C84112" w:rsidRDefault="00C84112" w:rsidP="00DC170F">
      <w:pPr>
        <w:pStyle w:val="ListParagraph"/>
      </w:pPr>
      <w:r w:rsidRPr="00C84112">
        <w:t xml:space="preserve">Expand the definition of employment in the ADA to include protection of voluntary and unpaid workers and shift focus away from </w:t>
      </w:r>
      <w:proofErr w:type="gramStart"/>
      <w:r w:rsidRPr="00C84112">
        <w:t>particular employment</w:t>
      </w:r>
      <w:proofErr w:type="gramEnd"/>
      <w:r w:rsidRPr="00C84112">
        <w:t xml:space="preserve"> relationships.</w:t>
      </w:r>
    </w:p>
    <w:p w14:paraId="6A409204" w14:textId="29C49467" w:rsidR="00F47973" w:rsidRDefault="00F47973" w:rsidP="00DC170F">
      <w:pPr>
        <w:pStyle w:val="ListParagraph"/>
      </w:pPr>
      <w:r w:rsidRPr="00F47973">
        <w:t>Amend the ADA in relation to the Inherent Requirements exemption, in line with recommendations from the Disability Royal Commission Report.</w:t>
      </w:r>
    </w:p>
    <w:p w14:paraId="716CDA30" w14:textId="2D84CDC2" w:rsidR="006257B4" w:rsidRDefault="006257B4" w:rsidP="00DC170F">
      <w:pPr>
        <w:pStyle w:val="ListParagraph"/>
      </w:pPr>
      <w:r w:rsidRPr="006257B4">
        <w:t>Remove exceptions for private educational authorities in education to discriminate against students and prospective students with disability.</w:t>
      </w:r>
    </w:p>
    <w:p w14:paraId="7AAA4DCF" w14:textId="75214631" w:rsidR="006257B4" w:rsidRPr="00D60629" w:rsidRDefault="00C566B7" w:rsidP="00DC170F">
      <w:pPr>
        <w:pStyle w:val="ListParagraph"/>
        <w:rPr>
          <w:b/>
          <w:bCs/>
        </w:rPr>
      </w:pPr>
      <w:r w:rsidRPr="00C566B7">
        <w:t>Expand the definition and coverage of the protected area of “the provision of goods and services”.</w:t>
      </w:r>
      <w:r w:rsidRPr="00D60629">
        <w:rPr>
          <w:b/>
          <w:bCs/>
        </w:rPr>
        <w:t xml:space="preserve">  </w:t>
      </w:r>
    </w:p>
    <w:p w14:paraId="5D0E44D4" w14:textId="3E410101" w:rsidR="00893B1E" w:rsidRPr="003B0977" w:rsidRDefault="00893B1E" w:rsidP="00DC170F">
      <w:pPr>
        <w:pStyle w:val="ListParagraph"/>
      </w:pPr>
      <w:r w:rsidRPr="00893B1E">
        <w:t xml:space="preserve">Elevate the status of digital goods and services in the ADA by including </w:t>
      </w:r>
      <w:r w:rsidRPr="003B0977">
        <w:t>it as a protected area.</w:t>
      </w:r>
    </w:p>
    <w:p w14:paraId="1D5A6309" w14:textId="6C906654" w:rsidR="003B0977" w:rsidRDefault="003B0977" w:rsidP="00DC170F">
      <w:pPr>
        <w:pStyle w:val="ListParagraph"/>
      </w:pPr>
      <w:r w:rsidRPr="003B0977">
        <w:t xml:space="preserve">Improve protection of disability rights in accommodation in the ADA.  </w:t>
      </w:r>
    </w:p>
    <w:p w14:paraId="55E75381" w14:textId="3A7FA085" w:rsidR="00961658" w:rsidRDefault="00961658" w:rsidP="00DC170F">
      <w:pPr>
        <w:pStyle w:val="ListParagraph"/>
      </w:pPr>
      <w:r w:rsidRPr="00961658">
        <w:t>Include Sport as an additional protected area in the ADA.</w:t>
      </w:r>
    </w:p>
    <w:p w14:paraId="6127AB05" w14:textId="409BD5CB" w:rsidR="006300C5" w:rsidRDefault="006300C5" w:rsidP="00DC170F">
      <w:pPr>
        <w:pStyle w:val="ListParagraph"/>
      </w:pPr>
      <w:r w:rsidRPr="006300C5">
        <w:t>Do not provide an exception for voluntary bodies in the ADA.</w:t>
      </w:r>
    </w:p>
    <w:p w14:paraId="1F8440F5" w14:textId="0C0420C8" w:rsidR="0072349C" w:rsidRPr="0072349C" w:rsidRDefault="0072349C" w:rsidP="00DC170F">
      <w:pPr>
        <w:pStyle w:val="ListParagraph"/>
      </w:pPr>
      <w:r w:rsidRPr="0072349C">
        <w:t>Amend the ADA to prohibit vilification based on the protected attribute of disability.</w:t>
      </w:r>
    </w:p>
    <w:p w14:paraId="2E6632FE" w14:textId="77777777" w:rsidR="00F3388E" w:rsidRPr="00CC5EF2" w:rsidRDefault="00F3388E" w:rsidP="00CC5EF2">
      <w:pPr>
        <w:rPr>
          <w:b/>
          <w:bCs/>
          <w:lang w:eastAsia="en-AU"/>
        </w:rPr>
      </w:pPr>
    </w:p>
    <w:sectPr w:rsidR="00F3388E" w:rsidRPr="00CC5EF2" w:rsidSect="005355BB">
      <w:headerReference w:type="default" r:id="rId14"/>
      <w:footerReference w:type="default" r:id="rId15"/>
      <w:headerReference w:type="first" r:id="rId16"/>
      <w:footerReference w:type="first" r:id="rId17"/>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8FD0" w14:textId="77777777" w:rsidR="003E20A9" w:rsidRDefault="003E20A9" w:rsidP="00E67E32">
      <w:pPr>
        <w:spacing w:before="0" w:line="240" w:lineRule="auto"/>
      </w:pPr>
      <w:r>
        <w:separator/>
      </w:r>
    </w:p>
  </w:endnote>
  <w:endnote w:type="continuationSeparator" w:id="0">
    <w:p w14:paraId="07F517CD" w14:textId="77777777" w:rsidR="003E20A9" w:rsidRDefault="003E20A9" w:rsidP="00E67E32">
      <w:pPr>
        <w:spacing w:before="0" w:line="240" w:lineRule="auto"/>
      </w:pPr>
      <w:r>
        <w:continuationSeparator/>
      </w:r>
    </w:p>
  </w:endnote>
  <w:endnote w:id="1">
    <w:p w14:paraId="1FC6E56F" w14:textId="77777777" w:rsidR="00A36708" w:rsidRPr="006D0365" w:rsidRDefault="00A36708" w:rsidP="004F42DD">
      <w:pPr>
        <w:pStyle w:val="EndnoteText"/>
        <w:rPr>
          <w:rStyle w:val="EndnoteReference"/>
        </w:rPr>
      </w:pPr>
      <w:r w:rsidRPr="006D0365">
        <w:rPr>
          <w:rStyle w:val="EndnoteReference"/>
        </w:rPr>
        <w:endnoteRef/>
      </w:r>
      <w:r w:rsidRPr="006D0365">
        <w:rPr>
          <w:rStyle w:val="EndnoteReference"/>
        </w:rPr>
        <w:t xml:space="preserve"> </w:t>
      </w:r>
      <w:r w:rsidRPr="00DD1128">
        <w:t xml:space="preserve">Vision2020. Eye health in Australia. </w:t>
      </w:r>
      <w:hyperlink r:id="rId1" w:history="1">
        <w:r w:rsidRPr="00DD1128">
          <w:t>http://www.visioninitiative.org.au/common-eye-conditions/eye-health-in-australia</w:t>
        </w:r>
      </w:hyperlink>
      <w:r w:rsidRPr="006D0365">
        <w:rPr>
          <w:rStyle w:val="EndnoteReference"/>
        </w:rPr>
        <w:t xml:space="preserve"> </w:t>
      </w:r>
    </w:p>
  </w:endnote>
  <w:endnote w:id="2">
    <w:p w14:paraId="1A0F59AE" w14:textId="6BDA53E5" w:rsidR="74801A73" w:rsidRPr="006D0365" w:rsidRDefault="74801A73" w:rsidP="004F42DD">
      <w:pPr>
        <w:pStyle w:val="EndnoteText"/>
        <w:rPr>
          <w:rStyle w:val="EndnoteReference"/>
        </w:rPr>
      </w:pPr>
      <w:r w:rsidRPr="006D0365">
        <w:rPr>
          <w:rStyle w:val="EndnoteReference"/>
        </w:rPr>
        <w:endnoteRef/>
      </w:r>
      <w:r w:rsidRPr="006D0365">
        <w:rPr>
          <w:rStyle w:val="EndnoteReference"/>
        </w:rPr>
        <w:t xml:space="preserve"> </w:t>
      </w:r>
      <w:r w:rsidRPr="00DD1128">
        <w:t xml:space="preserve">Blind Citizens Australia </w:t>
      </w:r>
      <w:r w:rsidR="00E15518" w:rsidRPr="00DD1128">
        <w:t>S</w:t>
      </w:r>
      <w:r w:rsidRPr="00DD1128">
        <w:t>ubmission</w:t>
      </w:r>
      <w:r w:rsidR="00E15518" w:rsidRPr="00DD1128">
        <w:t xml:space="preserve"> (2012).</w:t>
      </w:r>
      <w:r w:rsidRPr="00DD1128">
        <w:t xml:space="preserve"> Response to the consolidation of anti-discrimination laws</w:t>
      </w:r>
      <w:r w:rsidR="00F26A34" w:rsidRPr="00DD1128">
        <w:t>.</w:t>
      </w:r>
      <w:r w:rsidRPr="006D0365">
        <w:rPr>
          <w:rStyle w:val="EndnoteReference"/>
        </w:rPr>
        <w:t xml:space="preserve"> </w:t>
      </w:r>
    </w:p>
    <w:p w14:paraId="66DD4296" w14:textId="1ADECA13" w:rsidR="74801A73" w:rsidRPr="006D0365" w:rsidRDefault="74801A73" w:rsidP="004F42DD">
      <w:pPr>
        <w:pStyle w:val="EndnoteText"/>
        <w:rPr>
          <w:rStyle w:val="EndnoteReference"/>
        </w:rPr>
      </w:pPr>
    </w:p>
  </w:endnote>
  <w:endnote w:id="3">
    <w:p w14:paraId="6F8B15F4" w14:textId="6DD7626C" w:rsidR="00C21AE0" w:rsidRPr="006D0365" w:rsidRDefault="000F7AA1" w:rsidP="008E6045">
      <w:pPr>
        <w:pStyle w:val="EndnoteText"/>
        <w:rPr>
          <w:rStyle w:val="EndnoteReference"/>
        </w:rPr>
      </w:pPr>
      <w:r w:rsidRPr="006D0365">
        <w:rPr>
          <w:rStyle w:val="EndnoteReference"/>
        </w:rPr>
        <w:endnoteRef/>
      </w:r>
      <w:r w:rsidRPr="006D0365">
        <w:rPr>
          <w:rStyle w:val="EndnoteReference"/>
        </w:rPr>
        <w:t xml:space="preserve"> </w:t>
      </w:r>
      <w:r w:rsidR="00C21AE0" w:rsidRPr="00DD1128">
        <w:t xml:space="preserve">Blind Citizens Australia </w:t>
      </w:r>
      <w:r w:rsidR="007F4FF2" w:rsidRPr="00DD1128">
        <w:t xml:space="preserve">(2021) </w:t>
      </w:r>
      <w:r w:rsidR="00C21AE0" w:rsidRPr="00DD1128">
        <w:t>Response to Issues Paper – Rights and Attitudes Towards People with Disabilities</w:t>
      </w:r>
    </w:p>
    <w:p w14:paraId="416629B4" w14:textId="6425F48D" w:rsidR="00C21AE0" w:rsidRPr="00DD1128" w:rsidRDefault="00C21AE0" w:rsidP="00DD1128">
      <w:pPr>
        <w:pStyle w:val="EndnoteText"/>
      </w:pPr>
      <w:r w:rsidRPr="00DD1128">
        <w:t>Royal Commission into Violence, Abuse, Neglect and Exploitation of People with Disabilities</w:t>
      </w:r>
    </w:p>
    <w:p w14:paraId="68DA97EE" w14:textId="075ABCF4" w:rsidR="000F7AA1" w:rsidRPr="006D0365" w:rsidRDefault="000F7AA1" w:rsidP="008E6045">
      <w:pPr>
        <w:pStyle w:val="EndnoteText"/>
        <w:rPr>
          <w:rStyle w:val="EndnoteReference"/>
        </w:rPr>
      </w:pPr>
    </w:p>
  </w:endnote>
  <w:endnote w:id="4">
    <w:p w14:paraId="7F175A46" w14:textId="77777777" w:rsidR="000E7130" w:rsidRPr="006D0365" w:rsidRDefault="000E7130" w:rsidP="008E6045">
      <w:pPr>
        <w:pStyle w:val="EndnoteText"/>
        <w:rPr>
          <w:rStyle w:val="EndnoteReference"/>
        </w:rPr>
      </w:pPr>
      <w:r w:rsidRPr="006D0365">
        <w:rPr>
          <w:rStyle w:val="EndnoteReference"/>
        </w:rPr>
        <w:endnoteRef/>
      </w:r>
      <w:r w:rsidRPr="006D0365">
        <w:rPr>
          <w:rStyle w:val="EndnoteReference"/>
        </w:rPr>
        <w:t xml:space="preserve"> </w:t>
      </w:r>
      <w:r w:rsidRPr="00DD1128">
        <w:t>Australian Human Rights Commission (2021) Free &amp; Equal: A reform agenda for federal discrimination laws.</w:t>
      </w:r>
      <w:r w:rsidRPr="006D0365">
        <w:rPr>
          <w:rStyle w:val="EndnoteReference"/>
        </w:rPr>
        <w:t xml:space="preserve">  </w:t>
      </w:r>
    </w:p>
    <w:p w14:paraId="3DEF207F" w14:textId="77777777" w:rsidR="000E7130" w:rsidRPr="006D0365" w:rsidRDefault="000E7130" w:rsidP="004F42DD">
      <w:pPr>
        <w:pStyle w:val="EndnoteText"/>
        <w:rPr>
          <w:rStyle w:val="EndnoteReference"/>
        </w:rPr>
      </w:pPr>
    </w:p>
  </w:endnote>
  <w:endnote w:id="5">
    <w:p w14:paraId="654D0314" w14:textId="04821913" w:rsidR="001148AD" w:rsidRPr="006D0365" w:rsidRDefault="001148AD" w:rsidP="008E6045">
      <w:pPr>
        <w:pStyle w:val="EndnoteText"/>
        <w:rPr>
          <w:rStyle w:val="EndnoteReference"/>
        </w:rPr>
      </w:pPr>
      <w:r w:rsidRPr="006D0365">
        <w:rPr>
          <w:rStyle w:val="EndnoteReference"/>
        </w:rPr>
        <w:endnoteRef/>
      </w:r>
      <w:r w:rsidRPr="006D0365">
        <w:rPr>
          <w:rStyle w:val="EndnoteReference"/>
        </w:rPr>
        <w:t xml:space="preserve"> </w:t>
      </w:r>
      <w:r w:rsidRPr="00112198">
        <w:t>United Nations. (2006). Convention on the Rights of Persons with Disabilities, Article 2.</w:t>
      </w:r>
      <w:r w:rsidRPr="006D0365">
        <w:rPr>
          <w:rStyle w:val="EndnoteReference"/>
        </w:rPr>
        <w:t xml:space="preserve"> </w:t>
      </w:r>
    </w:p>
  </w:endnote>
  <w:endnote w:id="6">
    <w:p w14:paraId="0C2BFF70" w14:textId="77777777" w:rsidR="008B0EC7" w:rsidRPr="006D0365" w:rsidRDefault="008B0EC7" w:rsidP="008E6045">
      <w:pPr>
        <w:pStyle w:val="EndnoteText"/>
        <w:rPr>
          <w:rStyle w:val="EndnoteReference"/>
        </w:rPr>
      </w:pPr>
      <w:r w:rsidRPr="006D0365">
        <w:rPr>
          <w:rStyle w:val="EndnoteReference"/>
        </w:rPr>
        <w:endnoteRef/>
      </w:r>
      <w:r w:rsidRPr="006D0365">
        <w:rPr>
          <w:rStyle w:val="EndnoteReference"/>
        </w:rPr>
        <w:t xml:space="preserve"> </w:t>
      </w:r>
      <w:r w:rsidRPr="00112198">
        <w:t>Convention on the Rights of Persons with Disabilities, 2515 UNTS 3 (entered into force 3 May 2008) art 2 definition of “reasonable accommodation”, arts 5, 14, 24, 27.</w:t>
      </w:r>
    </w:p>
  </w:endnote>
  <w:endnote w:id="7">
    <w:p w14:paraId="51C59AE4" w14:textId="77777777" w:rsidR="00866EE5" w:rsidRPr="006D0365" w:rsidRDefault="00866EE5" w:rsidP="00866EE5">
      <w:pPr>
        <w:pStyle w:val="EndnoteText"/>
        <w:rPr>
          <w:rStyle w:val="EndnoteReference"/>
        </w:rPr>
      </w:pPr>
      <w:r w:rsidRPr="006D0365">
        <w:rPr>
          <w:rStyle w:val="EndnoteReference"/>
        </w:rPr>
        <w:endnoteRef/>
      </w:r>
      <w:r w:rsidRPr="006D0365">
        <w:rPr>
          <w:rStyle w:val="EndnoteReference"/>
        </w:rPr>
        <w:t xml:space="preserve"> </w:t>
      </w:r>
      <w:r w:rsidRPr="00112198">
        <w:t>Australian Human Rights Commission (2021) Free &amp; Equal: A reform agenda for federal discrimination laws.</w:t>
      </w:r>
      <w:r w:rsidRPr="006D0365">
        <w:rPr>
          <w:rStyle w:val="EndnoteReference"/>
        </w:rPr>
        <w:t xml:space="preserve">  </w:t>
      </w:r>
    </w:p>
  </w:endnote>
  <w:endnote w:id="8">
    <w:p w14:paraId="0D9EEC88" w14:textId="38D57F85" w:rsidR="000C757C" w:rsidRPr="006D0365" w:rsidRDefault="000C757C" w:rsidP="008E6045">
      <w:pPr>
        <w:pStyle w:val="EndnoteText"/>
        <w:rPr>
          <w:rStyle w:val="EndnoteReference"/>
        </w:rPr>
      </w:pPr>
      <w:r w:rsidRPr="006D0365">
        <w:rPr>
          <w:rStyle w:val="EndnoteReference"/>
        </w:rPr>
        <w:endnoteRef/>
      </w:r>
      <w:r w:rsidRPr="006D0365">
        <w:rPr>
          <w:rStyle w:val="EndnoteReference"/>
        </w:rPr>
        <w:t xml:space="preserve"> </w:t>
      </w:r>
      <w:r w:rsidRPr="00112198">
        <w:t>Graffam, J. et al., 2002a, “Employer benefits and costs of employing a person with a disability”, Journal of Vocational Rehabilitation 17, pp.251-263.</w:t>
      </w:r>
    </w:p>
  </w:endnote>
  <w:endnote w:id="9">
    <w:p w14:paraId="680AA943" w14:textId="77FDBC3E" w:rsidR="0078121B" w:rsidRPr="006D0365" w:rsidRDefault="0078121B" w:rsidP="004F42DD">
      <w:pPr>
        <w:pStyle w:val="EndnoteText"/>
        <w:rPr>
          <w:rStyle w:val="EndnoteReference"/>
        </w:rPr>
      </w:pPr>
      <w:r w:rsidRPr="006D0365">
        <w:rPr>
          <w:rStyle w:val="EndnoteReference"/>
        </w:rPr>
        <w:endnoteRef/>
      </w:r>
      <w:r w:rsidRPr="006D0365">
        <w:rPr>
          <w:rStyle w:val="EndnoteReference"/>
        </w:rPr>
        <w:t xml:space="preserve"> </w:t>
      </w:r>
      <w:r w:rsidRPr="00112198">
        <w:t>Blind Citizens Australia.</w:t>
      </w:r>
      <w:r w:rsidR="00985B4C">
        <w:t xml:space="preserve"> </w:t>
      </w:r>
      <w:r w:rsidR="00E919C1">
        <w:t>(</w:t>
      </w:r>
      <w:r w:rsidR="00985B4C">
        <w:t>2</w:t>
      </w:r>
      <w:r w:rsidR="00E919C1">
        <w:t>023)</w:t>
      </w:r>
      <w:r w:rsidR="00985B4C">
        <w:t>.</w:t>
      </w:r>
      <w:r w:rsidRPr="00112198">
        <w:t xml:space="preserve"> Employment Policy.</w:t>
      </w:r>
    </w:p>
  </w:endnote>
  <w:endnote w:id="10">
    <w:p w14:paraId="2333F5E1" w14:textId="35A41222" w:rsidR="00467BC5" w:rsidRPr="006D0365" w:rsidRDefault="00467BC5" w:rsidP="008E6045">
      <w:pPr>
        <w:pStyle w:val="EndnoteText"/>
        <w:rPr>
          <w:rStyle w:val="EndnoteReference"/>
        </w:rPr>
      </w:pPr>
      <w:r w:rsidRPr="006D0365">
        <w:rPr>
          <w:rStyle w:val="EndnoteReference"/>
        </w:rPr>
        <w:endnoteRef/>
      </w:r>
      <w:r w:rsidRPr="006D0365">
        <w:rPr>
          <w:rStyle w:val="EndnoteReference"/>
        </w:rPr>
        <w:t xml:space="preserve"> </w:t>
      </w:r>
      <w:r w:rsidRPr="00943443">
        <w:t>Australian Bureau of Statistics. (2024). Disability, Ageing and Carers, Australia: Summary of Findings.</w:t>
      </w:r>
      <w:r w:rsidRPr="006D0365">
        <w:rPr>
          <w:rStyle w:val="EndnoteReference"/>
        </w:rPr>
        <w:t xml:space="preserve"> </w:t>
      </w:r>
    </w:p>
  </w:endnote>
  <w:endnote w:id="11">
    <w:p w14:paraId="468D84D7" w14:textId="1FAFE45A" w:rsidR="00467BC5" w:rsidRPr="006D0365" w:rsidRDefault="00467BC5" w:rsidP="008E6045">
      <w:pPr>
        <w:pStyle w:val="EndnoteText"/>
        <w:rPr>
          <w:rStyle w:val="EndnoteReference"/>
        </w:rPr>
      </w:pPr>
      <w:r w:rsidRPr="006D0365">
        <w:rPr>
          <w:rStyle w:val="EndnoteReference"/>
        </w:rPr>
        <w:endnoteRef/>
      </w:r>
      <w:r w:rsidRPr="006D0365">
        <w:rPr>
          <w:rStyle w:val="EndnoteReference"/>
        </w:rPr>
        <w:t xml:space="preserve"> </w:t>
      </w:r>
      <w:r w:rsidRPr="00943443">
        <w:t xml:space="preserve">Graffam, J. et al., </w:t>
      </w:r>
      <w:r w:rsidR="00950C7F" w:rsidRPr="00943443">
        <w:t>(</w:t>
      </w:r>
      <w:r w:rsidRPr="00943443">
        <w:t>2002a</w:t>
      </w:r>
      <w:r w:rsidR="00950C7F" w:rsidRPr="00943443">
        <w:t>)</w:t>
      </w:r>
      <w:r w:rsidRPr="00943443">
        <w:t>, ‘Employer benefits and costs of employing a person with a disability’, Journal of Vocational Rehabilitation 17, pp.251-263.</w:t>
      </w:r>
    </w:p>
    <w:p w14:paraId="0C857BCC" w14:textId="77777777" w:rsidR="00467BC5" w:rsidRPr="0039335F" w:rsidRDefault="00467BC5" w:rsidP="004F42DD">
      <w:pPr>
        <w:pStyle w:val="EndnoteText"/>
      </w:pPr>
    </w:p>
  </w:endnote>
  <w:endnote w:id="12">
    <w:p w14:paraId="7692AFCC" w14:textId="61016675" w:rsidR="0095533D" w:rsidRPr="0039335F" w:rsidRDefault="0095533D" w:rsidP="004F42DD">
      <w:pPr>
        <w:pStyle w:val="EndnoteText"/>
      </w:pPr>
      <w:r w:rsidRPr="0039335F">
        <w:rPr>
          <w:rStyle w:val="EndnoteReference"/>
          <w:sz w:val="16"/>
          <w:szCs w:val="16"/>
        </w:rPr>
        <w:endnoteRef/>
      </w:r>
      <w:r w:rsidRPr="0039335F">
        <w:t xml:space="preserve"> B</w:t>
      </w:r>
      <w:r w:rsidR="004C089E" w:rsidRPr="0039335F">
        <w:t xml:space="preserve">lind Citizens </w:t>
      </w:r>
      <w:r w:rsidRPr="0039335F">
        <w:t>A</w:t>
      </w:r>
      <w:r w:rsidR="004C089E" w:rsidRPr="0039335F">
        <w:t>ustralia</w:t>
      </w:r>
      <w:r w:rsidR="005A0C02" w:rsidRPr="0039335F">
        <w:t>.</w:t>
      </w:r>
      <w:r w:rsidR="000E0E12">
        <w:t xml:space="preserve"> (2023).</w:t>
      </w:r>
      <w:r w:rsidR="004C089E" w:rsidRPr="0039335F">
        <w:t xml:space="preserve"> </w:t>
      </w:r>
      <w:r w:rsidRPr="0039335F">
        <w:t>Employment Policy</w:t>
      </w:r>
      <w:r w:rsidR="005A0C02" w:rsidRPr="0039335F">
        <w:t>.</w:t>
      </w:r>
    </w:p>
  </w:endnote>
  <w:endnote w:id="13">
    <w:p w14:paraId="1A63ACC8" w14:textId="532048B6" w:rsidR="007353DC" w:rsidRPr="00D95FCA" w:rsidRDefault="007353DC" w:rsidP="004F42DD">
      <w:pPr>
        <w:pStyle w:val="EndnoteText"/>
      </w:pPr>
      <w:r w:rsidRPr="0039335F">
        <w:rPr>
          <w:rStyle w:val="EndnoteReference"/>
          <w:sz w:val="16"/>
          <w:szCs w:val="16"/>
        </w:rPr>
        <w:endnoteRef/>
      </w:r>
      <w:r w:rsidRPr="0039335F">
        <w:t xml:space="preserve"> P</w:t>
      </w:r>
      <w:r w:rsidR="00E268EA">
        <w:t xml:space="preserve">rice </w:t>
      </w:r>
      <w:r w:rsidRPr="0039335F">
        <w:t>W</w:t>
      </w:r>
      <w:r w:rsidR="00E268EA">
        <w:t xml:space="preserve">aterhouse </w:t>
      </w:r>
      <w:r w:rsidRPr="0039335F">
        <w:t>C</w:t>
      </w:r>
      <w:r w:rsidR="00E268EA">
        <w:t>oopers</w:t>
      </w:r>
      <w:r w:rsidRPr="0039335F">
        <w:t xml:space="preserve">. (2011). Achieving Better Outcomes for People with a Disability and their Families. </w:t>
      </w:r>
      <w:hyperlink r:id="rId2" w:tgtFrame="_blank" w:history="1">
        <w:r w:rsidRPr="00D95FCA">
          <w:t>Disability expectations - Investing in a better life, a stronger Australia</w:t>
        </w:r>
      </w:hyperlink>
      <w:r w:rsidR="00E268EA">
        <w:t>.</w:t>
      </w:r>
      <w:r w:rsidRPr="00D95FCA">
        <w:t> </w:t>
      </w:r>
    </w:p>
  </w:endnote>
  <w:endnote w:id="14">
    <w:p w14:paraId="0F715450" w14:textId="64084119" w:rsidR="00730748" w:rsidRPr="0039335F" w:rsidRDefault="00730748" w:rsidP="004F42DD">
      <w:pPr>
        <w:pStyle w:val="EndnoteText"/>
      </w:pPr>
      <w:r w:rsidRPr="0039335F">
        <w:rPr>
          <w:rStyle w:val="EndnoteReference"/>
          <w:sz w:val="16"/>
          <w:szCs w:val="16"/>
        </w:rPr>
        <w:endnoteRef/>
      </w:r>
      <w:r w:rsidRPr="0039335F">
        <w:t xml:space="preserve"> </w:t>
      </w:r>
      <w:r w:rsidRPr="0039335F">
        <w:rPr>
          <w:b/>
          <w:bCs/>
        </w:rPr>
        <w:t> </w:t>
      </w:r>
      <w:r w:rsidRPr="0039335F">
        <w:t>UNESCO</w:t>
      </w:r>
      <w:r w:rsidR="00C136D7" w:rsidRPr="0039335F">
        <w:t>. (2020)</w:t>
      </w:r>
      <w:r w:rsidR="00905552">
        <w:t>.</w:t>
      </w:r>
      <w:r w:rsidRPr="0039335F">
        <w:t> Global Education Monitoring Report: Inclusion and Education</w:t>
      </w:r>
      <w:r w:rsidR="00C136D7" w:rsidRPr="0039335F">
        <w:t>.</w:t>
      </w:r>
    </w:p>
    <w:p w14:paraId="1B5F7BFB" w14:textId="09BC4D58" w:rsidR="00730748" w:rsidRPr="0039335F" w:rsidRDefault="00730748" w:rsidP="004F42DD">
      <w:pPr>
        <w:pStyle w:val="EndnoteText"/>
      </w:pPr>
    </w:p>
  </w:endnote>
  <w:endnote w:id="15">
    <w:p w14:paraId="6194AA25" w14:textId="5021AE12" w:rsidR="0061587A" w:rsidRPr="0039335F" w:rsidRDefault="0061587A" w:rsidP="004F42DD">
      <w:pPr>
        <w:pStyle w:val="EndnoteText"/>
      </w:pPr>
      <w:r w:rsidRPr="0039335F">
        <w:rPr>
          <w:rStyle w:val="EndnoteReference"/>
          <w:sz w:val="16"/>
          <w:szCs w:val="16"/>
        </w:rPr>
        <w:endnoteRef/>
      </w:r>
      <w:r w:rsidRPr="0039335F">
        <w:t xml:space="preserve"> </w:t>
      </w:r>
      <w:hyperlink r:id="rId3" w:tgtFrame="_blank" w:tooltip="International Institute for Educational Planning" w:history="1">
        <w:r w:rsidR="00865652" w:rsidRPr="00865652">
          <w:t>UNESCO</w:t>
        </w:r>
        <w:r w:rsidR="00905552">
          <w:t>.</w:t>
        </w:r>
        <w:r w:rsidR="00865652" w:rsidRPr="00865652">
          <w:t xml:space="preserve"> International Institute for Educational Planning</w:t>
        </w:r>
      </w:hyperlink>
      <w:r w:rsidR="009E572F">
        <w:t xml:space="preserve">. Disability inclusive education and learning portal. </w:t>
      </w:r>
    </w:p>
  </w:endnote>
  <w:endnote w:id="16">
    <w:p w14:paraId="65A5B04D" w14:textId="65EF1D58" w:rsidR="0061587A" w:rsidRPr="0039335F" w:rsidRDefault="0061587A" w:rsidP="004F42DD">
      <w:pPr>
        <w:pStyle w:val="EndnoteText"/>
      </w:pPr>
      <w:r w:rsidRPr="0039335F">
        <w:rPr>
          <w:rStyle w:val="EndnoteReference"/>
          <w:sz w:val="16"/>
          <w:szCs w:val="16"/>
        </w:rPr>
        <w:endnoteRef/>
      </w:r>
      <w:r w:rsidRPr="0039335F">
        <w:t xml:space="preserve"> B</w:t>
      </w:r>
      <w:r w:rsidR="00675968" w:rsidRPr="0039335F">
        <w:t>lind Citizens Australia</w:t>
      </w:r>
      <w:r w:rsidR="00C74C00" w:rsidRPr="0039335F">
        <w:t>.</w:t>
      </w:r>
      <w:r w:rsidR="00C136D7" w:rsidRPr="0039335F">
        <w:t xml:space="preserve"> (2021)</w:t>
      </w:r>
      <w:r w:rsidR="00FC62B8" w:rsidRPr="0039335F">
        <w:t>.</w:t>
      </w:r>
      <w:r w:rsidR="00675968" w:rsidRPr="0039335F">
        <w:t xml:space="preserve"> </w:t>
      </w:r>
      <w:r w:rsidRPr="0039335F">
        <w:t>Education Policy</w:t>
      </w:r>
      <w:r w:rsidR="00202670" w:rsidRPr="0039335F">
        <w:t>.</w:t>
      </w:r>
      <w:r w:rsidR="00675968" w:rsidRPr="0039335F">
        <w:t xml:space="preserve"> </w:t>
      </w:r>
    </w:p>
  </w:endnote>
  <w:endnote w:id="17">
    <w:p w14:paraId="304C6F92" w14:textId="77777777" w:rsidR="00467BC5" w:rsidRPr="0039335F" w:rsidRDefault="00467BC5" w:rsidP="004F42DD">
      <w:pPr>
        <w:pStyle w:val="EndnoteText"/>
      </w:pPr>
      <w:r w:rsidRPr="0039335F">
        <w:rPr>
          <w:rStyle w:val="EndnoteReference"/>
          <w:sz w:val="16"/>
          <w:szCs w:val="16"/>
        </w:rPr>
        <w:endnoteRef/>
      </w:r>
      <w:r w:rsidRPr="0039335F">
        <w:t xml:space="preserve"> </w:t>
      </w:r>
      <w:r w:rsidRPr="0039335F">
        <w:rPr>
          <w:lang w:eastAsia="en-AU"/>
        </w:rPr>
        <w:t>Article 24 Education, clause 2 UNCRPD; Disability Standards in Education 2005 4.3.</w:t>
      </w:r>
    </w:p>
  </w:endnote>
  <w:endnote w:id="18">
    <w:p w14:paraId="6A3F270B" w14:textId="0D6C0466" w:rsidR="00730748" w:rsidRPr="0039335F" w:rsidRDefault="00730748" w:rsidP="004F42DD">
      <w:pPr>
        <w:pStyle w:val="EndnoteText"/>
      </w:pPr>
      <w:r w:rsidRPr="0039335F">
        <w:rPr>
          <w:rStyle w:val="EndnoteReference"/>
          <w:sz w:val="16"/>
          <w:szCs w:val="16"/>
        </w:rPr>
        <w:endnoteRef/>
      </w:r>
      <w:r w:rsidRPr="0039335F">
        <w:t xml:space="preserve"> </w:t>
      </w:r>
      <w:r w:rsidR="000C2A6D">
        <w:t>Australian Institute of Health and Welfare</w:t>
      </w:r>
      <w:r w:rsidR="006C6A82">
        <w:t>.</w:t>
      </w:r>
      <w:r w:rsidR="000C2A6D">
        <w:t xml:space="preserve"> (2024)</w:t>
      </w:r>
      <w:r w:rsidR="006C6A82">
        <w:t>.</w:t>
      </w:r>
      <w:r w:rsidR="000C2A6D">
        <w:t xml:space="preserve"> </w:t>
      </w:r>
      <w:r w:rsidR="00712204">
        <w:t xml:space="preserve">People with disability in Australia </w:t>
      </w:r>
      <w:r w:rsidR="00A9765D">
        <w:t xml:space="preserve">Educational Attainment (web report) </w:t>
      </w:r>
    </w:p>
  </w:endnote>
  <w:endnote w:id="19">
    <w:p w14:paraId="3CF26B66" w14:textId="03F16FDC" w:rsidR="007353DC" w:rsidRPr="00DE375F" w:rsidRDefault="007353DC" w:rsidP="004F42DD">
      <w:pPr>
        <w:pStyle w:val="EndnoteText"/>
      </w:pPr>
      <w:r w:rsidRPr="0039335F">
        <w:rPr>
          <w:rStyle w:val="EndnoteReference"/>
          <w:sz w:val="16"/>
          <w:szCs w:val="16"/>
        </w:rPr>
        <w:endnoteRef/>
      </w:r>
      <w:r w:rsidRPr="0039335F">
        <w:t xml:space="preserve"> United Nations. (2006). Convention on the Rights of Persons with Disabilities.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D041" w14:textId="77777777" w:rsidR="007C4085" w:rsidRPr="00347BC4" w:rsidRDefault="009D49C7" w:rsidP="00BD4A76">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801A73" w14:paraId="462D2CC8" w14:textId="77777777" w:rsidTr="74801A73">
      <w:trPr>
        <w:trHeight w:val="300"/>
      </w:trPr>
      <w:tc>
        <w:tcPr>
          <w:tcW w:w="3600" w:type="dxa"/>
        </w:tcPr>
        <w:p w14:paraId="7CB8D36A" w14:textId="7F78D68B" w:rsidR="74801A73" w:rsidRDefault="74801A73" w:rsidP="74801A73">
          <w:pPr>
            <w:pStyle w:val="Header"/>
            <w:ind w:left="-115"/>
          </w:pPr>
        </w:p>
      </w:tc>
      <w:tc>
        <w:tcPr>
          <w:tcW w:w="3600" w:type="dxa"/>
        </w:tcPr>
        <w:p w14:paraId="073FAB41" w14:textId="6DBDBF65" w:rsidR="74801A73" w:rsidRDefault="74801A73" w:rsidP="74801A73">
          <w:pPr>
            <w:pStyle w:val="Header"/>
            <w:jc w:val="center"/>
          </w:pPr>
        </w:p>
      </w:tc>
      <w:tc>
        <w:tcPr>
          <w:tcW w:w="3600" w:type="dxa"/>
        </w:tcPr>
        <w:p w14:paraId="7410D152" w14:textId="5EA0B335" w:rsidR="74801A73" w:rsidRDefault="74801A73" w:rsidP="74801A73">
          <w:pPr>
            <w:pStyle w:val="Header"/>
            <w:ind w:right="-115"/>
            <w:jc w:val="right"/>
          </w:pPr>
        </w:p>
      </w:tc>
    </w:tr>
  </w:tbl>
  <w:p w14:paraId="68D3778A" w14:textId="4C964EAF" w:rsidR="009E04B4" w:rsidRDefault="009E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E550" w14:textId="77777777" w:rsidR="003E20A9" w:rsidRDefault="003E20A9" w:rsidP="00E67E32">
      <w:pPr>
        <w:spacing w:before="0" w:line="240" w:lineRule="auto"/>
      </w:pPr>
      <w:r>
        <w:separator/>
      </w:r>
    </w:p>
  </w:footnote>
  <w:footnote w:type="continuationSeparator" w:id="0">
    <w:p w14:paraId="5416432E" w14:textId="77777777" w:rsidR="003E20A9" w:rsidRDefault="003E20A9" w:rsidP="00E67E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801A73" w14:paraId="790D58BC" w14:textId="77777777" w:rsidTr="74801A73">
      <w:trPr>
        <w:trHeight w:val="300"/>
      </w:trPr>
      <w:tc>
        <w:tcPr>
          <w:tcW w:w="3600" w:type="dxa"/>
        </w:tcPr>
        <w:p w14:paraId="436544D9" w14:textId="3B3A9403" w:rsidR="74801A73" w:rsidRDefault="74801A73" w:rsidP="74801A73">
          <w:pPr>
            <w:pStyle w:val="Header"/>
            <w:ind w:left="-115"/>
          </w:pPr>
        </w:p>
      </w:tc>
      <w:tc>
        <w:tcPr>
          <w:tcW w:w="3600" w:type="dxa"/>
        </w:tcPr>
        <w:p w14:paraId="159A32A5" w14:textId="5C889F6C" w:rsidR="74801A73" w:rsidRDefault="74801A73" w:rsidP="74801A73">
          <w:pPr>
            <w:pStyle w:val="Header"/>
            <w:jc w:val="center"/>
          </w:pPr>
        </w:p>
      </w:tc>
      <w:tc>
        <w:tcPr>
          <w:tcW w:w="3600" w:type="dxa"/>
        </w:tcPr>
        <w:p w14:paraId="22E62EB2" w14:textId="596560BB" w:rsidR="74801A73" w:rsidRDefault="74801A73" w:rsidP="74801A73">
          <w:pPr>
            <w:pStyle w:val="Header"/>
            <w:ind w:right="-115"/>
            <w:jc w:val="right"/>
          </w:pPr>
        </w:p>
      </w:tc>
    </w:tr>
  </w:tbl>
  <w:p w14:paraId="68CDF2B7" w14:textId="1A28FC31" w:rsidR="009E04B4" w:rsidRDefault="009E0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4801A73" w14:paraId="07D2FB56" w14:textId="77777777" w:rsidTr="74801A73">
      <w:trPr>
        <w:trHeight w:val="300"/>
      </w:trPr>
      <w:tc>
        <w:tcPr>
          <w:tcW w:w="3600" w:type="dxa"/>
        </w:tcPr>
        <w:p w14:paraId="15E4984A" w14:textId="6888D3F5" w:rsidR="74801A73" w:rsidRDefault="74801A73" w:rsidP="74801A73">
          <w:pPr>
            <w:pStyle w:val="Header"/>
            <w:ind w:left="-115"/>
          </w:pPr>
        </w:p>
      </w:tc>
      <w:tc>
        <w:tcPr>
          <w:tcW w:w="3600" w:type="dxa"/>
        </w:tcPr>
        <w:p w14:paraId="0C360C95" w14:textId="6466128E" w:rsidR="74801A73" w:rsidRDefault="74801A73" w:rsidP="74801A73">
          <w:pPr>
            <w:pStyle w:val="Header"/>
            <w:jc w:val="center"/>
          </w:pPr>
        </w:p>
      </w:tc>
      <w:tc>
        <w:tcPr>
          <w:tcW w:w="3600" w:type="dxa"/>
        </w:tcPr>
        <w:p w14:paraId="14A1C154" w14:textId="1A829DAF" w:rsidR="74801A73" w:rsidRDefault="74801A73" w:rsidP="74801A73">
          <w:pPr>
            <w:pStyle w:val="Header"/>
            <w:ind w:right="-115"/>
            <w:jc w:val="right"/>
          </w:pPr>
        </w:p>
      </w:tc>
    </w:tr>
  </w:tbl>
  <w:p w14:paraId="57790F3A" w14:textId="2DA91554" w:rsidR="009E04B4" w:rsidRDefault="009E0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603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DF2A45"/>
    <w:multiLevelType w:val="multilevel"/>
    <w:tmpl w:val="AE0C9FD2"/>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0651798"/>
    <w:multiLevelType w:val="multilevel"/>
    <w:tmpl w:val="BE403396"/>
    <w:lvl w:ilvl="0">
      <w:start w:val="3"/>
      <w:numFmt w:val="decimal"/>
      <w:lvlText w:val="%1"/>
      <w:lvlJc w:val="left"/>
      <w:pPr>
        <w:ind w:left="456" w:hanging="45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0A40E40"/>
    <w:multiLevelType w:val="multilevel"/>
    <w:tmpl w:val="08BA04F6"/>
    <w:lvl w:ilvl="0">
      <w:start w:val="3"/>
      <w:numFmt w:val="decimal"/>
      <w:lvlText w:val="%1"/>
      <w:lvlJc w:val="left"/>
      <w:pPr>
        <w:ind w:left="732" w:hanging="732"/>
      </w:pPr>
      <w:rPr>
        <w:rFonts w:hint="default"/>
      </w:rPr>
    </w:lvl>
    <w:lvl w:ilvl="1">
      <w:start w:val="1"/>
      <w:numFmt w:val="decimal"/>
      <w:lvlText w:val="%1.%2"/>
      <w:lvlJc w:val="left"/>
      <w:pPr>
        <w:ind w:left="912" w:hanging="732"/>
      </w:pPr>
      <w:rPr>
        <w:rFonts w:hint="default"/>
      </w:rPr>
    </w:lvl>
    <w:lvl w:ilvl="2">
      <w:start w:val="2"/>
      <w:numFmt w:val="decimal"/>
      <w:lvlText w:val="%1.%2.%3"/>
      <w:lvlJc w:val="left"/>
      <w:pPr>
        <w:ind w:left="1092" w:hanging="73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 w15:restartNumberingAfterBreak="0">
    <w:nsid w:val="158F3DD4"/>
    <w:multiLevelType w:val="multilevel"/>
    <w:tmpl w:val="F96430A0"/>
    <w:lvl w:ilvl="0">
      <w:start w:val="1"/>
      <w:numFmt w:val="decimal"/>
      <w:pStyle w:val="ChapterHeading"/>
      <w:lvlText w:val="%1."/>
      <w:lvlJc w:val="left"/>
      <w:pPr>
        <w:ind w:left="644" w:hanging="360"/>
      </w:pPr>
      <w:rPr>
        <w:rFonts w:ascii="Public Sans" w:hAnsi="Public Sans" w:hint="default"/>
        <w:b/>
        <w:i w:val="0"/>
        <w:color w:val="002664"/>
        <w:sz w:val="48"/>
      </w:rPr>
    </w:lvl>
    <w:lvl w:ilvl="1">
      <w:start w:val="1"/>
      <w:numFmt w:val="decimal"/>
      <w:pStyle w:val="NormalAutoChapter"/>
      <w:lvlText w:val="%1.%2"/>
      <w:lvlJc w:val="left"/>
      <w:pPr>
        <w:tabs>
          <w:tab w:val="num" w:pos="720"/>
        </w:tabs>
        <w:ind w:left="720" w:hanging="720"/>
      </w:pPr>
      <w:rPr>
        <w:rFonts w:ascii="Public Sans" w:hAnsi="Public Sans" w:hint="default"/>
        <w:b w:val="0"/>
        <w:i w:val="0"/>
        <w:strike w:val="0"/>
        <w:color w:val="auto"/>
        <w:sz w:val="18"/>
      </w:rPr>
    </w:lvl>
    <w:lvl w:ilvl="2">
      <w:start w:val="1"/>
      <w:numFmt w:val="upperLetter"/>
      <w:lvlRestart w:val="0"/>
      <w:suff w:val="nothing"/>
      <w:lvlText w:val="%3"/>
      <w:lvlJc w:val="right"/>
      <w:pPr>
        <w:ind w:left="720" w:hanging="720"/>
      </w:pPr>
      <w:rPr>
        <w:rFonts w:hint="default"/>
        <w:b w:val="0"/>
        <w:i w:val="0"/>
        <w:vanish/>
        <w:color w:val="FFFFFF"/>
        <w:sz w:val="22"/>
      </w:rPr>
    </w:lvl>
    <w:lvl w:ilvl="3">
      <w:start w:val="1"/>
      <w:numFmt w:val="decimal"/>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5" w15:restartNumberingAfterBreak="0">
    <w:nsid w:val="323146F9"/>
    <w:multiLevelType w:val="multilevel"/>
    <w:tmpl w:val="25688A22"/>
    <w:lvl w:ilvl="0">
      <w:start w:val="3"/>
      <w:numFmt w:val="decimal"/>
      <w:lvlText w:val="%1"/>
      <w:lvlJc w:val="left"/>
      <w:pPr>
        <w:ind w:left="456" w:hanging="45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8777234"/>
    <w:multiLevelType w:val="multilevel"/>
    <w:tmpl w:val="27BCD45C"/>
    <w:lvl w:ilvl="0">
      <w:start w:val="3"/>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3"/>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53FB7CBF"/>
    <w:multiLevelType w:val="multilevel"/>
    <w:tmpl w:val="EB7467AC"/>
    <w:lvl w:ilvl="0">
      <w:start w:val="3"/>
      <w:numFmt w:val="decimal"/>
      <w:lvlText w:val="%1"/>
      <w:lvlJc w:val="left"/>
      <w:pPr>
        <w:ind w:left="732" w:hanging="732"/>
      </w:pPr>
      <w:rPr>
        <w:rFonts w:hint="default"/>
      </w:rPr>
    </w:lvl>
    <w:lvl w:ilvl="1">
      <w:start w:val="3"/>
      <w:numFmt w:val="decimal"/>
      <w:lvlText w:val="%1.%2"/>
      <w:lvlJc w:val="left"/>
      <w:pPr>
        <w:ind w:left="732" w:hanging="732"/>
      </w:pPr>
      <w:rPr>
        <w:rFonts w:hint="default"/>
      </w:rPr>
    </w:lvl>
    <w:lvl w:ilvl="2">
      <w:start w:val="2"/>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3C68CE"/>
    <w:multiLevelType w:val="hybridMultilevel"/>
    <w:tmpl w:val="DAA68F5E"/>
    <w:lvl w:ilvl="0" w:tplc="53C2CD68">
      <w:start w:val="1"/>
      <w:numFmt w:val="bullet"/>
      <w:pStyle w:val="Normalbullet"/>
      <w:lvlText w:val=""/>
      <w:lvlJc w:val="left"/>
      <w:pPr>
        <w:tabs>
          <w:tab w:val="num" w:pos="964"/>
        </w:tabs>
        <w:ind w:left="964" w:hanging="244"/>
      </w:pPr>
      <w:rPr>
        <w:rFonts w:ascii="Symbol" w:hAnsi="Symbol" w:cs="Symbol" w:hint="default"/>
        <w:color w:val="4F4F4F"/>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C08E4"/>
    <w:multiLevelType w:val="multilevel"/>
    <w:tmpl w:val="8188B93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5F922FDB"/>
    <w:multiLevelType w:val="hybridMultilevel"/>
    <w:tmpl w:val="38265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2D14DF"/>
    <w:multiLevelType w:val="multilevel"/>
    <w:tmpl w:val="B5F03E20"/>
    <w:lvl w:ilvl="0">
      <w:start w:val="3"/>
      <w:numFmt w:val="decimal"/>
      <w:lvlText w:val="%1"/>
      <w:lvlJc w:val="left"/>
      <w:pPr>
        <w:ind w:left="456" w:hanging="456"/>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264" w:hanging="1440"/>
      </w:pPr>
      <w:rPr>
        <w:rFonts w:hint="default"/>
      </w:rPr>
    </w:lvl>
    <w:lvl w:ilvl="5">
      <w:start w:val="1"/>
      <w:numFmt w:val="decimal"/>
      <w:lvlText w:val="%1.%2.%3.%4.%5.%6"/>
      <w:lvlJc w:val="left"/>
      <w:pPr>
        <w:ind w:left="4080" w:hanging="1800"/>
      </w:pPr>
      <w:rPr>
        <w:rFonts w:hint="default"/>
      </w:rPr>
    </w:lvl>
    <w:lvl w:ilvl="6">
      <w:start w:val="1"/>
      <w:numFmt w:val="decimal"/>
      <w:lvlText w:val="%1.%2.%3.%4.%5.%6.%7"/>
      <w:lvlJc w:val="left"/>
      <w:pPr>
        <w:ind w:left="4536" w:hanging="1800"/>
      </w:pPr>
      <w:rPr>
        <w:rFonts w:hint="default"/>
      </w:rPr>
    </w:lvl>
    <w:lvl w:ilvl="7">
      <w:start w:val="1"/>
      <w:numFmt w:val="decimal"/>
      <w:lvlText w:val="%1.%2.%3.%4.%5.%6.%7.%8"/>
      <w:lvlJc w:val="left"/>
      <w:pPr>
        <w:ind w:left="5352" w:hanging="2160"/>
      </w:pPr>
      <w:rPr>
        <w:rFonts w:hint="default"/>
      </w:rPr>
    </w:lvl>
    <w:lvl w:ilvl="8">
      <w:start w:val="1"/>
      <w:numFmt w:val="decimal"/>
      <w:lvlText w:val="%1.%2.%3.%4.%5.%6.%7.%8.%9"/>
      <w:lvlJc w:val="left"/>
      <w:pPr>
        <w:ind w:left="6168" w:hanging="2520"/>
      </w:pPr>
      <w:rPr>
        <w:rFonts w:hint="default"/>
      </w:rPr>
    </w:lvl>
  </w:abstractNum>
  <w:abstractNum w:abstractNumId="13" w15:restartNumberingAfterBreak="0">
    <w:nsid w:val="67904A35"/>
    <w:multiLevelType w:val="hybridMultilevel"/>
    <w:tmpl w:val="9926BFB2"/>
    <w:lvl w:ilvl="0" w:tplc="8B445078">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767D44"/>
    <w:multiLevelType w:val="multilevel"/>
    <w:tmpl w:val="FF5AC388"/>
    <w:lvl w:ilvl="0">
      <w:start w:val="3"/>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4"/>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733167605">
    <w:abstractNumId w:val="8"/>
  </w:num>
  <w:num w:numId="2" w16cid:durableId="215045228">
    <w:abstractNumId w:val="9"/>
  </w:num>
  <w:num w:numId="3" w16cid:durableId="2083747310">
    <w:abstractNumId w:val="4"/>
  </w:num>
  <w:num w:numId="4" w16cid:durableId="1594392043">
    <w:abstractNumId w:val="3"/>
  </w:num>
  <w:num w:numId="5" w16cid:durableId="1544632301">
    <w:abstractNumId w:val="0"/>
  </w:num>
  <w:num w:numId="6" w16cid:durableId="1675304006">
    <w:abstractNumId w:val="12"/>
  </w:num>
  <w:num w:numId="7" w16cid:durableId="711003988">
    <w:abstractNumId w:val="6"/>
  </w:num>
  <w:num w:numId="8" w16cid:durableId="1631281204">
    <w:abstractNumId w:val="7"/>
  </w:num>
  <w:num w:numId="9" w16cid:durableId="1703166259">
    <w:abstractNumId w:val="1"/>
  </w:num>
  <w:num w:numId="10" w16cid:durableId="2007899740">
    <w:abstractNumId w:val="14"/>
  </w:num>
  <w:num w:numId="11" w16cid:durableId="2008970649">
    <w:abstractNumId w:val="10"/>
  </w:num>
  <w:num w:numId="12" w16cid:durableId="1813063393">
    <w:abstractNumId w:val="5"/>
  </w:num>
  <w:num w:numId="13" w16cid:durableId="785927934">
    <w:abstractNumId w:val="2"/>
  </w:num>
  <w:num w:numId="14" w16cid:durableId="1276131901">
    <w:abstractNumId w:val="13"/>
  </w:num>
  <w:num w:numId="15" w16cid:durableId="14078014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38B8"/>
    <w:rsid w:val="00004F44"/>
    <w:rsid w:val="00004FC5"/>
    <w:rsid w:val="00005C86"/>
    <w:rsid w:val="000071F5"/>
    <w:rsid w:val="0001003E"/>
    <w:rsid w:val="00011033"/>
    <w:rsid w:val="000147F8"/>
    <w:rsid w:val="00014B51"/>
    <w:rsid w:val="00016295"/>
    <w:rsid w:val="000228AF"/>
    <w:rsid w:val="00023D97"/>
    <w:rsid w:val="00025522"/>
    <w:rsid w:val="00027DD1"/>
    <w:rsid w:val="00027EBF"/>
    <w:rsid w:val="00032CAE"/>
    <w:rsid w:val="00032D0A"/>
    <w:rsid w:val="00034A65"/>
    <w:rsid w:val="000402C2"/>
    <w:rsid w:val="00040B1F"/>
    <w:rsid w:val="00040DEA"/>
    <w:rsid w:val="00041591"/>
    <w:rsid w:val="000420D9"/>
    <w:rsid w:val="00045AF9"/>
    <w:rsid w:val="000470B1"/>
    <w:rsid w:val="00047E50"/>
    <w:rsid w:val="00050E01"/>
    <w:rsid w:val="00052C8E"/>
    <w:rsid w:val="00055750"/>
    <w:rsid w:val="00060F6E"/>
    <w:rsid w:val="00062AC2"/>
    <w:rsid w:val="00063521"/>
    <w:rsid w:val="0006390C"/>
    <w:rsid w:val="00065AFA"/>
    <w:rsid w:val="00066D22"/>
    <w:rsid w:val="00067456"/>
    <w:rsid w:val="00070851"/>
    <w:rsid w:val="00071102"/>
    <w:rsid w:val="00073181"/>
    <w:rsid w:val="00075ADE"/>
    <w:rsid w:val="00077629"/>
    <w:rsid w:val="0007791D"/>
    <w:rsid w:val="00080B05"/>
    <w:rsid w:val="00080E08"/>
    <w:rsid w:val="00081EAA"/>
    <w:rsid w:val="0008348C"/>
    <w:rsid w:val="00086B54"/>
    <w:rsid w:val="00091031"/>
    <w:rsid w:val="0009161C"/>
    <w:rsid w:val="00091675"/>
    <w:rsid w:val="000927A7"/>
    <w:rsid w:val="00096988"/>
    <w:rsid w:val="000A1E8E"/>
    <w:rsid w:val="000A26BF"/>
    <w:rsid w:val="000A40A4"/>
    <w:rsid w:val="000A4509"/>
    <w:rsid w:val="000B1116"/>
    <w:rsid w:val="000B116F"/>
    <w:rsid w:val="000B1ED6"/>
    <w:rsid w:val="000B2BA0"/>
    <w:rsid w:val="000B2EEF"/>
    <w:rsid w:val="000B2F94"/>
    <w:rsid w:val="000B36C3"/>
    <w:rsid w:val="000B3D5A"/>
    <w:rsid w:val="000B4B16"/>
    <w:rsid w:val="000B5070"/>
    <w:rsid w:val="000B6BA9"/>
    <w:rsid w:val="000C0BF4"/>
    <w:rsid w:val="000C110D"/>
    <w:rsid w:val="000C1169"/>
    <w:rsid w:val="000C1FB9"/>
    <w:rsid w:val="000C2A6D"/>
    <w:rsid w:val="000C53A0"/>
    <w:rsid w:val="000C6F0A"/>
    <w:rsid w:val="000C757C"/>
    <w:rsid w:val="000D1765"/>
    <w:rsid w:val="000D2641"/>
    <w:rsid w:val="000D2FFE"/>
    <w:rsid w:val="000D380F"/>
    <w:rsid w:val="000D539F"/>
    <w:rsid w:val="000D57E3"/>
    <w:rsid w:val="000D6C38"/>
    <w:rsid w:val="000D6C64"/>
    <w:rsid w:val="000D705B"/>
    <w:rsid w:val="000D73F8"/>
    <w:rsid w:val="000E0E12"/>
    <w:rsid w:val="000E20AC"/>
    <w:rsid w:val="000E32E9"/>
    <w:rsid w:val="000E3ECE"/>
    <w:rsid w:val="000E4682"/>
    <w:rsid w:val="000E49FF"/>
    <w:rsid w:val="000E57A6"/>
    <w:rsid w:val="000E70C5"/>
    <w:rsid w:val="000E7130"/>
    <w:rsid w:val="000E725D"/>
    <w:rsid w:val="000F03E8"/>
    <w:rsid w:val="000F51EC"/>
    <w:rsid w:val="000F607D"/>
    <w:rsid w:val="000F7253"/>
    <w:rsid w:val="000F7AA1"/>
    <w:rsid w:val="00100AFC"/>
    <w:rsid w:val="00103A7B"/>
    <w:rsid w:val="001042BA"/>
    <w:rsid w:val="00104539"/>
    <w:rsid w:val="0010454B"/>
    <w:rsid w:val="00105764"/>
    <w:rsid w:val="00107D83"/>
    <w:rsid w:val="00112198"/>
    <w:rsid w:val="001125C0"/>
    <w:rsid w:val="001148AD"/>
    <w:rsid w:val="00123D23"/>
    <w:rsid w:val="00123FD1"/>
    <w:rsid w:val="0012453C"/>
    <w:rsid w:val="00125F8A"/>
    <w:rsid w:val="00126398"/>
    <w:rsid w:val="0012643B"/>
    <w:rsid w:val="00130AC4"/>
    <w:rsid w:val="001336C4"/>
    <w:rsid w:val="00133ADD"/>
    <w:rsid w:val="0013495D"/>
    <w:rsid w:val="001366A6"/>
    <w:rsid w:val="0014145D"/>
    <w:rsid w:val="00142BB5"/>
    <w:rsid w:val="001432EF"/>
    <w:rsid w:val="00143A50"/>
    <w:rsid w:val="00143B2E"/>
    <w:rsid w:val="0014614C"/>
    <w:rsid w:val="001507D4"/>
    <w:rsid w:val="0015176D"/>
    <w:rsid w:val="00151D04"/>
    <w:rsid w:val="00152E2A"/>
    <w:rsid w:val="001545E8"/>
    <w:rsid w:val="00157FCC"/>
    <w:rsid w:val="00160330"/>
    <w:rsid w:val="00160EB0"/>
    <w:rsid w:val="00163425"/>
    <w:rsid w:val="0016390F"/>
    <w:rsid w:val="00163E22"/>
    <w:rsid w:val="00164671"/>
    <w:rsid w:val="00171228"/>
    <w:rsid w:val="00173059"/>
    <w:rsid w:val="00173461"/>
    <w:rsid w:val="00176C98"/>
    <w:rsid w:val="0018097B"/>
    <w:rsid w:val="0018104C"/>
    <w:rsid w:val="001815FE"/>
    <w:rsid w:val="001817C0"/>
    <w:rsid w:val="00182744"/>
    <w:rsid w:val="00184460"/>
    <w:rsid w:val="001867AC"/>
    <w:rsid w:val="00190824"/>
    <w:rsid w:val="00190CD3"/>
    <w:rsid w:val="00194BDC"/>
    <w:rsid w:val="001A0AC0"/>
    <w:rsid w:val="001A175D"/>
    <w:rsid w:val="001A3889"/>
    <w:rsid w:val="001B025D"/>
    <w:rsid w:val="001B1471"/>
    <w:rsid w:val="001B3C43"/>
    <w:rsid w:val="001B5952"/>
    <w:rsid w:val="001C0B82"/>
    <w:rsid w:val="001C1585"/>
    <w:rsid w:val="001C1E7B"/>
    <w:rsid w:val="001C2A71"/>
    <w:rsid w:val="001C44AA"/>
    <w:rsid w:val="001C750C"/>
    <w:rsid w:val="001D0F47"/>
    <w:rsid w:val="001D2F2A"/>
    <w:rsid w:val="001D32B0"/>
    <w:rsid w:val="001D3436"/>
    <w:rsid w:val="001D3E19"/>
    <w:rsid w:val="001D40F1"/>
    <w:rsid w:val="001D4F4A"/>
    <w:rsid w:val="001D6871"/>
    <w:rsid w:val="001D7311"/>
    <w:rsid w:val="001E0215"/>
    <w:rsid w:val="001E0757"/>
    <w:rsid w:val="001E07F5"/>
    <w:rsid w:val="001E0B46"/>
    <w:rsid w:val="001E1403"/>
    <w:rsid w:val="001E2A71"/>
    <w:rsid w:val="001E2D12"/>
    <w:rsid w:val="001E48D1"/>
    <w:rsid w:val="001E5B4A"/>
    <w:rsid w:val="001E68DA"/>
    <w:rsid w:val="001E6BC5"/>
    <w:rsid w:val="001E7730"/>
    <w:rsid w:val="001F2EB1"/>
    <w:rsid w:val="001F3515"/>
    <w:rsid w:val="001F63A2"/>
    <w:rsid w:val="00202670"/>
    <w:rsid w:val="0020314D"/>
    <w:rsid w:val="00203806"/>
    <w:rsid w:val="0020728A"/>
    <w:rsid w:val="002121BE"/>
    <w:rsid w:val="00213185"/>
    <w:rsid w:val="00213BB2"/>
    <w:rsid w:val="00213D45"/>
    <w:rsid w:val="0021497D"/>
    <w:rsid w:val="0021567E"/>
    <w:rsid w:val="00224122"/>
    <w:rsid w:val="00224E2B"/>
    <w:rsid w:val="00227140"/>
    <w:rsid w:val="002278E0"/>
    <w:rsid w:val="0022792C"/>
    <w:rsid w:val="00231858"/>
    <w:rsid w:val="00232FF9"/>
    <w:rsid w:val="00233072"/>
    <w:rsid w:val="00234BC8"/>
    <w:rsid w:val="0023556E"/>
    <w:rsid w:val="00236BB4"/>
    <w:rsid w:val="00237BEB"/>
    <w:rsid w:val="00237C0A"/>
    <w:rsid w:val="00242C83"/>
    <w:rsid w:val="00242F8B"/>
    <w:rsid w:val="0024465A"/>
    <w:rsid w:val="002464CA"/>
    <w:rsid w:val="00247D11"/>
    <w:rsid w:val="002505F8"/>
    <w:rsid w:val="00255A7C"/>
    <w:rsid w:val="00262319"/>
    <w:rsid w:val="00262B71"/>
    <w:rsid w:val="00263F0D"/>
    <w:rsid w:val="00264C3F"/>
    <w:rsid w:val="002655D5"/>
    <w:rsid w:val="00265FE7"/>
    <w:rsid w:val="00267F05"/>
    <w:rsid w:val="0027119C"/>
    <w:rsid w:val="00272DDC"/>
    <w:rsid w:val="00275414"/>
    <w:rsid w:val="00276B29"/>
    <w:rsid w:val="0028114A"/>
    <w:rsid w:val="0028115A"/>
    <w:rsid w:val="00282F59"/>
    <w:rsid w:val="00284953"/>
    <w:rsid w:val="0028650C"/>
    <w:rsid w:val="002875DF"/>
    <w:rsid w:val="0028793E"/>
    <w:rsid w:val="00290BFF"/>
    <w:rsid w:val="00290D86"/>
    <w:rsid w:val="002929DD"/>
    <w:rsid w:val="00293976"/>
    <w:rsid w:val="00293991"/>
    <w:rsid w:val="00295F12"/>
    <w:rsid w:val="00296A88"/>
    <w:rsid w:val="00296D62"/>
    <w:rsid w:val="00296E44"/>
    <w:rsid w:val="002A1FA4"/>
    <w:rsid w:val="002A3CAF"/>
    <w:rsid w:val="002A5F54"/>
    <w:rsid w:val="002A6685"/>
    <w:rsid w:val="002A73F8"/>
    <w:rsid w:val="002B1726"/>
    <w:rsid w:val="002B2832"/>
    <w:rsid w:val="002B4156"/>
    <w:rsid w:val="002B4198"/>
    <w:rsid w:val="002B4CBC"/>
    <w:rsid w:val="002B4D92"/>
    <w:rsid w:val="002B77B1"/>
    <w:rsid w:val="002C0CBE"/>
    <w:rsid w:val="002C1423"/>
    <w:rsid w:val="002C15AF"/>
    <w:rsid w:val="002C20F3"/>
    <w:rsid w:val="002C3139"/>
    <w:rsid w:val="002C46F4"/>
    <w:rsid w:val="002C5710"/>
    <w:rsid w:val="002C5C18"/>
    <w:rsid w:val="002C7B6F"/>
    <w:rsid w:val="002D0E85"/>
    <w:rsid w:val="002D200E"/>
    <w:rsid w:val="002D4653"/>
    <w:rsid w:val="002D6A45"/>
    <w:rsid w:val="002D6FA4"/>
    <w:rsid w:val="002D7FF6"/>
    <w:rsid w:val="002E3FD6"/>
    <w:rsid w:val="002E4119"/>
    <w:rsid w:val="002E5703"/>
    <w:rsid w:val="002E6A3A"/>
    <w:rsid w:val="002E6BB1"/>
    <w:rsid w:val="002E7A63"/>
    <w:rsid w:val="002F47BA"/>
    <w:rsid w:val="002F6CE0"/>
    <w:rsid w:val="002F6D0D"/>
    <w:rsid w:val="003074A7"/>
    <w:rsid w:val="003102A7"/>
    <w:rsid w:val="00310A9A"/>
    <w:rsid w:val="00311EAE"/>
    <w:rsid w:val="0031245C"/>
    <w:rsid w:val="00312FFF"/>
    <w:rsid w:val="0031471B"/>
    <w:rsid w:val="003147C9"/>
    <w:rsid w:val="003155B9"/>
    <w:rsid w:val="00317188"/>
    <w:rsid w:val="00321AE6"/>
    <w:rsid w:val="00324782"/>
    <w:rsid w:val="003270DC"/>
    <w:rsid w:val="00327846"/>
    <w:rsid w:val="00333620"/>
    <w:rsid w:val="00334ED4"/>
    <w:rsid w:val="00334FA4"/>
    <w:rsid w:val="00335BCB"/>
    <w:rsid w:val="00341B22"/>
    <w:rsid w:val="003436BC"/>
    <w:rsid w:val="00344754"/>
    <w:rsid w:val="00344981"/>
    <w:rsid w:val="00346449"/>
    <w:rsid w:val="00346734"/>
    <w:rsid w:val="00346799"/>
    <w:rsid w:val="00347E90"/>
    <w:rsid w:val="00350D6E"/>
    <w:rsid w:val="00352EE1"/>
    <w:rsid w:val="00353F1E"/>
    <w:rsid w:val="00355E6D"/>
    <w:rsid w:val="0035690E"/>
    <w:rsid w:val="00357404"/>
    <w:rsid w:val="00361239"/>
    <w:rsid w:val="003669B2"/>
    <w:rsid w:val="00366A7B"/>
    <w:rsid w:val="00367FC5"/>
    <w:rsid w:val="0037125C"/>
    <w:rsid w:val="003734FC"/>
    <w:rsid w:val="00375819"/>
    <w:rsid w:val="00377A7D"/>
    <w:rsid w:val="00377E5F"/>
    <w:rsid w:val="003824A3"/>
    <w:rsid w:val="0038273F"/>
    <w:rsid w:val="00382E26"/>
    <w:rsid w:val="0038390D"/>
    <w:rsid w:val="00392B8A"/>
    <w:rsid w:val="0039335F"/>
    <w:rsid w:val="00393633"/>
    <w:rsid w:val="0039413D"/>
    <w:rsid w:val="0039715A"/>
    <w:rsid w:val="003A433F"/>
    <w:rsid w:val="003A7414"/>
    <w:rsid w:val="003B0977"/>
    <w:rsid w:val="003C0718"/>
    <w:rsid w:val="003C57F2"/>
    <w:rsid w:val="003D0DD1"/>
    <w:rsid w:val="003D0EDE"/>
    <w:rsid w:val="003D48F6"/>
    <w:rsid w:val="003D4CD9"/>
    <w:rsid w:val="003E0699"/>
    <w:rsid w:val="003E0AAC"/>
    <w:rsid w:val="003E1C86"/>
    <w:rsid w:val="003E1DFD"/>
    <w:rsid w:val="003E20A9"/>
    <w:rsid w:val="003E2118"/>
    <w:rsid w:val="003E29D1"/>
    <w:rsid w:val="003E60EC"/>
    <w:rsid w:val="003F0E9A"/>
    <w:rsid w:val="003F6693"/>
    <w:rsid w:val="003F7919"/>
    <w:rsid w:val="003F7B4D"/>
    <w:rsid w:val="004027C5"/>
    <w:rsid w:val="00404361"/>
    <w:rsid w:val="00404F8B"/>
    <w:rsid w:val="00405454"/>
    <w:rsid w:val="0040799B"/>
    <w:rsid w:val="00410570"/>
    <w:rsid w:val="00410FFB"/>
    <w:rsid w:val="004111F3"/>
    <w:rsid w:val="00413108"/>
    <w:rsid w:val="00415373"/>
    <w:rsid w:val="0041611C"/>
    <w:rsid w:val="00416938"/>
    <w:rsid w:val="00416D87"/>
    <w:rsid w:val="00420146"/>
    <w:rsid w:val="004206B6"/>
    <w:rsid w:val="0042138A"/>
    <w:rsid w:val="00424625"/>
    <w:rsid w:val="00425FC9"/>
    <w:rsid w:val="004316B3"/>
    <w:rsid w:val="004317E0"/>
    <w:rsid w:val="00433878"/>
    <w:rsid w:val="00435BFD"/>
    <w:rsid w:val="00440334"/>
    <w:rsid w:val="00444274"/>
    <w:rsid w:val="0044523B"/>
    <w:rsid w:val="00446C43"/>
    <w:rsid w:val="00446DD0"/>
    <w:rsid w:val="00446F46"/>
    <w:rsid w:val="004500A7"/>
    <w:rsid w:val="004513D3"/>
    <w:rsid w:val="00452F58"/>
    <w:rsid w:val="004535B3"/>
    <w:rsid w:val="0045378D"/>
    <w:rsid w:val="00453E23"/>
    <w:rsid w:val="004545A5"/>
    <w:rsid w:val="00456A60"/>
    <w:rsid w:val="00460F07"/>
    <w:rsid w:val="00461AB3"/>
    <w:rsid w:val="00462122"/>
    <w:rsid w:val="00462BAF"/>
    <w:rsid w:val="004631EE"/>
    <w:rsid w:val="00467279"/>
    <w:rsid w:val="00467BC5"/>
    <w:rsid w:val="004736CA"/>
    <w:rsid w:val="004760F8"/>
    <w:rsid w:val="00476145"/>
    <w:rsid w:val="00476934"/>
    <w:rsid w:val="004772E2"/>
    <w:rsid w:val="004777C2"/>
    <w:rsid w:val="004801DC"/>
    <w:rsid w:val="00481078"/>
    <w:rsid w:val="0048137D"/>
    <w:rsid w:val="004815D7"/>
    <w:rsid w:val="00484368"/>
    <w:rsid w:val="004923BB"/>
    <w:rsid w:val="00492AA1"/>
    <w:rsid w:val="004933F0"/>
    <w:rsid w:val="0049542C"/>
    <w:rsid w:val="00496B7D"/>
    <w:rsid w:val="00497960"/>
    <w:rsid w:val="004A0118"/>
    <w:rsid w:val="004A4C36"/>
    <w:rsid w:val="004A7899"/>
    <w:rsid w:val="004B088B"/>
    <w:rsid w:val="004B42B9"/>
    <w:rsid w:val="004B7B6C"/>
    <w:rsid w:val="004C089E"/>
    <w:rsid w:val="004C1CCD"/>
    <w:rsid w:val="004C768C"/>
    <w:rsid w:val="004D180C"/>
    <w:rsid w:val="004D2317"/>
    <w:rsid w:val="004D4BB4"/>
    <w:rsid w:val="004D6C7E"/>
    <w:rsid w:val="004E1F69"/>
    <w:rsid w:val="004E2A2A"/>
    <w:rsid w:val="004E394B"/>
    <w:rsid w:val="004E4869"/>
    <w:rsid w:val="004E6346"/>
    <w:rsid w:val="004E7358"/>
    <w:rsid w:val="004F274F"/>
    <w:rsid w:val="004F3C5B"/>
    <w:rsid w:val="004F42DD"/>
    <w:rsid w:val="004F5892"/>
    <w:rsid w:val="004F5E65"/>
    <w:rsid w:val="0050163B"/>
    <w:rsid w:val="00503600"/>
    <w:rsid w:val="00506762"/>
    <w:rsid w:val="005071D0"/>
    <w:rsid w:val="00511070"/>
    <w:rsid w:val="00511D11"/>
    <w:rsid w:val="00512DC9"/>
    <w:rsid w:val="00512FB7"/>
    <w:rsid w:val="0051317F"/>
    <w:rsid w:val="00514122"/>
    <w:rsid w:val="005144D3"/>
    <w:rsid w:val="005154DF"/>
    <w:rsid w:val="0051594E"/>
    <w:rsid w:val="005165FF"/>
    <w:rsid w:val="00517342"/>
    <w:rsid w:val="0051749F"/>
    <w:rsid w:val="00517618"/>
    <w:rsid w:val="005177C2"/>
    <w:rsid w:val="00517E58"/>
    <w:rsid w:val="005201ED"/>
    <w:rsid w:val="00520674"/>
    <w:rsid w:val="00520D20"/>
    <w:rsid w:val="005213B8"/>
    <w:rsid w:val="00521462"/>
    <w:rsid w:val="005216C3"/>
    <w:rsid w:val="00522820"/>
    <w:rsid w:val="005241E5"/>
    <w:rsid w:val="005242DA"/>
    <w:rsid w:val="00527F9F"/>
    <w:rsid w:val="0053050F"/>
    <w:rsid w:val="005307CE"/>
    <w:rsid w:val="00532978"/>
    <w:rsid w:val="0053320C"/>
    <w:rsid w:val="005355BB"/>
    <w:rsid w:val="00536819"/>
    <w:rsid w:val="005404BD"/>
    <w:rsid w:val="0054096F"/>
    <w:rsid w:val="00541835"/>
    <w:rsid w:val="00541CCD"/>
    <w:rsid w:val="005430C8"/>
    <w:rsid w:val="0054552A"/>
    <w:rsid w:val="0054779A"/>
    <w:rsid w:val="00547B49"/>
    <w:rsid w:val="0055099B"/>
    <w:rsid w:val="00550C9B"/>
    <w:rsid w:val="0055292F"/>
    <w:rsid w:val="005548B2"/>
    <w:rsid w:val="00555F1C"/>
    <w:rsid w:val="00557504"/>
    <w:rsid w:val="00561F2E"/>
    <w:rsid w:val="00562A0E"/>
    <w:rsid w:val="00563203"/>
    <w:rsid w:val="0056603B"/>
    <w:rsid w:val="00567FCB"/>
    <w:rsid w:val="0057027B"/>
    <w:rsid w:val="00571F0F"/>
    <w:rsid w:val="00572BF4"/>
    <w:rsid w:val="00572E0F"/>
    <w:rsid w:val="00574A2D"/>
    <w:rsid w:val="00574F38"/>
    <w:rsid w:val="00575074"/>
    <w:rsid w:val="00575E3D"/>
    <w:rsid w:val="005773ED"/>
    <w:rsid w:val="005800F2"/>
    <w:rsid w:val="005835C9"/>
    <w:rsid w:val="00586146"/>
    <w:rsid w:val="005902A9"/>
    <w:rsid w:val="00592B2E"/>
    <w:rsid w:val="005937E0"/>
    <w:rsid w:val="00593ABB"/>
    <w:rsid w:val="005966CE"/>
    <w:rsid w:val="005A038C"/>
    <w:rsid w:val="005A0C02"/>
    <w:rsid w:val="005A1C03"/>
    <w:rsid w:val="005A4EA3"/>
    <w:rsid w:val="005A69F6"/>
    <w:rsid w:val="005A7687"/>
    <w:rsid w:val="005A781F"/>
    <w:rsid w:val="005B0DD6"/>
    <w:rsid w:val="005B1266"/>
    <w:rsid w:val="005B2F66"/>
    <w:rsid w:val="005B31A6"/>
    <w:rsid w:val="005B5087"/>
    <w:rsid w:val="005B5B57"/>
    <w:rsid w:val="005B65DB"/>
    <w:rsid w:val="005B6AB8"/>
    <w:rsid w:val="005B7EC8"/>
    <w:rsid w:val="005C04E5"/>
    <w:rsid w:val="005C15F8"/>
    <w:rsid w:val="005C1A47"/>
    <w:rsid w:val="005C32EF"/>
    <w:rsid w:val="005D1213"/>
    <w:rsid w:val="005D1338"/>
    <w:rsid w:val="005D49A4"/>
    <w:rsid w:val="005D5907"/>
    <w:rsid w:val="005D73B0"/>
    <w:rsid w:val="005D7594"/>
    <w:rsid w:val="005E0931"/>
    <w:rsid w:val="005E0B43"/>
    <w:rsid w:val="005E241C"/>
    <w:rsid w:val="005E29C4"/>
    <w:rsid w:val="005E3C28"/>
    <w:rsid w:val="005E627B"/>
    <w:rsid w:val="005E688D"/>
    <w:rsid w:val="005E73CA"/>
    <w:rsid w:val="005E75D5"/>
    <w:rsid w:val="005E76B5"/>
    <w:rsid w:val="005F0D68"/>
    <w:rsid w:val="005F2812"/>
    <w:rsid w:val="005F2A3B"/>
    <w:rsid w:val="005F428A"/>
    <w:rsid w:val="005F7393"/>
    <w:rsid w:val="005F756B"/>
    <w:rsid w:val="00600113"/>
    <w:rsid w:val="006017DD"/>
    <w:rsid w:val="006034F3"/>
    <w:rsid w:val="006044BD"/>
    <w:rsid w:val="00607F42"/>
    <w:rsid w:val="00610EDA"/>
    <w:rsid w:val="00611F88"/>
    <w:rsid w:val="006130EA"/>
    <w:rsid w:val="00614A64"/>
    <w:rsid w:val="00614B80"/>
    <w:rsid w:val="00615387"/>
    <w:rsid w:val="0061587A"/>
    <w:rsid w:val="00622E2A"/>
    <w:rsid w:val="00622E94"/>
    <w:rsid w:val="006237F0"/>
    <w:rsid w:val="00624A28"/>
    <w:rsid w:val="006257B4"/>
    <w:rsid w:val="0062656C"/>
    <w:rsid w:val="006266B8"/>
    <w:rsid w:val="006300C5"/>
    <w:rsid w:val="00630351"/>
    <w:rsid w:val="006323F6"/>
    <w:rsid w:val="006338D3"/>
    <w:rsid w:val="006346F9"/>
    <w:rsid w:val="00641B8C"/>
    <w:rsid w:val="006440EA"/>
    <w:rsid w:val="00645562"/>
    <w:rsid w:val="006471F2"/>
    <w:rsid w:val="00652F29"/>
    <w:rsid w:val="00654219"/>
    <w:rsid w:val="0065459A"/>
    <w:rsid w:val="0065599B"/>
    <w:rsid w:val="0066239B"/>
    <w:rsid w:val="00662882"/>
    <w:rsid w:val="00664B75"/>
    <w:rsid w:val="0066761D"/>
    <w:rsid w:val="00670203"/>
    <w:rsid w:val="006723BA"/>
    <w:rsid w:val="0067273D"/>
    <w:rsid w:val="00673F4D"/>
    <w:rsid w:val="006748B2"/>
    <w:rsid w:val="00675968"/>
    <w:rsid w:val="006761D1"/>
    <w:rsid w:val="00677012"/>
    <w:rsid w:val="006774A8"/>
    <w:rsid w:val="00677B7A"/>
    <w:rsid w:val="00682FB5"/>
    <w:rsid w:val="00683C73"/>
    <w:rsid w:val="006841D0"/>
    <w:rsid w:val="00686D81"/>
    <w:rsid w:val="00686D9F"/>
    <w:rsid w:val="006871AB"/>
    <w:rsid w:val="00690100"/>
    <w:rsid w:val="00690D68"/>
    <w:rsid w:val="00692DA0"/>
    <w:rsid w:val="00693A1A"/>
    <w:rsid w:val="006944F3"/>
    <w:rsid w:val="00695BA5"/>
    <w:rsid w:val="00696EB6"/>
    <w:rsid w:val="006A0D79"/>
    <w:rsid w:val="006A208F"/>
    <w:rsid w:val="006A2A7C"/>
    <w:rsid w:val="006A3292"/>
    <w:rsid w:val="006A38FA"/>
    <w:rsid w:val="006A4CA1"/>
    <w:rsid w:val="006A4DAA"/>
    <w:rsid w:val="006A58C5"/>
    <w:rsid w:val="006A68F2"/>
    <w:rsid w:val="006A692F"/>
    <w:rsid w:val="006A7648"/>
    <w:rsid w:val="006A7C53"/>
    <w:rsid w:val="006B0057"/>
    <w:rsid w:val="006B0E83"/>
    <w:rsid w:val="006B5966"/>
    <w:rsid w:val="006C0C01"/>
    <w:rsid w:val="006C0D16"/>
    <w:rsid w:val="006C2570"/>
    <w:rsid w:val="006C2E49"/>
    <w:rsid w:val="006C3375"/>
    <w:rsid w:val="006C35B5"/>
    <w:rsid w:val="006C4171"/>
    <w:rsid w:val="006C419C"/>
    <w:rsid w:val="006C6A82"/>
    <w:rsid w:val="006C730C"/>
    <w:rsid w:val="006D0365"/>
    <w:rsid w:val="006D0369"/>
    <w:rsid w:val="006D30E8"/>
    <w:rsid w:val="006D47E1"/>
    <w:rsid w:val="006D7572"/>
    <w:rsid w:val="006D7B6F"/>
    <w:rsid w:val="006E0B21"/>
    <w:rsid w:val="006E1EB9"/>
    <w:rsid w:val="006E2026"/>
    <w:rsid w:val="006E44D1"/>
    <w:rsid w:val="006E6DF0"/>
    <w:rsid w:val="006E7476"/>
    <w:rsid w:val="006F40F1"/>
    <w:rsid w:val="006F45D8"/>
    <w:rsid w:val="006F6D2A"/>
    <w:rsid w:val="00703C68"/>
    <w:rsid w:val="00704D82"/>
    <w:rsid w:val="0070597F"/>
    <w:rsid w:val="00705BB7"/>
    <w:rsid w:val="00705D17"/>
    <w:rsid w:val="00707C4D"/>
    <w:rsid w:val="00707DCA"/>
    <w:rsid w:val="007107A8"/>
    <w:rsid w:val="00712204"/>
    <w:rsid w:val="007123E4"/>
    <w:rsid w:val="00713016"/>
    <w:rsid w:val="007137AB"/>
    <w:rsid w:val="00714C55"/>
    <w:rsid w:val="00715669"/>
    <w:rsid w:val="007218B0"/>
    <w:rsid w:val="00722506"/>
    <w:rsid w:val="0072349C"/>
    <w:rsid w:val="00723E6C"/>
    <w:rsid w:val="00724805"/>
    <w:rsid w:val="0072568F"/>
    <w:rsid w:val="007264C6"/>
    <w:rsid w:val="00727935"/>
    <w:rsid w:val="00727959"/>
    <w:rsid w:val="00730748"/>
    <w:rsid w:val="007310F9"/>
    <w:rsid w:val="00732436"/>
    <w:rsid w:val="00732C7E"/>
    <w:rsid w:val="00734D1E"/>
    <w:rsid w:val="007353DC"/>
    <w:rsid w:val="00736F41"/>
    <w:rsid w:val="007374DF"/>
    <w:rsid w:val="00741805"/>
    <w:rsid w:val="00741CB3"/>
    <w:rsid w:val="0074523E"/>
    <w:rsid w:val="007457F9"/>
    <w:rsid w:val="00746090"/>
    <w:rsid w:val="0074710F"/>
    <w:rsid w:val="00750498"/>
    <w:rsid w:val="0075205B"/>
    <w:rsid w:val="007532DD"/>
    <w:rsid w:val="00754B6B"/>
    <w:rsid w:val="00754B80"/>
    <w:rsid w:val="00755BB2"/>
    <w:rsid w:val="00760036"/>
    <w:rsid w:val="00761A58"/>
    <w:rsid w:val="00763BE4"/>
    <w:rsid w:val="00765F17"/>
    <w:rsid w:val="00770F4C"/>
    <w:rsid w:val="00771FD2"/>
    <w:rsid w:val="00772909"/>
    <w:rsid w:val="00773BA1"/>
    <w:rsid w:val="007772BC"/>
    <w:rsid w:val="00780F0F"/>
    <w:rsid w:val="0078121B"/>
    <w:rsid w:val="007814F2"/>
    <w:rsid w:val="007817E2"/>
    <w:rsid w:val="00781843"/>
    <w:rsid w:val="00781FEC"/>
    <w:rsid w:val="007821EC"/>
    <w:rsid w:val="00782235"/>
    <w:rsid w:val="00782942"/>
    <w:rsid w:val="00782AC9"/>
    <w:rsid w:val="007834F9"/>
    <w:rsid w:val="007854FC"/>
    <w:rsid w:val="007900E5"/>
    <w:rsid w:val="007900ED"/>
    <w:rsid w:val="00790A57"/>
    <w:rsid w:val="007919A3"/>
    <w:rsid w:val="00791F86"/>
    <w:rsid w:val="007945FF"/>
    <w:rsid w:val="00795D98"/>
    <w:rsid w:val="007A26D4"/>
    <w:rsid w:val="007A4B78"/>
    <w:rsid w:val="007A4F06"/>
    <w:rsid w:val="007A54EE"/>
    <w:rsid w:val="007B0620"/>
    <w:rsid w:val="007B0BBC"/>
    <w:rsid w:val="007B1C72"/>
    <w:rsid w:val="007B1F74"/>
    <w:rsid w:val="007B23F2"/>
    <w:rsid w:val="007B2DA0"/>
    <w:rsid w:val="007B5A7B"/>
    <w:rsid w:val="007B7CF9"/>
    <w:rsid w:val="007C05B8"/>
    <w:rsid w:val="007C0AD2"/>
    <w:rsid w:val="007C13A0"/>
    <w:rsid w:val="007C1DCF"/>
    <w:rsid w:val="007C1FEC"/>
    <w:rsid w:val="007C3770"/>
    <w:rsid w:val="007C3934"/>
    <w:rsid w:val="007C4085"/>
    <w:rsid w:val="007C4E55"/>
    <w:rsid w:val="007C5C5B"/>
    <w:rsid w:val="007C6848"/>
    <w:rsid w:val="007C787A"/>
    <w:rsid w:val="007D3641"/>
    <w:rsid w:val="007D6AC5"/>
    <w:rsid w:val="007D6C81"/>
    <w:rsid w:val="007E294B"/>
    <w:rsid w:val="007E6A5D"/>
    <w:rsid w:val="007F315F"/>
    <w:rsid w:val="007F3284"/>
    <w:rsid w:val="007F3B24"/>
    <w:rsid w:val="007F4FF2"/>
    <w:rsid w:val="007F5CE1"/>
    <w:rsid w:val="007F64CC"/>
    <w:rsid w:val="007F69AB"/>
    <w:rsid w:val="007F78B1"/>
    <w:rsid w:val="00803655"/>
    <w:rsid w:val="008040C0"/>
    <w:rsid w:val="00804B63"/>
    <w:rsid w:val="00806723"/>
    <w:rsid w:val="00807D56"/>
    <w:rsid w:val="0081494D"/>
    <w:rsid w:val="008165E9"/>
    <w:rsid w:val="00820377"/>
    <w:rsid w:val="0082620B"/>
    <w:rsid w:val="008305B1"/>
    <w:rsid w:val="00832B59"/>
    <w:rsid w:val="0083436E"/>
    <w:rsid w:val="008352A1"/>
    <w:rsid w:val="008352C6"/>
    <w:rsid w:val="0084125B"/>
    <w:rsid w:val="00843996"/>
    <w:rsid w:val="00843C2D"/>
    <w:rsid w:val="008459D7"/>
    <w:rsid w:val="008466C5"/>
    <w:rsid w:val="00846DC2"/>
    <w:rsid w:val="00846DF1"/>
    <w:rsid w:val="00850327"/>
    <w:rsid w:val="00851794"/>
    <w:rsid w:val="0085571A"/>
    <w:rsid w:val="008577E4"/>
    <w:rsid w:val="00864314"/>
    <w:rsid w:val="00865652"/>
    <w:rsid w:val="00866B91"/>
    <w:rsid w:val="00866EE5"/>
    <w:rsid w:val="0086718D"/>
    <w:rsid w:val="00871485"/>
    <w:rsid w:val="008717EF"/>
    <w:rsid w:val="00871CAF"/>
    <w:rsid w:val="00872C6A"/>
    <w:rsid w:val="008734BD"/>
    <w:rsid w:val="008749BD"/>
    <w:rsid w:val="00875F64"/>
    <w:rsid w:val="008818B2"/>
    <w:rsid w:val="008831EB"/>
    <w:rsid w:val="0088462C"/>
    <w:rsid w:val="008855EE"/>
    <w:rsid w:val="008857ED"/>
    <w:rsid w:val="00887521"/>
    <w:rsid w:val="0088774E"/>
    <w:rsid w:val="008902FA"/>
    <w:rsid w:val="00890B3E"/>
    <w:rsid w:val="00891C7F"/>
    <w:rsid w:val="00891F85"/>
    <w:rsid w:val="00892C03"/>
    <w:rsid w:val="00893B1E"/>
    <w:rsid w:val="00894E81"/>
    <w:rsid w:val="00896375"/>
    <w:rsid w:val="00897856"/>
    <w:rsid w:val="008A125C"/>
    <w:rsid w:val="008A1806"/>
    <w:rsid w:val="008A1C66"/>
    <w:rsid w:val="008A1E49"/>
    <w:rsid w:val="008A3D5E"/>
    <w:rsid w:val="008A3E9C"/>
    <w:rsid w:val="008A4320"/>
    <w:rsid w:val="008A4854"/>
    <w:rsid w:val="008A4CED"/>
    <w:rsid w:val="008B0EC7"/>
    <w:rsid w:val="008B1DAF"/>
    <w:rsid w:val="008B487B"/>
    <w:rsid w:val="008B75E1"/>
    <w:rsid w:val="008B7F31"/>
    <w:rsid w:val="008C0A3A"/>
    <w:rsid w:val="008C25CE"/>
    <w:rsid w:val="008C5D5D"/>
    <w:rsid w:val="008C5EF5"/>
    <w:rsid w:val="008C7F62"/>
    <w:rsid w:val="008D0DE6"/>
    <w:rsid w:val="008D29FB"/>
    <w:rsid w:val="008D2EB9"/>
    <w:rsid w:val="008D3053"/>
    <w:rsid w:val="008D31B8"/>
    <w:rsid w:val="008D3FE4"/>
    <w:rsid w:val="008D4AB5"/>
    <w:rsid w:val="008D5385"/>
    <w:rsid w:val="008D6F16"/>
    <w:rsid w:val="008E0B9D"/>
    <w:rsid w:val="008E26A3"/>
    <w:rsid w:val="008E521A"/>
    <w:rsid w:val="008E6045"/>
    <w:rsid w:val="008F1240"/>
    <w:rsid w:val="008F5530"/>
    <w:rsid w:val="008F6043"/>
    <w:rsid w:val="008F7B23"/>
    <w:rsid w:val="008F7F6A"/>
    <w:rsid w:val="00900675"/>
    <w:rsid w:val="00902616"/>
    <w:rsid w:val="009028A1"/>
    <w:rsid w:val="00905552"/>
    <w:rsid w:val="009109A7"/>
    <w:rsid w:val="009113F4"/>
    <w:rsid w:val="00911732"/>
    <w:rsid w:val="009120B0"/>
    <w:rsid w:val="009129B3"/>
    <w:rsid w:val="00915425"/>
    <w:rsid w:val="009177D9"/>
    <w:rsid w:val="00920344"/>
    <w:rsid w:val="009205C9"/>
    <w:rsid w:val="00922918"/>
    <w:rsid w:val="00923BAD"/>
    <w:rsid w:val="00924F6F"/>
    <w:rsid w:val="009256A8"/>
    <w:rsid w:val="00926D9E"/>
    <w:rsid w:val="00926F90"/>
    <w:rsid w:val="00930263"/>
    <w:rsid w:val="00930B6E"/>
    <w:rsid w:val="0093157F"/>
    <w:rsid w:val="00936B17"/>
    <w:rsid w:val="00936C10"/>
    <w:rsid w:val="00937EA7"/>
    <w:rsid w:val="009406C7"/>
    <w:rsid w:val="00943443"/>
    <w:rsid w:val="00944942"/>
    <w:rsid w:val="00945940"/>
    <w:rsid w:val="0094601B"/>
    <w:rsid w:val="00947492"/>
    <w:rsid w:val="00947A7B"/>
    <w:rsid w:val="009508B8"/>
    <w:rsid w:val="009508EB"/>
    <w:rsid w:val="00950C7F"/>
    <w:rsid w:val="00950F58"/>
    <w:rsid w:val="00951EF6"/>
    <w:rsid w:val="00951FBC"/>
    <w:rsid w:val="0095533D"/>
    <w:rsid w:val="00955DF5"/>
    <w:rsid w:val="00956AF8"/>
    <w:rsid w:val="00957B46"/>
    <w:rsid w:val="00961658"/>
    <w:rsid w:val="009626C8"/>
    <w:rsid w:val="00964DEC"/>
    <w:rsid w:val="00967323"/>
    <w:rsid w:val="009708E1"/>
    <w:rsid w:val="00971E0B"/>
    <w:rsid w:val="00973159"/>
    <w:rsid w:val="009779A3"/>
    <w:rsid w:val="009830E0"/>
    <w:rsid w:val="00983175"/>
    <w:rsid w:val="00984561"/>
    <w:rsid w:val="00985B4C"/>
    <w:rsid w:val="009866FA"/>
    <w:rsid w:val="00986742"/>
    <w:rsid w:val="009869BC"/>
    <w:rsid w:val="00990C3C"/>
    <w:rsid w:val="00990D6A"/>
    <w:rsid w:val="00991358"/>
    <w:rsid w:val="00991A87"/>
    <w:rsid w:val="00991C14"/>
    <w:rsid w:val="0099349D"/>
    <w:rsid w:val="009A587A"/>
    <w:rsid w:val="009A691F"/>
    <w:rsid w:val="009A697D"/>
    <w:rsid w:val="009A6BB0"/>
    <w:rsid w:val="009B0071"/>
    <w:rsid w:val="009B13E1"/>
    <w:rsid w:val="009B214E"/>
    <w:rsid w:val="009B3841"/>
    <w:rsid w:val="009B6889"/>
    <w:rsid w:val="009C1336"/>
    <w:rsid w:val="009C34D4"/>
    <w:rsid w:val="009C36A3"/>
    <w:rsid w:val="009C57A3"/>
    <w:rsid w:val="009C78CC"/>
    <w:rsid w:val="009C799E"/>
    <w:rsid w:val="009D0FA4"/>
    <w:rsid w:val="009D40F1"/>
    <w:rsid w:val="009D4829"/>
    <w:rsid w:val="009D49C7"/>
    <w:rsid w:val="009D6E28"/>
    <w:rsid w:val="009E0435"/>
    <w:rsid w:val="009E04B4"/>
    <w:rsid w:val="009E572F"/>
    <w:rsid w:val="009E593F"/>
    <w:rsid w:val="009F04BC"/>
    <w:rsid w:val="009F118A"/>
    <w:rsid w:val="009F3782"/>
    <w:rsid w:val="009F67A7"/>
    <w:rsid w:val="00A008AB"/>
    <w:rsid w:val="00A055D8"/>
    <w:rsid w:val="00A05AE2"/>
    <w:rsid w:val="00A05B19"/>
    <w:rsid w:val="00A05DCC"/>
    <w:rsid w:val="00A10D25"/>
    <w:rsid w:val="00A1211B"/>
    <w:rsid w:val="00A12F89"/>
    <w:rsid w:val="00A13792"/>
    <w:rsid w:val="00A1399C"/>
    <w:rsid w:val="00A16358"/>
    <w:rsid w:val="00A215BC"/>
    <w:rsid w:val="00A2211D"/>
    <w:rsid w:val="00A22224"/>
    <w:rsid w:val="00A24910"/>
    <w:rsid w:val="00A24C1A"/>
    <w:rsid w:val="00A26C4F"/>
    <w:rsid w:val="00A2746C"/>
    <w:rsid w:val="00A3133B"/>
    <w:rsid w:val="00A313B7"/>
    <w:rsid w:val="00A313B9"/>
    <w:rsid w:val="00A3649C"/>
    <w:rsid w:val="00A36708"/>
    <w:rsid w:val="00A36788"/>
    <w:rsid w:val="00A37DBF"/>
    <w:rsid w:val="00A42818"/>
    <w:rsid w:val="00A42E53"/>
    <w:rsid w:val="00A44CF2"/>
    <w:rsid w:val="00A47623"/>
    <w:rsid w:val="00A47BA8"/>
    <w:rsid w:val="00A47D4C"/>
    <w:rsid w:val="00A50622"/>
    <w:rsid w:val="00A50922"/>
    <w:rsid w:val="00A525ED"/>
    <w:rsid w:val="00A529F2"/>
    <w:rsid w:val="00A53E6D"/>
    <w:rsid w:val="00A56B8C"/>
    <w:rsid w:val="00A56F44"/>
    <w:rsid w:val="00A57FA3"/>
    <w:rsid w:val="00A606EB"/>
    <w:rsid w:val="00A6191E"/>
    <w:rsid w:val="00A62533"/>
    <w:rsid w:val="00A62B38"/>
    <w:rsid w:val="00A642B1"/>
    <w:rsid w:val="00A6510D"/>
    <w:rsid w:val="00A66271"/>
    <w:rsid w:val="00A666D3"/>
    <w:rsid w:val="00A669A1"/>
    <w:rsid w:val="00A71A25"/>
    <w:rsid w:val="00A73DE2"/>
    <w:rsid w:val="00A74D9C"/>
    <w:rsid w:val="00A7676F"/>
    <w:rsid w:val="00A76E87"/>
    <w:rsid w:val="00A7757E"/>
    <w:rsid w:val="00A80355"/>
    <w:rsid w:val="00A82BCB"/>
    <w:rsid w:val="00A84179"/>
    <w:rsid w:val="00A87712"/>
    <w:rsid w:val="00A90956"/>
    <w:rsid w:val="00A938E9"/>
    <w:rsid w:val="00A94706"/>
    <w:rsid w:val="00A9672B"/>
    <w:rsid w:val="00A96841"/>
    <w:rsid w:val="00A9765D"/>
    <w:rsid w:val="00AA0120"/>
    <w:rsid w:val="00AA1609"/>
    <w:rsid w:val="00AA2C08"/>
    <w:rsid w:val="00AA5F5F"/>
    <w:rsid w:val="00AA6100"/>
    <w:rsid w:val="00AB2AF4"/>
    <w:rsid w:val="00AB4C8F"/>
    <w:rsid w:val="00AB6C5C"/>
    <w:rsid w:val="00AB6CC8"/>
    <w:rsid w:val="00AB786E"/>
    <w:rsid w:val="00AB7CD8"/>
    <w:rsid w:val="00AB7D62"/>
    <w:rsid w:val="00AC094A"/>
    <w:rsid w:val="00AC0C71"/>
    <w:rsid w:val="00AC1A48"/>
    <w:rsid w:val="00AC1AAC"/>
    <w:rsid w:val="00AC1B13"/>
    <w:rsid w:val="00AC2B89"/>
    <w:rsid w:val="00AC4266"/>
    <w:rsid w:val="00AC5353"/>
    <w:rsid w:val="00AC73A9"/>
    <w:rsid w:val="00AD0261"/>
    <w:rsid w:val="00AD04A3"/>
    <w:rsid w:val="00AD1E53"/>
    <w:rsid w:val="00AD5431"/>
    <w:rsid w:val="00AD5AB7"/>
    <w:rsid w:val="00AD69CC"/>
    <w:rsid w:val="00AE72E3"/>
    <w:rsid w:val="00AF416B"/>
    <w:rsid w:val="00AF58A3"/>
    <w:rsid w:val="00AF5943"/>
    <w:rsid w:val="00AF5EE0"/>
    <w:rsid w:val="00AF62CA"/>
    <w:rsid w:val="00AF65CA"/>
    <w:rsid w:val="00B0012A"/>
    <w:rsid w:val="00B0476A"/>
    <w:rsid w:val="00B0504C"/>
    <w:rsid w:val="00B0534F"/>
    <w:rsid w:val="00B05BA2"/>
    <w:rsid w:val="00B07357"/>
    <w:rsid w:val="00B10947"/>
    <w:rsid w:val="00B11C39"/>
    <w:rsid w:val="00B14938"/>
    <w:rsid w:val="00B14C8D"/>
    <w:rsid w:val="00B15246"/>
    <w:rsid w:val="00B16362"/>
    <w:rsid w:val="00B167B4"/>
    <w:rsid w:val="00B16E93"/>
    <w:rsid w:val="00B1735A"/>
    <w:rsid w:val="00B2074A"/>
    <w:rsid w:val="00B22C86"/>
    <w:rsid w:val="00B23A6E"/>
    <w:rsid w:val="00B23E65"/>
    <w:rsid w:val="00B2503F"/>
    <w:rsid w:val="00B26225"/>
    <w:rsid w:val="00B26759"/>
    <w:rsid w:val="00B31EA9"/>
    <w:rsid w:val="00B328C7"/>
    <w:rsid w:val="00B330B6"/>
    <w:rsid w:val="00B33C76"/>
    <w:rsid w:val="00B3644A"/>
    <w:rsid w:val="00B36E99"/>
    <w:rsid w:val="00B401EB"/>
    <w:rsid w:val="00B403A0"/>
    <w:rsid w:val="00B41231"/>
    <w:rsid w:val="00B42D71"/>
    <w:rsid w:val="00B437AD"/>
    <w:rsid w:val="00B4389B"/>
    <w:rsid w:val="00B44580"/>
    <w:rsid w:val="00B45736"/>
    <w:rsid w:val="00B45871"/>
    <w:rsid w:val="00B521D8"/>
    <w:rsid w:val="00B53117"/>
    <w:rsid w:val="00B53754"/>
    <w:rsid w:val="00B54804"/>
    <w:rsid w:val="00B5554E"/>
    <w:rsid w:val="00B61003"/>
    <w:rsid w:val="00B61422"/>
    <w:rsid w:val="00B627E8"/>
    <w:rsid w:val="00B6282A"/>
    <w:rsid w:val="00B63DF7"/>
    <w:rsid w:val="00B63FDC"/>
    <w:rsid w:val="00B64496"/>
    <w:rsid w:val="00B64508"/>
    <w:rsid w:val="00B6467B"/>
    <w:rsid w:val="00B65C2C"/>
    <w:rsid w:val="00B664E0"/>
    <w:rsid w:val="00B6650F"/>
    <w:rsid w:val="00B679CF"/>
    <w:rsid w:val="00B67E2F"/>
    <w:rsid w:val="00B70E3F"/>
    <w:rsid w:val="00B738BF"/>
    <w:rsid w:val="00B77249"/>
    <w:rsid w:val="00B77C58"/>
    <w:rsid w:val="00B826E3"/>
    <w:rsid w:val="00B827E5"/>
    <w:rsid w:val="00B83283"/>
    <w:rsid w:val="00B8373F"/>
    <w:rsid w:val="00B83DED"/>
    <w:rsid w:val="00B84ADF"/>
    <w:rsid w:val="00B91105"/>
    <w:rsid w:val="00B91ECC"/>
    <w:rsid w:val="00B92AD7"/>
    <w:rsid w:val="00B956E6"/>
    <w:rsid w:val="00B9645E"/>
    <w:rsid w:val="00BA027C"/>
    <w:rsid w:val="00BA064A"/>
    <w:rsid w:val="00BA09B2"/>
    <w:rsid w:val="00BA11E3"/>
    <w:rsid w:val="00BA22BF"/>
    <w:rsid w:val="00BA55B9"/>
    <w:rsid w:val="00BA5AEA"/>
    <w:rsid w:val="00BA717A"/>
    <w:rsid w:val="00BA74FF"/>
    <w:rsid w:val="00BB1132"/>
    <w:rsid w:val="00BB13A2"/>
    <w:rsid w:val="00BB524F"/>
    <w:rsid w:val="00BB58F5"/>
    <w:rsid w:val="00BC1543"/>
    <w:rsid w:val="00BC3600"/>
    <w:rsid w:val="00BC6AEF"/>
    <w:rsid w:val="00BC7294"/>
    <w:rsid w:val="00BC7DC8"/>
    <w:rsid w:val="00BD25F0"/>
    <w:rsid w:val="00BD3BDC"/>
    <w:rsid w:val="00BD4A76"/>
    <w:rsid w:val="00BD4C84"/>
    <w:rsid w:val="00BD5B07"/>
    <w:rsid w:val="00BE0CCD"/>
    <w:rsid w:val="00BE2F89"/>
    <w:rsid w:val="00BE42DD"/>
    <w:rsid w:val="00BE605B"/>
    <w:rsid w:val="00BE7BD5"/>
    <w:rsid w:val="00BF0283"/>
    <w:rsid w:val="00BF12E1"/>
    <w:rsid w:val="00BF23B5"/>
    <w:rsid w:val="00BF2871"/>
    <w:rsid w:val="00BF4C98"/>
    <w:rsid w:val="00BF7CB5"/>
    <w:rsid w:val="00C00134"/>
    <w:rsid w:val="00C02182"/>
    <w:rsid w:val="00C0315C"/>
    <w:rsid w:val="00C0325F"/>
    <w:rsid w:val="00C03294"/>
    <w:rsid w:val="00C052B4"/>
    <w:rsid w:val="00C05949"/>
    <w:rsid w:val="00C06CBC"/>
    <w:rsid w:val="00C10B66"/>
    <w:rsid w:val="00C121FA"/>
    <w:rsid w:val="00C1259C"/>
    <w:rsid w:val="00C136D7"/>
    <w:rsid w:val="00C15A05"/>
    <w:rsid w:val="00C15C20"/>
    <w:rsid w:val="00C20E2C"/>
    <w:rsid w:val="00C21AE0"/>
    <w:rsid w:val="00C2400F"/>
    <w:rsid w:val="00C24026"/>
    <w:rsid w:val="00C25AF0"/>
    <w:rsid w:val="00C25D13"/>
    <w:rsid w:val="00C25F88"/>
    <w:rsid w:val="00C31F15"/>
    <w:rsid w:val="00C36477"/>
    <w:rsid w:val="00C37271"/>
    <w:rsid w:val="00C3737F"/>
    <w:rsid w:val="00C40B95"/>
    <w:rsid w:val="00C42506"/>
    <w:rsid w:val="00C44162"/>
    <w:rsid w:val="00C44B40"/>
    <w:rsid w:val="00C44F25"/>
    <w:rsid w:val="00C47396"/>
    <w:rsid w:val="00C50CEA"/>
    <w:rsid w:val="00C52128"/>
    <w:rsid w:val="00C52643"/>
    <w:rsid w:val="00C548DF"/>
    <w:rsid w:val="00C55082"/>
    <w:rsid w:val="00C5578C"/>
    <w:rsid w:val="00C5597C"/>
    <w:rsid w:val="00C566B7"/>
    <w:rsid w:val="00C60C1B"/>
    <w:rsid w:val="00C62F51"/>
    <w:rsid w:val="00C632CA"/>
    <w:rsid w:val="00C64120"/>
    <w:rsid w:val="00C643AB"/>
    <w:rsid w:val="00C6621B"/>
    <w:rsid w:val="00C66923"/>
    <w:rsid w:val="00C71048"/>
    <w:rsid w:val="00C73B9D"/>
    <w:rsid w:val="00C745A5"/>
    <w:rsid w:val="00C74C00"/>
    <w:rsid w:val="00C760D7"/>
    <w:rsid w:val="00C80B9D"/>
    <w:rsid w:val="00C836A3"/>
    <w:rsid w:val="00C84112"/>
    <w:rsid w:val="00C8426A"/>
    <w:rsid w:val="00C847A0"/>
    <w:rsid w:val="00C85331"/>
    <w:rsid w:val="00C862CA"/>
    <w:rsid w:val="00C90A9F"/>
    <w:rsid w:val="00C90E0E"/>
    <w:rsid w:val="00C92A77"/>
    <w:rsid w:val="00C94807"/>
    <w:rsid w:val="00C9635A"/>
    <w:rsid w:val="00C9738E"/>
    <w:rsid w:val="00C977D6"/>
    <w:rsid w:val="00C97A7A"/>
    <w:rsid w:val="00CA1299"/>
    <w:rsid w:val="00CA379E"/>
    <w:rsid w:val="00CA4DD6"/>
    <w:rsid w:val="00CA6604"/>
    <w:rsid w:val="00CB4F24"/>
    <w:rsid w:val="00CB6AA9"/>
    <w:rsid w:val="00CB71AF"/>
    <w:rsid w:val="00CB7F6B"/>
    <w:rsid w:val="00CC147C"/>
    <w:rsid w:val="00CC1EEA"/>
    <w:rsid w:val="00CC2B17"/>
    <w:rsid w:val="00CC2B7B"/>
    <w:rsid w:val="00CC2DB2"/>
    <w:rsid w:val="00CC32F0"/>
    <w:rsid w:val="00CC3E33"/>
    <w:rsid w:val="00CC41C3"/>
    <w:rsid w:val="00CC45A3"/>
    <w:rsid w:val="00CC51E2"/>
    <w:rsid w:val="00CC5EF2"/>
    <w:rsid w:val="00CC6E69"/>
    <w:rsid w:val="00CC6F9A"/>
    <w:rsid w:val="00CC7460"/>
    <w:rsid w:val="00CD27E4"/>
    <w:rsid w:val="00CD4AB0"/>
    <w:rsid w:val="00CD5095"/>
    <w:rsid w:val="00CD7307"/>
    <w:rsid w:val="00CD7D11"/>
    <w:rsid w:val="00CE1401"/>
    <w:rsid w:val="00CE5B9E"/>
    <w:rsid w:val="00CE67CB"/>
    <w:rsid w:val="00CE68A9"/>
    <w:rsid w:val="00CE6EEF"/>
    <w:rsid w:val="00CF09FA"/>
    <w:rsid w:val="00CF3751"/>
    <w:rsid w:val="00CF3857"/>
    <w:rsid w:val="00CF40E1"/>
    <w:rsid w:val="00CF552A"/>
    <w:rsid w:val="00D006E2"/>
    <w:rsid w:val="00D00CDD"/>
    <w:rsid w:val="00D01154"/>
    <w:rsid w:val="00D02946"/>
    <w:rsid w:val="00D03FCB"/>
    <w:rsid w:val="00D053CC"/>
    <w:rsid w:val="00D10ABB"/>
    <w:rsid w:val="00D12468"/>
    <w:rsid w:val="00D13781"/>
    <w:rsid w:val="00D13BCA"/>
    <w:rsid w:val="00D1751D"/>
    <w:rsid w:val="00D20796"/>
    <w:rsid w:val="00D2411D"/>
    <w:rsid w:val="00D26F37"/>
    <w:rsid w:val="00D30146"/>
    <w:rsid w:val="00D30AA6"/>
    <w:rsid w:val="00D31B1F"/>
    <w:rsid w:val="00D32D9A"/>
    <w:rsid w:val="00D34C56"/>
    <w:rsid w:val="00D36439"/>
    <w:rsid w:val="00D368C3"/>
    <w:rsid w:val="00D369EE"/>
    <w:rsid w:val="00D37183"/>
    <w:rsid w:val="00D37377"/>
    <w:rsid w:val="00D379B5"/>
    <w:rsid w:val="00D40D1D"/>
    <w:rsid w:val="00D42BB5"/>
    <w:rsid w:val="00D44296"/>
    <w:rsid w:val="00D4722F"/>
    <w:rsid w:val="00D47540"/>
    <w:rsid w:val="00D5146D"/>
    <w:rsid w:val="00D51632"/>
    <w:rsid w:val="00D5202F"/>
    <w:rsid w:val="00D526CB"/>
    <w:rsid w:val="00D53359"/>
    <w:rsid w:val="00D60629"/>
    <w:rsid w:val="00D61362"/>
    <w:rsid w:val="00D625F0"/>
    <w:rsid w:val="00D6338F"/>
    <w:rsid w:val="00D635B1"/>
    <w:rsid w:val="00D704E8"/>
    <w:rsid w:val="00D70DA6"/>
    <w:rsid w:val="00D73E23"/>
    <w:rsid w:val="00D74788"/>
    <w:rsid w:val="00D74D62"/>
    <w:rsid w:val="00D76127"/>
    <w:rsid w:val="00D7616C"/>
    <w:rsid w:val="00D805D6"/>
    <w:rsid w:val="00D807C9"/>
    <w:rsid w:val="00D80872"/>
    <w:rsid w:val="00D80FAF"/>
    <w:rsid w:val="00D83592"/>
    <w:rsid w:val="00D837A8"/>
    <w:rsid w:val="00D854C4"/>
    <w:rsid w:val="00D86135"/>
    <w:rsid w:val="00D8646D"/>
    <w:rsid w:val="00D913AA"/>
    <w:rsid w:val="00D91641"/>
    <w:rsid w:val="00D942F5"/>
    <w:rsid w:val="00D95432"/>
    <w:rsid w:val="00D95FCA"/>
    <w:rsid w:val="00D96B7C"/>
    <w:rsid w:val="00DA2445"/>
    <w:rsid w:val="00DA3127"/>
    <w:rsid w:val="00DA5FB6"/>
    <w:rsid w:val="00DA6165"/>
    <w:rsid w:val="00DB211B"/>
    <w:rsid w:val="00DB21D9"/>
    <w:rsid w:val="00DB240D"/>
    <w:rsid w:val="00DB2454"/>
    <w:rsid w:val="00DB2BF2"/>
    <w:rsid w:val="00DB2C94"/>
    <w:rsid w:val="00DB3F75"/>
    <w:rsid w:val="00DB582E"/>
    <w:rsid w:val="00DB67C4"/>
    <w:rsid w:val="00DB775C"/>
    <w:rsid w:val="00DC00F6"/>
    <w:rsid w:val="00DC170F"/>
    <w:rsid w:val="00DC2886"/>
    <w:rsid w:val="00DC3E5A"/>
    <w:rsid w:val="00DC7EF8"/>
    <w:rsid w:val="00DD0C06"/>
    <w:rsid w:val="00DD1128"/>
    <w:rsid w:val="00DD1491"/>
    <w:rsid w:val="00DD3C82"/>
    <w:rsid w:val="00DD5A4E"/>
    <w:rsid w:val="00DD72F8"/>
    <w:rsid w:val="00DE2C10"/>
    <w:rsid w:val="00DE315B"/>
    <w:rsid w:val="00DE3521"/>
    <w:rsid w:val="00DE375F"/>
    <w:rsid w:val="00DE584B"/>
    <w:rsid w:val="00DE6D95"/>
    <w:rsid w:val="00DE79DC"/>
    <w:rsid w:val="00DF0F5F"/>
    <w:rsid w:val="00DF3CDA"/>
    <w:rsid w:val="00DF7071"/>
    <w:rsid w:val="00E00576"/>
    <w:rsid w:val="00E00757"/>
    <w:rsid w:val="00E028CC"/>
    <w:rsid w:val="00E03B74"/>
    <w:rsid w:val="00E052FC"/>
    <w:rsid w:val="00E05406"/>
    <w:rsid w:val="00E06AD9"/>
    <w:rsid w:val="00E073BB"/>
    <w:rsid w:val="00E074E6"/>
    <w:rsid w:val="00E10F62"/>
    <w:rsid w:val="00E124F7"/>
    <w:rsid w:val="00E13B0F"/>
    <w:rsid w:val="00E15518"/>
    <w:rsid w:val="00E2239D"/>
    <w:rsid w:val="00E22AF7"/>
    <w:rsid w:val="00E22E27"/>
    <w:rsid w:val="00E24543"/>
    <w:rsid w:val="00E268EA"/>
    <w:rsid w:val="00E27C37"/>
    <w:rsid w:val="00E33404"/>
    <w:rsid w:val="00E335A2"/>
    <w:rsid w:val="00E339A5"/>
    <w:rsid w:val="00E33E03"/>
    <w:rsid w:val="00E341D8"/>
    <w:rsid w:val="00E34751"/>
    <w:rsid w:val="00E371BD"/>
    <w:rsid w:val="00E37ACC"/>
    <w:rsid w:val="00E40166"/>
    <w:rsid w:val="00E423F9"/>
    <w:rsid w:val="00E449D8"/>
    <w:rsid w:val="00E44D9A"/>
    <w:rsid w:val="00E5524C"/>
    <w:rsid w:val="00E555AB"/>
    <w:rsid w:val="00E5725F"/>
    <w:rsid w:val="00E6131A"/>
    <w:rsid w:val="00E62E69"/>
    <w:rsid w:val="00E62F4D"/>
    <w:rsid w:val="00E62FB1"/>
    <w:rsid w:val="00E63389"/>
    <w:rsid w:val="00E63988"/>
    <w:rsid w:val="00E65B3C"/>
    <w:rsid w:val="00E67E32"/>
    <w:rsid w:val="00E71FB1"/>
    <w:rsid w:val="00E72A16"/>
    <w:rsid w:val="00E73A4E"/>
    <w:rsid w:val="00E74833"/>
    <w:rsid w:val="00E76401"/>
    <w:rsid w:val="00E83BB1"/>
    <w:rsid w:val="00E85C80"/>
    <w:rsid w:val="00E8665A"/>
    <w:rsid w:val="00E90F36"/>
    <w:rsid w:val="00E915ED"/>
    <w:rsid w:val="00E919C1"/>
    <w:rsid w:val="00E91E0A"/>
    <w:rsid w:val="00E929B0"/>
    <w:rsid w:val="00E9665E"/>
    <w:rsid w:val="00EA3747"/>
    <w:rsid w:val="00EA3CA4"/>
    <w:rsid w:val="00EA639F"/>
    <w:rsid w:val="00EA6C1C"/>
    <w:rsid w:val="00EA7CC3"/>
    <w:rsid w:val="00EB0301"/>
    <w:rsid w:val="00EB206D"/>
    <w:rsid w:val="00EB41E3"/>
    <w:rsid w:val="00EB64E1"/>
    <w:rsid w:val="00EB7384"/>
    <w:rsid w:val="00EB73FE"/>
    <w:rsid w:val="00EC0230"/>
    <w:rsid w:val="00EC0626"/>
    <w:rsid w:val="00EC0A2E"/>
    <w:rsid w:val="00EC1524"/>
    <w:rsid w:val="00EC23C0"/>
    <w:rsid w:val="00EC2C03"/>
    <w:rsid w:val="00EC31B8"/>
    <w:rsid w:val="00EC3BFA"/>
    <w:rsid w:val="00EC4C36"/>
    <w:rsid w:val="00EC56EE"/>
    <w:rsid w:val="00EC589C"/>
    <w:rsid w:val="00EC5A00"/>
    <w:rsid w:val="00EC62B7"/>
    <w:rsid w:val="00EC640C"/>
    <w:rsid w:val="00EC7745"/>
    <w:rsid w:val="00EC7C37"/>
    <w:rsid w:val="00ED02C4"/>
    <w:rsid w:val="00ED51FE"/>
    <w:rsid w:val="00ED567C"/>
    <w:rsid w:val="00ED66DC"/>
    <w:rsid w:val="00ED6983"/>
    <w:rsid w:val="00ED6CCD"/>
    <w:rsid w:val="00ED7378"/>
    <w:rsid w:val="00EE07C7"/>
    <w:rsid w:val="00EE33CC"/>
    <w:rsid w:val="00EE5DA7"/>
    <w:rsid w:val="00EE6DF9"/>
    <w:rsid w:val="00EF00F4"/>
    <w:rsid w:val="00EF07C3"/>
    <w:rsid w:val="00EF373D"/>
    <w:rsid w:val="00EF77D2"/>
    <w:rsid w:val="00EF7DB9"/>
    <w:rsid w:val="00F01025"/>
    <w:rsid w:val="00F014E5"/>
    <w:rsid w:val="00F01EA2"/>
    <w:rsid w:val="00F01EC2"/>
    <w:rsid w:val="00F03E26"/>
    <w:rsid w:val="00F06065"/>
    <w:rsid w:val="00F06510"/>
    <w:rsid w:val="00F07B1C"/>
    <w:rsid w:val="00F112B8"/>
    <w:rsid w:val="00F12A41"/>
    <w:rsid w:val="00F14E5D"/>
    <w:rsid w:val="00F1636A"/>
    <w:rsid w:val="00F17D3D"/>
    <w:rsid w:val="00F220CF"/>
    <w:rsid w:val="00F24B2F"/>
    <w:rsid w:val="00F26A34"/>
    <w:rsid w:val="00F2703A"/>
    <w:rsid w:val="00F2790F"/>
    <w:rsid w:val="00F3388E"/>
    <w:rsid w:val="00F33C25"/>
    <w:rsid w:val="00F33CDB"/>
    <w:rsid w:val="00F35064"/>
    <w:rsid w:val="00F353AB"/>
    <w:rsid w:val="00F36657"/>
    <w:rsid w:val="00F36B6C"/>
    <w:rsid w:val="00F37358"/>
    <w:rsid w:val="00F414CE"/>
    <w:rsid w:val="00F44D86"/>
    <w:rsid w:val="00F451F6"/>
    <w:rsid w:val="00F47365"/>
    <w:rsid w:val="00F47570"/>
    <w:rsid w:val="00F47973"/>
    <w:rsid w:val="00F52DA4"/>
    <w:rsid w:val="00F52F70"/>
    <w:rsid w:val="00F53E01"/>
    <w:rsid w:val="00F540CC"/>
    <w:rsid w:val="00F54315"/>
    <w:rsid w:val="00F54B3D"/>
    <w:rsid w:val="00F54F9A"/>
    <w:rsid w:val="00F55D93"/>
    <w:rsid w:val="00F56C6D"/>
    <w:rsid w:val="00F57B6D"/>
    <w:rsid w:val="00F60A9A"/>
    <w:rsid w:val="00F61289"/>
    <w:rsid w:val="00F61A35"/>
    <w:rsid w:val="00F62762"/>
    <w:rsid w:val="00F63C6B"/>
    <w:rsid w:val="00F63D57"/>
    <w:rsid w:val="00F63E40"/>
    <w:rsid w:val="00F6453D"/>
    <w:rsid w:val="00F6455F"/>
    <w:rsid w:val="00F6463B"/>
    <w:rsid w:val="00F652DD"/>
    <w:rsid w:val="00F66925"/>
    <w:rsid w:val="00F72A81"/>
    <w:rsid w:val="00F76B70"/>
    <w:rsid w:val="00F7739B"/>
    <w:rsid w:val="00F77E54"/>
    <w:rsid w:val="00F80D83"/>
    <w:rsid w:val="00F813AF"/>
    <w:rsid w:val="00F82F0A"/>
    <w:rsid w:val="00F836E2"/>
    <w:rsid w:val="00F862C4"/>
    <w:rsid w:val="00F86B3D"/>
    <w:rsid w:val="00F900F5"/>
    <w:rsid w:val="00F96468"/>
    <w:rsid w:val="00F96916"/>
    <w:rsid w:val="00F96CFA"/>
    <w:rsid w:val="00F96DDB"/>
    <w:rsid w:val="00FA0669"/>
    <w:rsid w:val="00FA4014"/>
    <w:rsid w:val="00FA74B4"/>
    <w:rsid w:val="00FB0F09"/>
    <w:rsid w:val="00FB174D"/>
    <w:rsid w:val="00FB5A53"/>
    <w:rsid w:val="00FC0BDD"/>
    <w:rsid w:val="00FC0D70"/>
    <w:rsid w:val="00FC118F"/>
    <w:rsid w:val="00FC3238"/>
    <w:rsid w:val="00FC62B8"/>
    <w:rsid w:val="00FC6445"/>
    <w:rsid w:val="00FD60E0"/>
    <w:rsid w:val="00FE1483"/>
    <w:rsid w:val="00FE26C0"/>
    <w:rsid w:val="00FE43D3"/>
    <w:rsid w:val="00FE5EBC"/>
    <w:rsid w:val="00FF094F"/>
    <w:rsid w:val="00FF16AC"/>
    <w:rsid w:val="00FF4A78"/>
    <w:rsid w:val="00FF508A"/>
    <w:rsid w:val="00FF5FB4"/>
    <w:rsid w:val="00FF6ED5"/>
    <w:rsid w:val="00FF7E04"/>
    <w:rsid w:val="01B8A77F"/>
    <w:rsid w:val="04863CC6"/>
    <w:rsid w:val="04E62DCF"/>
    <w:rsid w:val="0BFCB305"/>
    <w:rsid w:val="0E2081E3"/>
    <w:rsid w:val="0E26F500"/>
    <w:rsid w:val="0FFC7DBA"/>
    <w:rsid w:val="126E07F4"/>
    <w:rsid w:val="15490BEE"/>
    <w:rsid w:val="1A190C4E"/>
    <w:rsid w:val="1A8839A1"/>
    <w:rsid w:val="1AD6DCF6"/>
    <w:rsid w:val="20385042"/>
    <w:rsid w:val="236C10CF"/>
    <w:rsid w:val="2500CB4B"/>
    <w:rsid w:val="25FB95D4"/>
    <w:rsid w:val="312A4D7D"/>
    <w:rsid w:val="315D8116"/>
    <w:rsid w:val="31902F82"/>
    <w:rsid w:val="335AD786"/>
    <w:rsid w:val="3539C7C2"/>
    <w:rsid w:val="36650110"/>
    <w:rsid w:val="405D7E54"/>
    <w:rsid w:val="46559473"/>
    <w:rsid w:val="47F031D1"/>
    <w:rsid w:val="48B1C4BD"/>
    <w:rsid w:val="4CCAC60F"/>
    <w:rsid w:val="4D696C77"/>
    <w:rsid w:val="52B66729"/>
    <w:rsid w:val="5639E33C"/>
    <w:rsid w:val="5AF92E8D"/>
    <w:rsid w:val="5BE7F27A"/>
    <w:rsid w:val="5C16E9CE"/>
    <w:rsid w:val="6574B420"/>
    <w:rsid w:val="67F10747"/>
    <w:rsid w:val="6824CD7E"/>
    <w:rsid w:val="6AC93B3D"/>
    <w:rsid w:val="73DCB0F7"/>
    <w:rsid w:val="74801A73"/>
    <w:rsid w:val="77C9ACB1"/>
    <w:rsid w:val="7B8C227B"/>
    <w:rsid w:val="7CBDB9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029FFB8B-51A9-4688-8B94-94EB3AB8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DC170F"/>
    <w:pPr>
      <w:numPr>
        <w:numId w:val="14"/>
      </w:numPr>
      <w:tabs>
        <w:tab w:val="left" w:pos="0"/>
      </w:tabs>
      <w:spacing w:before="0" w:after="120"/>
    </w:pPr>
    <w:rPr>
      <w:rFonts w:eastAsia="Times New Roman"/>
      <w:lang w:eastAsia="en-AU"/>
    </w:rPr>
  </w:style>
  <w:style w:type="character" w:styleId="EndnoteReference">
    <w:name w:val="endnote reference"/>
    <w:basedOn w:val="DefaultParagraphFont"/>
    <w:unhideWhenUsed/>
    <w:qFormat/>
    <w:rsid w:val="00E67E32"/>
    <w:rPr>
      <w:vertAlign w:val="superscript"/>
    </w:rPr>
  </w:style>
  <w:style w:type="paragraph" w:styleId="EndnoteText">
    <w:name w:val="endnote text"/>
    <w:basedOn w:val="Normal"/>
    <w:link w:val="EndnoteTextChar"/>
    <w:unhideWhenUsed/>
    <w:qFormat/>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nhideWhenUsed/>
    <w:qFormat/>
    <w:rsid w:val="003155B9"/>
    <w:pPr>
      <w:tabs>
        <w:tab w:val="center" w:pos="4513"/>
        <w:tab w:val="right" w:pos="9026"/>
      </w:tabs>
      <w:spacing w:before="0" w:line="240" w:lineRule="auto"/>
    </w:pPr>
  </w:style>
  <w:style w:type="character" w:customStyle="1" w:styleId="HeaderChar">
    <w:name w:val="Header Char"/>
    <w:basedOn w:val="DefaultParagraphFont"/>
    <w:link w:val="Header"/>
    <w:rsid w:val="003155B9"/>
    <w:rPr>
      <w:rFonts w:ascii="Arial" w:eastAsia="MS Mincho" w:hAnsi="Arial" w:cs="Arial"/>
      <w:sz w:val="24"/>
      <w:szCs w:val="16"/>
      <w:lang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5_G"/>
    <w:basedOn w:val="Normal"/>
    <w:link w:val="FootnoteTextChar"/>
    <w:unhideWhenUsed/>
    <w:qFormat/>
    <w:rsid w:val="00B2503F"/>
    <w:pPr>
      <w:spacing w:before="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B2503F"/>
    <w:rPr>
      <w:rFonts w:ascii="Arial" w:eastAsia="MS Mincho" w:hAnsi="Arial" w:cs="Arial"/>
      <w:sz w:val="20"/>
      <w:szCs w:val="20"/>
      <w:lang w:eastAsia="ja-JP"/>
    </w:rPr>
  </w:style>
  <w:style w:type="character" w:styleId="FootnoteReference">
    <w:name w:val="footnote reference"/>
    <w:aliases w:val="Footnotes refss,Ref,de nota al pie,Footnote number,Footnote,4_G"/>
    <w:basedOn w:val="DefaultParagraphFont"/>
    <w:uiPriority w:val="99"/>
    <w:unhideWhenUsed/>
    <w:qFormat/>
    <w:rsid w:val="00B2503F"/>
    <w:rPr>
      <w:vertAlign w:val="superscript"/>
    </w:rPr>
  </w:style>
  <w:style w:type="paragraph" w:customStyle="1" w:styleId="FirstDotPoint">
    <w:name w:val="First Dot Point"/>
    <w:basedOn w:val="ListParagraph"/>
    <w:link w:val="FirstDotPointChar"/>
    <w:qFormat/>
    <w:rsid w:val="00D053CC"/>
    <w:pPr>
      <w:numPr>
        <w:numId w:val="1"/>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DC170F"/>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character" w:styleId="FollowedHyperlink">
    <w:name w:val="FollowedHyperlink"/>
    <w:basedOn w:val="DefaultParagraphFont"/>
    <w:uiPriority w:val="99"/>
    <w:semiHidden/>
    <w:unhideWhenUsed/>
    <w:rsid w:val="00492AA1"/>
    <w:rPr>
      <w:color w:val="954F72" w:themeColor="followedHyperlink"/>
      <w:u w:val="single"/>
    </w:rPr>
  </w:style>
  <w:style w:type="paragraph" w:styleId="BodyText">
    <w:name w:val="Body Text"/>
    <w:basedOn w:val="Normal"/>
    <w:link w:val="BodyTextChar"/>
    <w:uiPriority w:val="99"/>
    <w:unhideWhenUsed/>
    <w:rsid w:val="00A22224"/>
    <w:pPr>
      <w:spacing w:after="120"/>
    </w:pPr>
  </w:style>
  <w:style w:type="character" w:customStyle="1" w:styleId="BodyTextChar">
    <w:name w:val="Body Text Char"/>
    <w:basedOn w:val="DefaultParagraphFont"/>
    <w:link w:val="BodyText"/>
    <w:uiPriority w:val="99"/>
    <w:rsid w:val="00A22224"/>
    <w:rPr>
      <w:rFonts w:ascii="Arial" w:eastAsia="MS Mincho" w:hAnsi="Arial" w:cs="Arial"/>
      <w:sz w:val="24"/>
      <w:szCs w:val="16"/>
      <w:lang w:eastAsia="ja-JP"/>
    </w:rPr>
  </w:style>
  <w:style w:type="paragraph" w:styleId="Quote">
    <w:name w:val="Quote"/>
    <w:basedOn w:val="Normal"/>
    <w:next w:val="Normal"/>
    <w:link w:val="QuoteChar"/>
    <w:uiPriority w:val="29"/>
    <w:qFormat/>
    <w:rsid w:val="004810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1078"/>
    <w:rPr>
      <w:rFonts w:ascii="Arial" w:eastAsia="MS Mincho" w:hAnsi="Arial" w:cs="Arial"/>
      <w:i/>
      <w:iCs/>
      <w:color w:val="404040" w:themeColor="text1" w:themeTint="BF"/>
      <w:sz w:val="24"/>
      <w:szCs w:val="16"/>
      <w:lang w:eastAsia="ja-JP"/>
    </w:rPr>
  </w:style>
  <w:style w:type="paragraph" w:customStyle="1" w:styleId="Recommendationhanging1">
    <w:name w:val="Recommendation_hanging(1)"/>
    <w:basedOn w:val="Normal"/>
    <w:uiPriority w:val="10"/>
    <w:qFormat/>
    <w:rsid w:val="005F0D68"/>
    <w:pPr>
      <w:pBdr>
        <w:top w:val="single" w:sz="4" w:space="10" w:color="B8CCE4"/>
        <w:left w:val="single" w:sz="4" w:space="10" w:color="B8CCE4"/>
        <w:bottom w:val="single" w:sz="4" w:space="10" w:color="B8CCE4"/>
        <w:right w:val="single" w:sz="4" w:space="10" w:color="B8CCE4"/>
      </w:pBdr>
      <w:shd w:val="clear" w:color="auto" w:fill="CBEDFD"/>
      <w:spacing w:after="120" w:line="244" w:lineRule="atLeast"/>
      <w:ind w:left="1559" w:hanging="425"/>
    </w:pPr>
    <w:rPr>
      <w:rFonts w:ascii="Public Sans" w:eastAsia="Times New Roman" w:hAnsi="Public Sans" w:cs="Times New Roman"/>
      <w:sz w:val="22"/>
      <w:szCs w:val="24"/>
      <w:lang w:eastAsia="en-US"/>
    </w:rPr>
  </w:style>
  <w:style w:type="paragraph" w:customStyle="1" w:styleId="ChapterHeading">
    <w:name w:val="Chapter Heading"/>
    <w:basedOn w:val="Heading1"/>
    <w:next w:val="Normal"/>
    <w:qFormat/>
    <w:rsid w:val="00F54F9A"/>
    <w:pPr>
      <w:keepNext/>
      <w:pageBreakBefore/>
      <w:numPr>
        <w:numId w:val="3"/>
      </w:numPr>
      <w:spacing w:before="0" w:after="320" w:line="420" w:lineRule="atLeast"/>
      <w:ind w:left="720" w:hanging="720"/>
      <w:contextualSpacing w:val="0"/>
    </w:pPr>
    <w:rPr>
      <w:rFonts w:ascii="Public Sans" w:eastAsia="Times New Roman" w:hAnsi="Public Sans" w:cs="Arial"/>
      <w:color w:val="002664"/>
      <w:kern w:val="32"/>
      <w:sz w:val="48"/>
      <w:szCs w:val="32"/>
    </w:rPr>
  </w:style>
  <w:style w:type="paragraph" w:customStyle="1" w:styleId="Normalbullet">
    <w:name w:val="Normal_bullet"/>
    <w:basedOn w:val="Normal"/>
    <w:uiPriority w:val="4"/>
    <w:qFormat/>
    <w:rsid w:val="00F54F9A"/>
    <w:pPr>
      <w:numPr>
        <w:numId w:val="2"/>
      </w:numPr>
      <w:spacing w:line="288" w:lineRule="auto"/>
    </w:pPr>
    <w:rPr>
      <w:rFonts w:ascii="Public Sans" w:eastAsia="Times New Roman" w:hAnsi="Public Sans" w:cs="Times New Roman"/>
      <w:sz w:val="22"/>
      <w:szCs w:val="24"/>
      <w:lang w:eastAsia="en-US"/>
    </w:rPr>
  </w:style>
  <w:style w:type="paragraph" w:customStyle="1" w:styleId="NormalAutoChapter">
    <w:name w:val="Normal_Auto_Chapter"/>
    <w:basedOn w:val="Normal"/>
    <w:uiPriority w:val="2"/>
    <w:qFormat/>
    <w:rsid w:val="00F54F9A"/>
    <w:pPr>
      <w:numPr>
        <w:ilvl w:val="1"/>
        <w:numId w:val="3"/>
      </w:numPr>
      <w:spacing w:before="240" w:line="288" w:lineRule="auto"/>
    </w:pPr>
    <w:rPr>
      <w:rFonts w:ascii="Public Sans" w:eastAsia="Times New Roman" w:hAnsi="Public Sans"/>
      <w:color w:val="000000"/>
      <w:sz w:val="22"/>
      <w:szCs w:val="24"/>
      <w:lang w:eastAsia="en-AU"/>
    </w:rPr>
  </w:style>
  <w:style w:type="character" w:customStyle="1" w:styleId="normaltextrun">
    <w:name w:val="normaltextrun"/>
    <w:rsid w:val="002655D5"/>
  </w:style>
  <w:style w:type="character" w:customStyle="1" w:styleId="findhit">
    <w:name w:val="findhit"/>
    <w:rsid w:val="002655D5"/>
  </w:style>
  <w:style w:type="character" w:customStyle="1" w:styleId="eop">
    <w:name w:val="eop"/>
    <w:rsid w:val="002655D5"/>
  </w:style>
  <w:style w:type="paragraph" w:styleId="TOCHeading">
    <w:name w:val="TOC Heading"/>
    <w:basedOn w:val="Heading1"/>
    <w:next w:val="Normal"/>
    <w:uiPriority w:val="39"/>
    <w:unhideWhenUsed/>
    <w:qFormat/>
    <w:rsid w:val="00CC2DB2"/>
    <w:pPr>
      <w:keepNext/>
      <w:keepLines/>
      <w:spacing w:after="0" w:line="259" w:lineRule="auto"/>
      <w:contextualSpacing w:val="0"/>
      <w:outlineLvl w:val="9"/>
    </w:pPr>
    <w:rPr>
      <w:rFonts w:asciiTheme="majorHAnsi" w:hAnsiTheme="majorHAnsi"/>
      <w:b w:val="0"/>
      <w:bCs w:val="0"/>
      <w:color w:val="2F5496" w:themeColor="accent1" w:themeShade="BF"/>
      <w:kern w:val="0"/>
      <w:sz w:val="32"/>
      <w:szCs w:val="32"/>
      <w:lang w:val="en-US"/>
    </w:rPr>
  </w:style>
  <w:style w:type="paragraph" w:styleId="ListBullet">
    <w:name w:val="List Bullet"/>
    <w:basedOn w:val="Normal"/>
    <w:uiPriority w:val="99"/>
    <w:unhideWhenUsed/>
    <w:rsid w:val="006C0C01"/>
    <w:pPr>
      <w:numPr>
        <w:numId w:val="5"/>
      </w:numPr>
      <w:contextualSpacing/>
    </w:pPr>
  </w:style>
  <w:style w:type="table" w:styleId="TableGrid">
    <w:name w:val="Table Grid"/>
    <w:basedOn w:val="TableNormal"/>
    <w:uiPriority w:val="59"/>
    <w:rsid w:val="009E04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Text">
    <w:name w:val="Normal Text"/>
    <w:basedOn w:val="Normal"/>
    <w:link w:val="NormalTextChar"/>
    <w:autoRedefine/>
    <w:qFormat/>
    <w:rsid w:val="00AB7CD8"/>
    <w:pPr>
      <w:tabs>
        <w:tab w:val="left" w:pos="1980"/>
      </w:tabs>
      <w:spacing w:before="240" w:after="240" w:line="240" w:lineRule="auto"/>
      <w:ind w:right="-286"/>
    </w:pPr>
    <w:rPr>
      <w:rFonts w:ascii="Open Sans" w:eastAsiaTheme="minorHAnsi" w:hAnsi="Open Sans" w:cstheme="minorBidi"/>
      <w:szCs w:val="22"/>
      <w:lang w:eastAsia="en-AU"/>
    </w:rPr>
  </w:style>
  <w:style w:type="character" w:customStyle="1" w:styleId="NormalTextChar">
    <w:name w:val="Normal Text Char"/>
    <w:basedOn w:val="DefaultParagraphFont"/>
    <w:link w:val="NormalText"/>
    <w:rsid w:val="00AB7CD8"/>
    <w:rPr>
      <w:rFonts w:ascii="Open Sans" w:hAnsi="Open Sans"/>
      <w:sz w:val="24"/>
      <w:lang w:eastAsia="en-AU"/>
    </w:rPr>
  </w:style>
  <w:style w:type="character" w:customStyle="1" w:styleId="Reporttitleinheader">
    <w:name w:val="Report title in header"/>
    <w:uiPriority w:val="1"/>
    <w:qFormat/>
    <w:rsid w:val="00C862CA"/>
    <w:rPr>
      <w:rFonts w:ascii="Open Sans" w:hAnsi="Open Sans"/>
      <w:b/>
      <w:noProof/>
      <w:sz w:val="18"/>
    </w:rPr>
  </w:style>
  <w:style w:type="paragraph" w:customStyle="1" w:styleId="HeaderDocumentDate">
    <w:name w:val="Header Document Date"/>
    <w:basedOn w:val="Footer"/>
    <w:qFormat/>
    <w:rsid w:val="00C862CA"/>
    <w:pPr>
      <w:pBdr>
        <w:top w:val="none" w:sz="0" w:space="0" w:color="auto"/>
      </w:pBdr>
      <w:tabs>
        <w:tab w:val="right" w:pos="2835"/>
        <w:tab w:val="right" w:pos="5670"/>
      </w:tabs>
      <w:spacing w:before="0"/>
      <w:ind w:left="-868"/>
    </w:pPr>
    <w:rPr>
      <w:rFonts w:ascii="Open Sans" w:hAnsi="Open Sans" w:cs="Times New Roman"/>
      <w:i w:val="0"/>
      <w:iCs w:val="0"/>
      <w:color w:val="auto"/>
      <w:sz w:val="18"/>
      <w:szCs w:val="24"/>
      <w:lang w:eastAsia="en-AU"/>
    </w:rPr>
  </w:style>
  <w:style w:type="character" w:customStyle="1" w:styleId="EndnoteTextChar1">
    <w:name w:val="Endnote Text Char1"/>
    <w:rsid w:val="001867AC"/>
    <w:rPr>
      <w:rFonts w:ascii="Open Sans" w:eastAsia="MS Mincho"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735">
      <w:bodyDiv w:val="1"/>
      <w:marLeft w:val="0"/>
      <w:marRight w:val="0"/>
      <w:marTop w:val="0"/>
      <w:marBottom w:val="0"/>
      <w:divBdr>
        <w:top w:val="none" w:sz="0" w:space="0" w:color="auto"/>
        <w:left w:val="none" w:sz="0" w:space="0" w:color="auto"/>
        <w:bottom w:val="none" w:sz="0" w:space="0" w:color="auto"/>
        <w:right w:val="none" w:sz="0" w:space="0" w:color="auto"/>
      </w:divBdr>
    </w:div>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63455290">
      <w:bodyDiv w:val="1"/>
      <w:marLeft w:val="0"/>
      <w:marRight w:val="0"/>
      <w:marTop w:val="0"/>
      <w:marBottom w:val="0"/>
      <w:divBdr>
        <w:top w:val="none" w:sz="0" w:space="0" w:color="auto"/>
        <w:left w:val="none" w:sz="0" w:space="0" w:color="auto"/>
        <w:bottom w:val="none" w:sz="0" w:space="0" w:color="auto"/>
        <w:right w:val="none" w:sz="0" w:space="0" w:color="auto"/>
      </w:divBdr>
    </w:div>
    <w:div w:id="77482998">
      <w:bodyDiv w:val="1"/>
      <w:marLeft w:val="0"/>
      <w:marRight w:val="0"/>
      <w:marTop w:val="0"/>
      <w:marBottom w:val="0"/>
      <w:divBdr>
        <w:top w:val="none" w:sz="0" w:space="0" w:color="auto"/>
        <w:left w:val="none" w:sz="0" w:space="0" w:color="auto"/>
        <w:bottom w:val="none" w:sz="0" w:space="0" w:color="auto"/>
        <w:right w:val="none" w:sz="0" w:space="0" w:color="auto"/>
      </w:divBdr>
    </w:div>
    <w:div w:id="94135661">
      <w:bodyDiv w:val="1"/>
      <w:marLeft w:val="0"/>
      <w:marRight w:val="0"/>
      <w:marTop w:val="0"/>
      <w:marBottom w:val="0"/>
      <w:divBdr>
        <w:top w:val="none" w:sz="0" w:space="0" w:color="auto"/>
        <w:left w:val="none" w:sz="0" w:space="0" w:color="auto"/>
        <w:bottom w:val="none" w:sz="0" w:space="0" w:color="auto"/>
        <w:right w:val="none" w:sz="0" w:space="0" w:color="auto"/>
      </w:divBdr>
    </w:div>
    <w:div w:id="97023759">
      <w:bodyDiv w:val="1"/>
      <w:marLeft w:val="0"/>
      <w:marRight w:val="0"/>
      <w:marTop w:val="0"/>
      <w:marBottom w:val="0"/>
      <w:divBdr>
        <w:top w:val="none" w:sz="0" w:space="0" w:color="auto"/>
        <w:left w:val="none" w:sz="0" w:space="0" w:color="auto"/>
        <w:bottom w:val="none" w:sz="0" w:space="0" w:color="auto"/>
        <w:right w:val="none" w:sz="0" w:space="0" w:color="auto"/>
      </w:divBdr>
    </w:div>
    <w:div w:id="117916494">
      <w:bodyDiv w:val="1"/>
      <w:marLeft w:val="0"/>
      <w:marRight w:val="0"/>
      <w:marTop w:val="0"/>
      <w:marBottom w:val="0"/>
      <w:divBdr>
        <w:top w:val="none" w:sz="0" w:space="0" w:color="auto"/>
        <w:left w:val="none" w:sz="0" w:space="0" w:color="auto"/>
        <w:bottom w:val="none" w:sz="0" w:space="0" w:color="auto"/>
        <w:right w:val="none" w:sz="0" w:space="0" w:color="auto"/>
      </w:divBdr>
    </w:div>
    <w:div w:id="129906108">
      <w:bodyDiv w:val="1"/>
      <w:marLeft w:val="0"/>
      <w:marRight w:val="0"/>
      <w:marTop w:val="0"/>
      <w:marBottom w:val="0"/>
      <w:divBdr>
        <w:top w:val="none" w:sz="0" w:space="0" w:color="auto"/>
        <w:left w:val="none" w:sz="0" w:space="0" w:color="auto"/>
        <w:bottom w:val="none" w:sz="0" w:space="0" w:color="auto"/>
        <w:right w:val="none" w:sz="0" w:space="0" w:color="auto"/>
      </w:divBdr>
    </w:div>
    <w:div w:id="145702891">
      <w:bodyDiv w:val="1"/>
      <w:marLeft w:val="0"/>
      <w:marRight w:val="0"/>
      <w:marTop w:val="0"/>
      <w:marBottom w:val="0"/>
      <w:divBdr>
        <w:top w:val="none" w:sz="0" w:space="0" w:color="auto"/>
        <w:left w:val="none" w:sz="0" w:space="0" w:color="auto"/>
        <w:bottom w:val="none" w:sz="0" w:space="0" w:color="auto"/>
        <w:right w:val="none" w:sz="0" w:space="0" w:color="auto"/>
      </w:divBdr>
      <w:divsChild>
        <w:div w:id="1001737782">
          <w:marLeft w:val="0"/>
          <w:marRight w:val="0"/>
          <w:marTop w:val="0"/>
          <w:marBottom w:val="0"/>
          <w:divBdr>
            <w:top w:val="none" w:sz="0" w:space="0" w:color="auto"/>
            <w:left w:val="none" w:sz="0" w:space="0" w:color="auto"/>
            <w:bottom w:val="none" w:sz="0" w:space="0" w:color="auto"/>
            <w:right w:val="none" w:sz="0" w:space="0" w:color="auto"/>
          </w:divBdr>
        </w:div>
      </w:divsChild>
    </w:div>
    <w:div w:id="157113909">
      <w:bodyDiv w:val="1"/>
      <w:marLeft w:val="0"/>
      <w:marRight w:val="0"/>
      <w:marTop w:val="0"/>
      <w:marBottom w:val="0"/>
      <w:divBdr>
        <w:top w:val="none" w:sz="0" w:space="0" w:color="auto"/>
        <w:left w:val="none" w:sz="0" w:space="0" w:color="auto"/>
        <w:bottom w:val="none" w:sz="0" w:space="0" w:color="auto"/>
        <w:right w:val="none" w:sz="0" w:space="0" w:color="auto"/>
      </w:divBdr>
    </w:div>
    <w:div w:id="170874498">
      <w:bodyDiv w:val="1"/>
      <w:marLeft w:val="0"/>
      <w:marRight w:val="0"/>
      <w:marTop w:val="0"/>
      <w:marBottom w:val="0"/>
      <w:divBdr>
        <w:top w:val="none" w:sz="0" w:space="0" w:color="auto"/>
        <w:left w:val="none" w:sz="0" w:space="0" w:color="auto"/>
        <w:bottom w:val="none" w:sz="0" w:space="0" w:color="auto"/>
        <w:right w:val="none" w:sz="0" w:space="0" w:color="auto"/>
      </w:divBdr>
    </w:div>
    <w:div w:id="178586057">
      <w:bodyDiv w:val="1"/>
      <w:marLeft w:val="0"/>
      <w:marRight w:val="0"/>
      <w:marTop w:val="0"/>
      <w:marBottom w:val="0"/>
      <w:divBdr>
        <w:top w:val="none" w:sz="0" w:space="0" w:color="auto"/>
        <w:left w:val="none" w:sz="0" w:space="0" w:color="auto"/>
        <w:bottom w:val="none" w:sz="0" w:space="0" w:color="auto"/>
        <w:right w:val="none" w:sz="0" w:space="0" w:color="auto"/>
      </w:divBdr>
    </w:div>
    <w:div w:id="214705757">
      <w:bodyDiv w:val="1"/>
      <w:marLeft w:val="0"/>
      <w:marRight w:val="0"/>
      <w:marTop w:val="0"/>
      <w:marBottom w:val="0"/>
      <w:divBdr>
        <w:top w:val="none" w:sz="0" w:space="0" w:color="auto"/>
        <w:left w:val="none" w:sz="0" w:space="0" w:color="auto"/>
        <w:bottom w:val="none" w:sz="0" w:space="0" w:color="auto"/>
        <w:right w:val="none" w:sz="0" w:space="0" w:color="auto"/>
      </w:divBdr>
    </w:div>
    <w:div w:id="216747973">
      <w:bodyDiv w:val="1"/>
      <w:marLeft w:val="0"/>
      <w:marRight w:val="0"/>
      <w:marTop w:val="0"/>
      <w:marBottom w:val="0"/>
      <w:divBdr>
        <w:top w:val="none" w:sz="0" w:space="0" w:color="auto"/>
        <w:left w:val="none" w:sz="0" w:space="0" w:color="auto"/>
        <w:bottom w:val="none" w:sz="0" w:space="0" w:color="auto"/>
        <w:right w:val="none" w:sz="0" w:space="0" w:color="auto"/>
      </w:divBdr>
      <w:divsChild>
        <w:div w:id="1366443063">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34315671">
      <w:bodyDiv w:val="1"/>
      <w:marLeft w:val="0"/>
      <w:marRight w:val="0"/>
      <w:marTop w:val="0"/>
      <w:marBottom w:val="0"/>
      <w:divBdr>
        <w:top w:val="none" w:sz="0" w:space="0" w:color="auto"/>
        <w:left w:val="none" w:sz="0" w:space="0" w:color="auto"/>
        <w:bottom w:val="none" w:sz="0" w:space="0" w:color="auto"/>
        <w:right w:val="none" w:sz="0" w:space="0" w:color="auto"/>
      </w:divBdr>
    </w:div>
    <w:div w:id="245772554">
      <w:bodyDiv w:val="1"/>
      <w:marLeft w:val="0"/>
      <w:marRight w:val="0"/>
      <w:marTop w:val="0"/>
      <w:marBottom w:val="0"/>
      <w:divBdr>
        <w:top w:val="none" w:sz="0" w:space="0" w:color="auto"/>
        <w:left w:val="none" w:sz="0" w:space="0" w:color="auto"/>
        <w:bottom w:val="none" w:sz="0" w:space="0" w:color="auto"/>
        <w:right w:val="none" w:sz="0" w:space="0" w:color="auto"/>
      </w:divBdr>
    </w:div>
    <w:div w:id="273484904">
      <w:bodyDiv w:val="1"/>
      <w:marLeft w:val="0"/>
      <w:marRight w:val="0"/>
      <w:marTop w:val="0"/>
      <w:marBottom w:val="0"/>
      <w:divBdr>
        <w:top w:val="none" w:sz="0" w:space="0" w:color="auto"/>
        <w:left w:val="none" w:sz="0" w:space="0" w:color="auto"/>
        <w:bottom w:val="none" w:sz="0" w:space="0" w:color="auto"/>
        <w:right w:val="none" w:sz="0" w:space="0" w:color="auto"/>
      </w:divBdr>
    </w:div>
    <w:div w:id="275986043">
      <w:bodyDiv w:val="1"/>
      <w:marLeft w:val="0"/>
      <w:marRight w:val="0"/>
      <w:marTop w:val="0"/>
      <w:marBottom w:val="0"/>
      <w:divBdr>
        <w:top w:val="none" w:sz="0" w:space="0" w:color="auto"/>
        <w:left w:val="none" w:sz="0" w:space="0" w:color="auto"/>
        <w:bottom w:val="none" w:sz="0" w:space="0" w:color="auto"/>
        <w:right w:val="none" w:sz="0" w:space="0" w:color="auto"/>
      </w:divBdr>
    </w:div>
    <w:div w:id="297884524">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363292803">
      <w:bodyDiv w:val="1"/>
      <w:marLeft w:val="0"/>
      <w:marRight w:val="0"/>
      <w:marTop w:val="0"/>
      <w:marBottom w:val="0"/>
      <w:divBdr>
        <w:top w:val="none" w:sz="0" w:space="0" w:color="auto"/>
        <w:left w:val="none" w:sz="0" w:space="0" w:color="auto"/>
        <w:bottom w:val="none" w:sz="0" w:space="0" w:color="auto"/>
        <w:right w:val="none" w:sz="0" w:space="0" w:color="auto"/>
      </w:divBdr>
    </w:div>
    <w:div w:id="372118574">
      <w:bodyDiv w:val="1"/>
      <w:marLeft w:val="0"/>
      <w:marRight w:val="0"/>
      <w:marTop w:val="0"/>
      <w:marBottom w:val="0"/>
      <w:divBdr>
        <w:top w:val="none" w:sz="0" w:space="0" w:color="auto"/>
        <w:left w:val="none" w:sz="0" w:space="0" w:color="auto"/>
        <w:bottom w:val="none" w:sz="0" w:space="0" w:color="auto"/>
        <w:right w:val="none" w:sz="0" w:space="0" w:color="auto"/>
      </w:divBdr>
    </w:div>
    <w:div w:id="393361169">
      <w:bodyDiv w:val="1"/>
      <w:marLeft w:val="0"/>
      <w:marRight w:val="0"/>
      <w:marTop w:val="0"/>
      <w:marBottom w:val="0"/>
      <w:divBdr>
        <w:top w:val="none" w:sz="0" w:space="0" w:color="auto"/>
        <w:left w:val="none" w:sz="0" w:space="0" w:color="auto"/>
        <w:bottom w:val="none" w:sz="0" w:space="0" w:color="auto"/>
        <w:right w:val="none" w:sz="0" w:space="0" w:color="auto"/>
      </w:divBdr>
    </w:div>
    <w:div w:id="398020703">
      <w:bodyDiv w:val="1"/>
      <w:marLeft w:val="0"/>
      <w:marRight w:val="0"/>
      <w:marTop w:val="0"/>
      <w:marBottom w:val="0"/>
      <w:divBdr>
        <w:top w:val="none" w:sz="0" w:space="0" w:color="auto"/>
        <w:left w:val="none" w:sz="0" w:space="0" w:color="auto"/>
        <w:bottom w:val="none" w:sz="0" w:space="0" w:color="auto"/>
        <w:right w:val="none" w:sz="0" w:space="0" w:color="auto"/>
      </w:divBdr>
    </w:div>
    <w:div w:id="406348621">
      <w:bodyDiv w:val="1"/>
      <w:marLeft w:val="0"/>
      <w:marRight w:val="0"/>
      <w:marTop w:val="0"/>
      <w:marBottom w:val="0"/>
      <w:divBdr>
        <w:top w:val="none" w:sz="0" w:space="0" w:color="auto"/>
        <w:left w:val="none" w:sz="0" w:space="0" w:color="auto"/>
        <w:bottom w:val="none" w:sz="0" w:space="0" w:color="auto"/>
        <w:right w:val="none" w:sz="0" w:space="0" w:color="auto"/>
      </w:divBdr>
    </w:div>
    <w:div w:id="426121378">
      <w:bodyDiv w:val="1"/>
      <w:marLeft w:val="0"/>
      <w:marRight w:val="0"/>
      <w:marTop w:val="0"/>
      <w:marBottom w:val="0"/>
      <w:divBdr>
        <w:top w:val="none" w:sz="0" w:space="0" w:color="auto"/>
        <w:left w:val="none" w:sz="0" w:space="0" w:color="auto"/>
        <w:bottom w:val="none" w:sz="0" w:space="0" w:color="auto"/>
        <w:right w:val="none" w:sz="0" w:space="0" w:color="auto"/>
      </w:divBdr>
    </w:div>
    <w:div w:id="434639122">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458887704">
      <w:bodyDiv w:val="1"/>
      <w:marLeft w:val="0"/>
      <w:marRight w:val="0"/>
      <w:marTop w:val="0"/>
      <w:marBottom w:val="0"/>
      <w:divBdr>
        <w:top w:val="none" w:sz="0" w:space="0" w:color="auto"/>
        <w:left w:val="none" w:sz="0" w:space="0" w:color="auto"/>
        <w:bottom w:val="none" w:sz="0" w:space="0" w:color="auto"/>
        <w:right w:val="none" w:sz="0" w:space="0" w:color="auto"/>
      </w:divBdr>
    </w:div>
    <w:div w:id="482166787">
      <w:bodyDiv w:val="1"/>
      <w:marLeft w:val="0"/>
      <w:marRight w:val="0"/>
      <w:marTop w:val="0"/>
      <w:marBottom w:val="0"/>
      <w:divBdr>
        <w:top w:val="none" w:sz="0" w:space="0" w:color="auto"/>
        <w:left w:val="none" w:sz="0" w:space="0" w:color="auto"/>
        <w:bottom w:val="none" w:sz="0" w:space="0" w:color="auto"/>
        <w:right w:val="none" w:sz="0" w:space="0" w:color="auto"/>
      </w:divBdr>
    </w:div>
    <w:div w:id="497497238">
      <w:bodyDiv w:val="1"/>
      <w:marLeft w:val="0"/>
      <w:marRight w:val="0"/>
      <w:marTop w:val="0"/>
      <w:marBottom w:val="0"/>
      <w:divBdr>
        <w:top w:val="none" w:sz="0" w:space="0" w:color="auto"/>
        <w:left w:val="none" w:sz="0" w:space="0" w:color="auto"/>
        <w:bottom w:val="none" w:sz="0" w:space="0" w:color="auto"/>
        <w:right w:val="none" w:sz="0" w:space="0" w:color="auto"/>
      </w:divBdr>
    </w:div>
    <w:div w:id="501629829">
      <w:bodyDiv w:val="1"/>
      <w:marLeft w:val="0"/>
      <w:marRight w:val="0"/>
      <w:marTop w:val="0"/>
      <w:marBottom w:val="0"/>
      <w:divBdr>
        <w:top w:val="none" w:sz="0" w:space="0" w:color="auto"/>
        <w:left w:val="none" w:sz="0" w:space="0" w:color="auto"/>
        <w:bottom w:val="none" w:sz="0" w:space="0" w:color="auto"/>
        <w:right w:val="none" w:sz="0" w:space="0" w:color="auto"/>
      </w:divBdr>
    </w:div>
    <w:div w:id="509374212">
      <w:bodyDiv w:val="1"/>
      <w:marLeft w:val="0"/>
      <w:marRight w:val="0"/>
      <w:marTop w:val="0"/>
      <w:marBottom w:val="0"/>
      <w:divBdr>
        <w:top w:val="none" w:sz="0" w:space="0" w:color="auto"/>
        <w:left w:val="none" w:sz="0" w:space="0" w:color="auto"/>
        <w:bottom w:val="none" w:sz="0" w:space="0" w:color="auto"/>
        <w:right w:val="none" w:sz="0" w:space="0" w:color="auto"/>
      </w:divBdr>
    </w:div>
    <w:div w:id="510072519">
      <w:bodyDiv w:val="1"/>
      <w:marLeft w:val="0"/>
      <w:marRight w:val="0"/>
      <w:marTop w:val="0"/>
      <w:marBottom w:val="0"/>
      <w:divBdr>
        <w:top w:val="none" w:sz="0" w:space="0" w:color="auto"/>
        <w:left w:val="none" w:sz="0" w:space="0" w:color="auto"/>
        <w:bottom w:val="none" w:sz="0" w:space="0" w:color="auto"/>
        <w:right w:val="none" w:sz="0" w:space="0" w:color="auto"/>
      </w:divBdr>
    </w:div>
    <w:div w:id="512764112">
      <w:bodyDiv w:val="1"/>
      <w:marLeft w:val="0"/>
      <w:marRight w:val="0"/>
      <w:marTop w:val="0"/>
      <w:marBottom w:val="0"/>
      <w:divBdr>
        <w:top w:val="none" w:sz="0" w:space="0" w:color="auto"/>
        <w:left w:val="none" w:sz="0" w:space="0" w:color="auto"/>
        <w:bottom w:val="none" w:sz="0" w:space="0" w:color="auto"/>
        <w:right w:val="none" w:sz="0" w:space="0" w:color="auto"/>
      </w:divBdr>
    </w:div>
    <w:div w:id="517740967">
      <w:bodyDiv w:val="1"/>
      <w:marLeft w:val="0"/>
      <w:marRight w:val="0"/>
      <w:marTop w:val="0"/>
      <w:marBottom w:val="0"/>
      <w:divBdr>
        <w:top w:val="none" w:sz="0" w:space="0" w:color="auto"/>
        <w:left w:val="none" w:sz="0" w:space="0" w:color="auto"/>
        <w:bottom w:val="none" w:sz="0" w:space="0" w:color="auto"/>
        <w:right w:val="none" w:sz="0" w:space="0" w:color="auto"/>
      </w:divBdr>
      <w:divsChild>
        <w:div w:id="203979849">
          <w:marLeft w:val="0"/>
          <w:marRight w:val="0"/>
          <w:marTop w:val="0"/>
          <w:marBottom w:val="0"/>
          <w:divBdr>
            <w:top w:val="none" w:sz="0" w:space="0" w:color="auto"/>
            <w:left w:val="none" w:sz="0" w:space="0" w:color="auto"/>
            <w:bottom w:val="none" w:sz="0" w:space="0" w:color="auto"/>
            <w:right w:val="none" w:sz="0" w:space="0" w:color="auto"/>
          </w:divBdr>
        </w:div>
      </w:divsChild>
    </w:div>
    <w:div w:id="529757128">
      <w:bodyDiv w:val="1"/>
      <w:marLeft w:val="0"/>
      <w:marRight w:val="0"/>
      <w:marTop w:val="0"/>
      <w:marBottom w:val="0"/>
      <w:divBdr>
        <w:top w:val="none" w:sz="0" w:space="0" w:color="auto"/>
        <w:left w:val="none" w:sz="0" w:space="0" w:color="auto"/>
        <w:bottom w:val="none" w:sz="0" w:space="0" w:color="auto"/>
        <w:right w:val="none" w:sz="0" w:space="0" w:color="auto"/>
      </w:divBdr>
    </w:div>
    <w:div w:id="541787564">
      <w:bodyDiv w:val="1"/>
      <w:marLeft w:val="0"/>
      <w:marRight w:val="0"/>
      <w:marTop w:val="0"/>
      <w:marBottom w:val="0"/>
      <w:divBdr>
        <w:top w:val="none" w:sz="0" w:space="0" w:color="auto"/>
        <w:left w:val="none" w:sz="0" w:space="0" w:color="auto"/>
        <w:bottom w:val="none" w:sz="0" w:space="0" w:color="auto"/>
        <w:right w:val="none" w:sz="0" w:space="0" w:color="auto"/>
      </w:divBdr>
    </w:div>
    <w:div w:id="550580669">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11207969">
      <w:bodyDiv w:val="1"/>
      <w:marLeft w:val="0"/>
      <w:marRight w:val="0"/>
      <w:marTop w:val="0"/>
      <w:marBottom w:val="0"/>
      <w:divBdr>
        <w:top w:val="none" w:sz="0" w:space="0" w:color="auto"/>
        <w:left w:val="none" w:sz="0" w:space="0" w:color="auto"/>
        <w:bottom w:val="none" w:sz="0" w:space="0" w:color="auto"/>
        <w:right w:val="none" w:sz="0" w:space="0" w:color="auto"/>
      </w:divBdr>
    </w:div>
    <w:div w:id="659625642">
      <w:bodyDiv w:val="1"/>
      <w:marLeft w:val="0"/>
      <w:marRight w:val="0"/>
      <w:marTop w:val="0"/>
      <w:marBottom w:val="0"/>
      <w:divBdr>
        <w:top w:val="none" w:sz="0" w:space="0" w:color="auto"/>
        <w:left w:val="none" w:sz="0" w:space="0" w:color="auto"/>
        <w:bottom w:val="none" w:sz="0" w:space="0" w:color="auto"/>
        <w:right w:val="none" w:sz="0" w:space="0" w:color="auto"/>
      </w:divBdr>
    </w:div>
    <w:div w:id="681250771">
      <w:bodyDiv w:val="1"/>
      <w:marLeft w:val="0"/>
      <w:marRight w:val="0"/>
      <w:marTop w:val="0"/>
      <w:marBottom w:val="0"/>
      <w:divBdr>
        <w:top w:val="none" w:sz="0" w:space="0" w:color="auto"/>
        <w:left w:val="none" w:sz="0" w:space="0" w:color="auto"/>
        <w:bottom w:val="none" w:sz="0" w:space="0" w:color="auto"/>
        <w:right w:val="none" w:sz="0" w:space="0" w:color="auto"/>
      </w:divBdr>
    </w:div>
    <w:div w:id="692994156">
      <w:bodyDiv w:val="1"/>
      <w:marLeft w:val="0"/>
      <w:marRight w:val="0"/>
      <w:marTop w:val="0"/>
      <w:marBottom w:val="0"/>
      <w:divBdr>
        <w:top w:val="none" w:sz="0" w:space="0" w:color="auto"/>
        <w:left w:val="none" w:sz="0" w:space="0" w:color="auto"/>
        <w:bottom w:val="none" w:sz="0" w:space="0" w:color="auto"/>
        <w:right w:val="none" w:sz="0" w:space="0" w:color="auto"/>
      </w:divBdr>
    </w:div>
    <w:div w:id="708602738">
      <w:bodyDiv w:val="1"/>
      <w:marLeft w:val="0"/>
      <w:marRight w:val="0"/>
      <w:marTop w:val="0"/>
      <w:marBottom w:val="0"/>
      <w:divBdr>
        <w:top w:val="none" w:sz="0" w:space="0" w:color="auto"/>
        <w:left w:val="none" w:sz="0" w:space="0" w:color="auto"/>
        <w:bottom w:val="none" w:sz="0" w:space="0" w:color="auto"/>
        <w:right w:val="none" w:sz="0" w:space="0" w:color="auto"/>
      </w:divBdr>
    </w:div>
    <w:div w:id="745030224">
      <w:bodyDiv w:val="1"/>
      <w:marLeft w:val="0"/>
      <w:marRight w:val="0"/>
      <w:marTop w:val="0"/>
      <w:marBottom w:val="0"/>
      <w:divBdr>
        <w:top w:val="none" w:sz="0" w:space="0" w:color="auto"/>
        <w:left w:val="none" w:sz="0" w:space="0" w:color="auto"/>
        <w:bottom w:val="none" w:sz="0" w:space="0" w:color="auto"/>
        <w:right w:val="none" w:sz="0" w:space="0" w:color="auto"/>
      </w:divBdr>
    </w:div>
    <w:div w:id="754670714">
      <w:bodyDiv w:val="1"/>
      <w:marLeft w:val="0"/>
      <w:marRight w:val="0"/>
      <w:marTop w:val="0"/>
      <w:marBottom w:val="0"/>
      <w:divBdr>
        <w:top w:val="none" w:sz="0" w:space="0" w:color="auto"/>
        <w:left w:val="none" w:sz="0" w:space="0" w:color="auto"/>
        <w:bottom w:val="none" w:sz="0" w:space="0" w:color="auto"/>
        <w:right w:val="none" w:sz="0" w:space="0" w:color="auto"/>
      </w:divBdr>
    </w:div>
    <w:div w:id="754865024">
      <w:bodyDiv w:val="1"/>
      <w:marLeft w:val="0"/>
      <w:marRight w:val="0"/>
      <w:marTop w:val="0"/>
      <w:marBottom w:val="0"/>
      <w:divBdr>
        <w:top w:val="none" w:sz="0" w:space="0" w:color="auto"/>
        <w:left w:val="none" w:sz="0" w:space="0" w:color="auto"/>
        <w:bottom w:val="none" w:sz="0" w:space="0" w:color="auto"/>
        <w:right w:val="none" w:sz="0" w:space="0" w:color="auto"/>
      </w:divBdr>
    </w:div>
    <w:div w:id="770126767">
      <w:bodyDiv w:val="1"/>
      <w:marLeft w:val="0"/>
      <w:marRight w:val="0"/>
      <w:marTop w:val="0"/>
      <w:marBottom w:val="0"/>
      <w:divBdr>
        <w:top w:val="none" w:sz="0" w:space="0" w:color="auto"/>
        <w:left w:val="none" w:sz="0" w:space="0" w:color="auto"/>
        <w:bottom w:val="none" w:sz="0" w:space="0" w:color="auto"/>
        <w:right w:val="none" w:sz="0" w:space="0" w:color="auto"/>
      </w:divBdr>
    </w:div>
    <w:div w:id="793717564">
      <w:bodyDiv w:val="1"/>
      <w:marLeft w:val="0"/>
      <w:marRight w:val="0"/>
      <w:marTop w:val="0"/>
      <w:marBottom w:val="0"/>
      <w:divBdr>
        <w:top w:val="none" w:sz="0" w:space="0" w:color="auto"/>
        <w:left w:val="none" w:sz="0" w:space="0" w:color="auto"/>
        <w:bottom w:val="none" w:sz="0" w:space="0" w:color="auto"/>
        <w:right w:val="none" w:sz="0" w:space="0" w:color="auto"/>
      </w:divBdr>
    </w:div>
    <w:div w:id="799033984">
      <w:bodyDiv w:val="1"/>
      <w:marLeft w:val="0"/>
      <w:marRight w:val="0"/>
      <w:marTop w:val="0"/>
      <w:marBottom w:val="0"/>
      <w:divBdr>
        <w:top w:val="none" w:sz="0" w:space="0" w:color="auto"/>
        <w:left w:val="none" w:sz="0" w:space="0" w:color="auto"/>
        <w:bottom w:val="none" w:sz="0" w:space="0" w:color="auto"/>
        <w:right w:val="none" w:sz="0" w:space="0" w:color="auto"/>
      </w:divBdr>
    </w:div>
    <w:div w:id="817188964">
      <w:bodyDiv w:val="1"/>
      <w:marLeft w:val="0"/>
      <w:marRight w:val="0"/>
      <w:marTop w:val="0"/>
      <w:marBottom w:val="0"/>
      <w:divBdr>
        <w:top w:val="none" w:sz="0" w:space="0" w:color="auto"/>
        <w:left w:val="none" w:sz="0" w:space="0" w:color="auto"/>
        <w:bottom w:val="none" w:sz="0" w:space="0" w:color="auto"/>
        <w:right w:val="none" w:sz="0" w:space="0" w:color="auto"/>
      </w:divBdr>
    </w:div>
    <w:div w:id="830831150">
      <w:bodyDiv w:val="1"/>
      <w:marLeft w:val="0"/>
      <w:marRight w:val="0"/>
      <w:marTop w:val="0"/>
      <w:marBottom w:val="0"/>
      <w:divBdr>
        <w:top w:val="none" w:sz="0" w:space="0" w:color="auto"/>
        <w:left w:val="none" w:sz="0" w:space="0" w:color="auto"/>
        <w:bottom w:val="none" w:sz="0" w:space="0" w:color="auto"/>
        <w:right w:val="none" w:sz="0" w:space="0" w:color="auto"/>
      </w:divBdr>
    </w:div>
    <w:div w:id="832985163">
      <w:bodyDiv w:val="1"/>
      <w:marLeft w:val="0"/>
      <w:marRight w:val="0"/>
      <w:marTop w:val="0"/>
      <w:marBottom w:val="0"/>
      <w:divBdr>
        <w:top w:val="none" w:sz="0" w:space="0" w:color="auto"/>
        <w:left w:val="none" w:sz="0" w:space="0" w:color="auto"/>
        <w:bottom w:val="none" w:sz="0" w:space="0" w:color="auto"/>
        <w:right w:val="none" w:sz="0" w:space="0" w:color="auto"/>
      </w:divBdr>
    </w:div>
    <w:div w:id="838231463">
      <w:bodyDiv w:val="1"/>
      <w:marLeft w:val="0"/>
      <w:marRight w:val="0"/>
      <w:marTop w:val="0"/>
      <w:marBottom w:val="0"/>
      <w:divBdr>
        <w:top w:val="none" w:sz="0" w:space="0" w:color="auto"/>
        <w:left w:val="none" w:sz="0" w:space="0" w:color="auto"/>
        <w:bottom w:val="none" w:sz="0" w:space="0" w:color="auto"/>
        <w:right w:val="none" w:sz="0" w:space="0" w:color="auto"/>
      </w:divBdr>
    </w:div>
    <w:div w:id="858739516">
      <w:bodyDiv w:val="1"/>
      <w:marLeft w:val="0"/>
      <w:marRight w:val="0"/>
      <w:marTop w:val="0"/>
      <w:marBottom w:val="0"/>
      <w:divBdr>
        <w:top w:val="none" w:sz="0" w:space="0" w:color="auto"/>
        <w:left w:val="none" w:sz="0" w:space="0" w:color="auto"/>
        <w:bottom w:val="none" w:sz="0" w:space="0" w:color="auto"/>
        <w:right w:val="none" w:sz="0" w:space="0" w:color="auto"/>
      </w:divBdr>
    </w:div>
    <w:div w:id="883172950">
      <w:bodyDiv w:val="1"/>
      <w:marLeft w:val="0"/>
      <w:marRight w:val="0"/>
      <w:marTop w:val="0"/>
      <w:marBottom w:val="0"/>
      <w:divBdr>
        <w:top w:val="none" w:sz="0" w:space="0" w:color="auto"/>
        <w:left w:val="none" w:sz="0" w:space="0" w:color="auto"/>
        <w:bottom w:val="none" w:sz="0" w:space="0" w:color="auto"/>
        <w:right w:val="none" w:sz="0" w:space="0" w:color="auto"/>
      </w:divBdr>
    </w:div>
    <w:div w:id="913008575">
      <w:bodyDiv w:val="1"/>
      <w:marLeft w:val="0"/>
      <w:marRight w:val="0"/>
      <w:marTop w:val="0"/>
      <w:marBottom w:val="0"/>
      <w:divBdr>
        <w:top w:val="none" w:sz="0" w:space="0" w:color="auto"/>
        <w:left w:val="none" w:sz="0" w:space="0" w:color="auto"/>
        <w:bottom w:val="none" w:sz="0" w:space="0" w:color="auto"/>
        <w:right w:val="none" w:sz="0" w:space="0" w:color="auto"/>
      </w:divBdr>
    </w:div>
    <w:div w:id="923342633">
      <w:bodyDiv w:val="1"/>
      <w:marLeft w:val="0"/>
      <w:marRight w:val="0"/>
      <w:marTop w:val="0"/>
      <w:marBottom w:val="0"/>
      <w:divBdr>
        <w:top w:val="none" w:sz="0" w:space="0" w:color="auto"/>
        <w:left w:val="none" w:sz="0" w:space="0" w:color="auto"/>
        <w:bottom w:val="none" w:sz="0" w:space="0" w:color="auto"/>
        <w:right w:val="none" w:sz="0" w:space="0" w:color="auto"/>
      </w:divBdr>
    </w:div>
    <w:div w:id="924152361">
      <w:bodyDiv w:val="1"/>
      <w:marLeft w:val="0"/>
      <w:marRight w:val="0"/>
      <w:marTop w:val="0"/>
      <w:marBottom w:val="0"/>
      <w:divBdr>
        <w:top w:val="none" w:sz="0" w:space="0" w:color="auto"/>
        <w:left w:val="none" w:sz="0" w:space="0" w:color="auto"/>
        <w:bottom w:val="none" w:sz="0" w:space="0" w:color="auto"/>
        <w:right w:val="none" w:sz="0" w:space="0" w:color="auto"/>
      </w:divBdr>
    </w:div>
    <w:div w:id="931863552">
      <w:bodyDiv w:val="1"/>
      <w:marLeft w:val="0"/>
      <w:marRight w:val="0"/>
      <w:marTop w:val="0"/>
      <w:marBottom w:val="0"/>
      <w:divBdr>
        <w:top w:val="none" w:sz="0" w:space="0" w:color="auto"/>
        <w:left w:val="none" w:sz="0" w:space="0" w:color="auto"/>
        <w:bottom w:val="none" w:sz="0" w:space="0" w:color="auto"/>
        <w:right w:val="none" w:sz="0" w:space="0" w:color="auto"/>
      </w:divBdr>
    </w:div>
    <w:div w:id="961808340">
      <w:bodyDiv w:val="1"/>
      <w:marLeft w:val="0"/>
      <w:marRight w:val="0"/>
      <w:marTop w:val="0"/>
      <w:marBottom w:val="0"/>
      <w:divBdr>
        <w:top w:val="none" w:sz="0" w:space="0" w:color="auto"/>
        <w:left w:val="none" w:sz="0" w:space="0" w:color="auto"/>
        <w:bottom w:val="none" w:sz="0" w:space="0" w:color="auto"/>
        <w:right w:val="none" w:sz="0" w:space="0" w:color="auto"/>
      </w:divBdr>
    </w:div>
    <w:div w:id="992295419">
      <w:bodyDiv w:val="1"/>
      <w:marLeft w:val="0"/>
      <w:marRight w:val="0"/>
      <w:marTop w:val="0"/>
      <w:marBottom w:val="0"/>
      <w:divBdr>
        <w:top w:val="none" w:sz="0" w:space="0" w:color="auto"/>
        <w:left w:val="none" w:sz="0" w:space="0" w:color="auto"/>
        <w:bottom w:val="none" w:sz="0" w:space="0" w:color="auto"/>
        <w:right w:val="none" w:sz="0" w:space="0" w:color="auto"/>
      </w:divBdr>
    </w:div>
    <w:div w:id="101141961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41050445">
      <w:bodyDiv w:val="1"/>
      <w:marLeft w:val="0"/>
      <w:marRight w:val="0"/>
      <w:marTop w:val="0"/>
      <w:marBottom w:val="0"/>
      <w:divBdr>
        <w:top w:val="none" w:sz="0" w:space="0" w:color="auto"/>
        <w:left w:val="none" w:sz="0" w:space="0" w:color="auto"/>
        <w:bottom w:val="none" w:sz="0" w:space="0" w:color="auto"/>
        <w:right w:val="none" w:sz="0" w:space="0" w:color="auto"/>
      </w:divBdr>
    </w:div>
    <w:div w:id="1061951292">
      <w:bodyDiv w:val="1"/>
      <w:marLeft w:val="0"/>
      <w:marRight w:val="0"/>
      <w:marTop w:val="0"/>
      <w:marBottom w:val="0"/>
      <w:divBdr>
        <w:top w:val="none" w:sz="0" w:space="0" w:color="auto"/>
        <w:left w:val="none" w:sz="0" w:space="0" w:color="auto"/>
        <w:bottom w:val="none" w:sz="0" w:space="0" w:color="auto"/>
        <w:right w:val="none" w:sz="0" w:space="0" w:color="auto"/>
      </w:divBdr>
    </w:div>
    <w:div w:id="1071928009">
      <w:bodyDiv w:val="1"/>
      <w:marLeft w:val="0"/>
      <w:marRight w:val="0"/>
      <w:marTop w:val="0"/>
      <w:marBottom w:val="0"/>
      <w:divBdr>
        <w:top w:val="none" w:sz="0" w:space="0" w:color="auto"/>
        <w:left w:val="none" w:sz="0" w:space="0" w:color="auto"/>
        <w:bottom w:val="none" w:sz="0" w:space="0" w:color="auto"/>
        <w:right w:val="none" w:sz="0" w:space="0" w:color="auto"/>
      </w:divBdr>
      <w:divsChild>
        <w:div w:id="1306281480">
          <w:blockQuote w:val="1"/>
          <w:marLeft w:val="0"/>
          <w:marRight w:val="0"/>
          <w:marTop w:val="0"/>
          <w:marBottom w:val="0"/>
          <w:divBdr>
            <w:top w:val="none" w:sz="0" w:space="0" w:color="auto"/>
            <w:left w:val="single" w:sz="6" w:space="18" w:color="999999"/>
            <w:bottom w:val="none" w:sz="0" w:space="0" w:color="auto"/>
            <w:right w:val="none" w:sz="0" w:space="0" w:color="auto"/>
          </w:divBdr>
          <w:divsChild>
            <w:div w:id="717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8360720">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11053368">
      <w:bodyDiv w:val="1"/>
      <w:marLeft w:val="0"/>
      <w:marRight w:val="0"/>
      <w:marTop w:val="0"/>
      <w:marBottom w:val="0"/>
      <w:divBdr>
        <w:top w:val="none" w:sz="0" w:space="0" w:color="auto"/>
        <w:left w:val="none" w:sz="0" w:space="0" w:color="auto"/>
        <w:bottom w:val="none" w:sz="0" w:space="0" w:color="auto"/>
        <w:right w:val="none" w:sz="0" w:space="0" w:color="auto"/>
      </w:divBdr>
    </w:div>
    <w:div w:id="1116872771">
      <w:bodyDiv w:val="1"/>
      <w:marLeft w:val="0"/>
      <w:marRight w:val="0"/>
      <w:marTop w:val="0"/>
      <w:marBottom w:val="0"/>
      <w:divBdr>
        <w:top w:val="none" w:sz="0" w:space="0" w:color="auto"/>
        <w:left w:val="none" w:sz="0" w:space="0" w:color="auto"/>
        <w:bottom w:val="none" w:sz="0" w:space="0" w:color="auto"/>
        <w:right w:val="none" w:sz="0" w:space="0" w:color="auto"/>
      </w:divBdr>
    </w:div>
    <w:div w:id="1138955158">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153569151">
      <w:bodyDiv w:val="1"/>
      <w:marLeft w:val="0"/>
      <w:marRight w:val="0"/>
      <w:marTop w:val="0"/>
      <w:marBottom w:val="0"/>
      <w:divBdr>
        <w:top w:val="none" w:sz="0" w:space="0" w:color="auto"/>
        <w:left w:val="none" w:sz="0" w:space="0" w:color="auto"/>
        <w:bottom w:val="none" w:sz="0" w:space="0" w:color="auto"/>
        <w:right w:val="none" w:sz="0" w:space="0" w:color="auto"/>
      </w:divBdr>
    </w:div>
    <w:div w:id="1167751992">
      <w:bodyDiv w:val="1"/>
      <w:marLeft w:val="0"/>
      <w:marRight w:val="0"/>
      <w:marTop w:val="0"/>
      <w:marBottom w:val="0"/>
      <w:divBdr>
        <w:top w:val="none" w:sz="0" w:space="0" w:color="auto"/>
        <w:left w:val="none" w:sz="0" w:space="0" w:color="auto"/>
        <w:bottom w:val="none" w:sz="0" w:space="0" w:color="auto"/>
        <w:right w:val="none" w:sz="0" w:space="0" w:color="auto"/>
      </w:divBdr>
    </w:div>
    <w:div w:id="1169753929">
      <w:bodyDiv w:val="1"/>
      <w:marLeft w:val="0"/>
      <w:marRight w:val="0"/>
      <w:marTop w:val="0"/>
      <w:marBottom w:val="0"/>
      <w:divBdr>
        <w:top w:val="none" w:sz="0" w:space="0" w:color="auto"/>
        <w:left w:val="none" w:sz="0" w:space="0" w:color="auto"/>
        <w:bottom w:val="none" w:sz="0" w:space="0" w:color="auto"/>
        <w:right w:val="none" w:sz="0" w:space="0" w:color="auto"/>
      </w:divBdr>
    </w:div>
    <w:div w:id="1178929612">
      <w:bodyDiv w:val="1"/>
      <w:marLeft w:val="0"/>
      <w:marRight w:val="0"/>
      <w:marTop w:val="0"/>
      <w:marBottom w:val="0"/>
      <w:divBdr>
        <w:top w:val="none" w:sz="0" w:space="0" w:color="auto"/>
        <w:left w:val="none" w:sz="0" w:space="0" w:color="auto"/>
        <w:bottom w:val="none" w:sz="0" w:space="0" w:color="auto"/>
        <w:right w:val="none" w:sz="0" w:space="0" w:color="auto"/>
      </w:divBdr>
    </w:div>
    <w:div w:id="1210872945">
      <w:bodyDiv w:val="1"/>
      <w:marLeft w:val="0"/>
      <w:marRight w:val="0"/>
      <w:marTop w:val="0"/>
      <w:marBottom w:val="0"/>
      <w:divBdr>
        <w:top w:val="none" w:sz="0" w:space="0" w:color="auto"/>
        <w:left w:val="none" w:sz="0" w:space="0" w:color="auto"/>
        <w:bottom w:val="none" w:sz="0" w:space="0" w:color="auto"/>
        <w:right w:val="none" w:sz="0" w:space="0" w:color="auto"/>
      </w:divBdr>
    </w:div>
    <w:div w:id="1228807922">
      <w:bodyDiv w:val="1"/>
      <w:marLeft w:val="0"/>
      <w:marRight w:val="0"/>
      <w:marTop w:val="0"/>
      <w:marBottom w:val="0"/>
      <w:divBdr>
        <w:top w:val="none" w:sz="0" w:space="0" w:color="auto"/>
        <w:left w:val="none" w:sz="0" w:space="0" w:color="auto"/>
        <w:bottom w:val="none" w:sz="0" w:space="0" w:color="auto"/>
        <w:right w:val="none" w:sz="0" w:space="0" w:color="auto"/>
      </w:divBdr>
      <w:divsChild>
        <w:div w:id="150608519">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257402588">
      <w:bodyDiv w:val="1"/>
      <w:marLeft w:val="0"/>
      <w:marRight w:val="0"/>
      <w:marTop w:val="0"/>
      <w:marBottom w:val="0"/>
      <w:divBdr>
        <w:top w:val="none" w:sz="0" w:space="0" w:color="auto"/>
        <w:left w:val="none" w:sz="0" w:space="0" w:color="auto"/>
        <w:bottom w:val="none" w:sz="0" w:space="0" w:color="auto"/>
        <w:right w:val="none" w:sz="0" w:space="0" w:color="auto"/>
      </w:divBdr>
      <w:divsChild>
        <w:div w:id="315719410">
          <w:blockQuote w:val="1"/>
          <w:marLeft w:val="0"/>
          <w:marRight w:val="0"/>
          <w:marTop w:val="0"/>
          <w:marBottom w:val="0"/>
          <w:divBdr>
            <w:top w:val="none" w:sz="0" w:space="0" w:color="auto"/>
            <w:left w:val="single" w:sz="6" w:space="18" w:color="999999"/>
            <w:bottom w:val="none" w:sz="0" w:space="0" w:color="auto"/>
            <w:right w:val="none" w:sz="0" w:space="0" w:color="auto"/>
          </w:divBdr>
          <w:divsChild>
            <w:div w:id="2005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99578">
      <w:bodyDiv w:val="1"/>
      <w:marLeft w:val="0"/>
      <w:marRight w:val="0"/>
      <w:marTop w:val="0"/>
      <w:marBottom w:val="0"/>
      <w:divBdr>
        <w:top w:val="none" w:sz="0" w:space="0" w:color="auto"/>
        <w:left w:val="none" w:sz="0" w:space="0" w:color="auto"/>
        <w:bottom w:val="none" w:sz="0" w:space="0" w:color="auto"/>
        <w:right w:val="none" w:sz="0" w:space="0" w:color="auto"/>
      </w:divBdr>
    </w:div>
    <w:div w:id="1314410330">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26400105">
      <w:bodyDiv w:val="1"/>
      <w:marLeft w:val="0"/>
      <w:marRight w:val="0"/>
      <w:marTop w:val="0"/>
      <w:marBottom w:val="0"/>
      <w:divBdr>
        <w:top w:val="none" w:sz="0" w:space="0" w:color="auto"/>
        <w:left w:val="none" w:sz="0" w:space="0" w:color="auto"/>
        <w:bottom w:val="none" w:sz="0" w:space="0" w:color="auto"/>
        <w:right w:val="none" w:sz="0" w:space="0" w:color="auto"/>
      </w:divBdr>
    </w:div>
    <w:div w:id="1336029420">
      <w:bodyDiv w:val="1"/>
      <w:marLeft w:val="0"/>
      <w:marRight w:val="0"/>
      <w:marTop w:val="0"/>
      <w:marBottom w:val="0"/>
      <w:divBdr>
        <w:top w:val="none" w:sz="0" w:space="0" w:color="auto"/>
        <w:left w:val="none" w:sz="0" w:space="0" w:color="auto"/>
        <w:bottom w:val="none" w:sz="0" w:space="0" w:color="auto"/>
        <w:right w:val="none" w:sz="0" w:space="0" w:color="auto"/>
      </w:divBdr>
    </w:div>
    <w:div w:id="1357923134">
      <w:bodyDiv w:val="1"/>
      <w:marLeft w:val="0"/>
      <w:marRight w:val="0"/>
      <w:marTop w:val="0"/>
      <w:marBottom w:val="0"/>
      <w:divBdr>
        <w:top w:val="none" w:sz="0" w:space="0" w:color="auto"/>
        <w:left w:val="none" w:sz="0" w:space="0" w:color="auto"/>
        <w:bottom w:val="none" w:sz="0" w:space="0" w:color="auto"/>
        <w:right w:val="none" w:sz="0" w:space="0" w:color="auto"/>
      </w:divBdr>
    </w:div>
    <w:div w:id="1358501095">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395396185">
      <w:bodyDiv w:val="1"/>
      <w:marLeft w:val="0"/>
      <w:marRight w:val="0"/>
      <w:marTop w:val="0"/>
      <w:marBottom w:val="0"/>
      <w:divBdr>
        <w:top w:val="none" w:sz="0" w:space="0" w:color="auto"/>
        <w:left w:val="none" w:sz="0" w:space="0" w:color="auto"/>
        <w:bottom w:val="none" w:sz="0" w:space="0" w:color="auto"/>
        <w:right w:val="none" w:sz="0" w:space="0" w:color="auto"/>
      </w:divBdr>
    </w:div>
    <w:div w:id="1407606206">
      <w:bodyDiv w:val="1"/>
      <w:marLeft w:val="0"/>
      <w:marRight w:val="0"/>
      <w:marTop w:val="0"/>
      <w:marBottom w:val="0"/>
      <w:divBdr>
        <w:top w:val="none" w:sz="0" w:space="0" w:color="auto"/>
        <w:left w:val="none" w:sz="0" w:space="0" w:color="auto"/>
        <w:bottom w:val="none" w:sz="0" w:space="0" w:color="auto"/>
        <w:right w:val="none" w:sz="0" w:space="0" w:color="auto"/>
      </w:divBdr>
    </w:div>
    <w:div w:id="1409572128">
      <w:bodyDiv w:val="1"/>
      <w:marLeft w:val="0"/>
      <w:marRight w:val="0"/>
      <w:marTop w:val="0"/>
      <w:marBottom w:val="0"/>
      <w:divBdr>
        <w:top w:val="none" w:sz="0" w:space="0" w:color="auto"/>
        <w:left w:val="none" w:sz="0" w:space="0" w:color="auto"/>
        <w:bottom w:val="none" w:sz="0" w:space="0" w:color="auto"/>
        <w:right w:val="none" w:sz="0" w:space="0" w:color="auto"/>
      </w:divBdr>
    </w:div>
    <w:div w:id="1412047833">
      <w:bodyDiv w:val="1"/>
      <w:marLeft w:val="0"/>
      <w:marRight w:val="0"/>
      <w:marTop w:val="0"/>
      <w:marBottom w:val="0"/>
      <w:divBdr>
        <w:top w:val="none" w:sz="0" w:space="0" w:color="auto"/>
        <w:left w:val="none" w:sz="0" w:space="0" w:color="auto"/>
        <w:bottom w:val="none" w:sz="0" w:space="0" w:color="auto"/>
        <w:right w:val="none" w:sz="0" w:space="0" w:color="auto"/>
      </w:divBdr>
    </w:div>
    <w:div w:id="1415394616">
      <w:bodyDiv w:val="1"/>
      <w:marLeft w:val="0"/>
      <w:marRight w:val="0"/>
      <w:marTop w:val="0"/>
      <w:marBottom w:val="0"/>
      <w:divBdr>
        <w:top w:val="none" w:sz="0" w:space="0" w:color="auto"/>
        <w:left w:val="none" w:sz="0" w:space="0" w:color="auto"/>
        <w:bottom w:val="none" w:sz="0" w:space="0" w:color="auto"/>
        <w:right w:val="none" w:sz="0" w:space="0" w:color="auto"/>
      </w:divBdr>
    </w:div>
    <w:div w:id="1432897492">
      <w:bodyDiv w:val="1"/>
      <w:marLeft w:val="0"/>
      <w:marRight w:val="0"/>
      <w:marTop w:val="0"/>
      <w:marBottom w:val="0"/>
      <w:divBdr>
        <w:top w:val="none" w:sz="0" w:space="0" w:color="auto"/>
        <w:left w:val="none" w:sz="0" w:space="0" w:color="auto"/>
        <w:bottom w:val="none" w:sz="0" w:space="0" w:color="auto"/>
        <w:right w:val="none" w:sz="0" w:space="0" w:color="auto"/>
      </w:divBdr>
    </w:div>
    <w:div w:id="1445536228">
      <w:bodyDiv w:val="1"/>
      <w:marLeft w:val="0"/>
      <w:marRight w:val="0"/>
      <w:marTop w:val="0"/>
      <w:marBottom w:val="0"/>
      <w:divBdr>
        <w:top w:val="none" w:sz="0" w:space="0" w:color="auto"/>
        <w:left w:val="none" w:sz="0" w:space="0" w:color="auto"/>
        <w:bottom w:val="none" w:sz="0" w:space="0" w:color="auto"/>
        <w:right w:val="none" w:sz="0" w:space="0" w:color="auto"/>
      </w:divBdr>
    </w:div>
    <w:div w:id="1478843517">
      <w:bodyDiv w:val="1"/>
      <w:marLeft w:val="0"/>
      <w:marRight w:val="0"/>
      <w:marTop w:val="0"/>
      <w:marBottom w:val="0"/>
      <w:divBdr>
        <w:top w:val="none" w:sz="0" w:space="0" w:color="auto"/>
        <w:left w:val="none" w:sz="0" w:space="0" w:color="auto"/>
        <w:bottom w:val="none" w:sz="0" w:space="0" w:color="auto"/>
        <w:right w:val="none" w:sz="0" w:space="0" w:color="auto"/>
      </w:divBdr>
    </w:div>
    <w:div w:id="1534343628">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574048904">
      <w:bodyDiv w:val="1"/>
      <w:marLeft w:val="0"/>
      <w:marRight w:val="0"/>
      <w:marTop w:val="0"/>
      <w:marBottom w:val="0"/>
      <w:divBdr>
        <w:top w:val="none" w:sz="0" w:space="0" w:color="auto"/>
        <w:left w:val="none" w:sz="0" w:space="0" w:color="auto"/>
        <w:bottom w:val="none" w:sz="0" w:space="0" w:color="auto"/>
        <w:right w:val="none" w:sz="0" w:space="0" w:color="auto"/>
      </w:divBdr>
    </w:div>
    <w:div w:id="1609003207">
      <w:bodyDiv w:val="1"/>
      <w:marLeft w:val="0"/>
      <w:marRight w:val="0"/>
      <w:marTop w:val="0"/>
      <w:marBottom w:val="0"/>
      <w:divBdr>
        <w:top w:val="none" w:sz="0" w:space="0" w:color="auto"/>
        <w:left w:val="none" w:sz="0" w:space="0" w:color="auto"/>
        <w:bottom w:val="none" w:sz="0" w:space="0" w:color="auto"/>
        <w:right w:val="none" w:sz="0" w:space="0" w:color="auto"/>
      </w:divBdr>
    </w:div>
    <w:div w:id="1627468672">
      <w:bodyDiv w:val="1"/>
      <w:marLeft w:val="0"/>
      <w:marRight w:val="0"/>
      <w:marTop w:val="0"/>
      <w:marBottom w:val="0"/>
      <w:divBdr>
        <w:top w:val="none" w:sz="0" w:space="0" w:color="auto"/>
        <w:left w:val="none" w:sz="0" w:space="0" w:color="auto"/>
        <w:bottom w:val="none" w:sz="0" w:space="0" w:color="auto"/>
        <w:right w:val="none" w:sz="0" w:space="0" w:color="auto"/>
      </w:divBdr>
    </w:div>
    <w:div w:id="1642078899">
      <w:bodyDiv w:val="1"/>
      <w:marLeft w:val="0"/>
      <w:marRight w:val="0"/>
      <w:marTop w:val="0"/>
      <w:marBottom w:val="0"/>
      <w:divBdr>
        <w:top w:val="none" w:sz="0" w:space="0" w:color="auto"/>
        <w:left w:val="none" w:sz="0" w:space="0" w:color="auto"/>
        <w:bottom w:val="none" w:sz="0" w:space="0" w:color="auto"/>
        <w:right w:val="none" w:sz="0" w:space="0" w:color="auto"/>
      </w:divBdr>
    </w:div>
    <w:div w:id="1702047871">
      <w:bodyDiv w:val="1"/>
      <w:marLeft w:val="0"/>
      <w:marRight w:val="0"/>
      <w:marTop w:val="0"/>
      <w:marBottom w:val="0"/>
      <w:divBdr>
        <w:top w:val="none" w:sz="0" w:space="0" w:color="auto"/>
        <w:left w:val="none" w:sz="0" w:space="0" w:color="auto"/>
        <w:bottom w:val="none" w:sz="0" w:space="0" w:color="auto"/>
        <w:right w:val="none" w:sz="0" w:space="0" w:color="auto"/>
      </w:divBdr>
    </w:div>
    <w:div w:id="1703358659">
      <w:bodyDiv w:val="1"/>
      <w:marLeft w:val="0"/>
      <w:marRight w:val="0"/>
      <w:marTop w:val="0"/>
      <w:marBottom w:val="0"/>
      <w:divBdr>
        <w:top w:val="none" w:sz="0" w:space="0" w:color="auto"/>
        <w:left w:val="none" w:sz="0" w:space="0" w:color="auto"/>
        <w:bottom w:val="none" w:sz="0" w:space="0" w:color="auto"/>
        <w:right w:val="none" w:sz="0" w:space="0" w:color="auto"/>
      </w:divBdr>
    </w:div>
    <w:div w:id="1719862602">
      <w:bodyDiv w:val="1"/>
      <w:marLeft w:val="0"/>
      <w:marRight w:val="0"/>
      <w:marTop w:val="0"/>
      <w:marBottom w:val="0"/>
      <w:divBdr>
        <w:top w:val="none" w:sz="0" w:space="0" w:color="auto"/>
        <w:left w:val="none" w:sz="0" w:space="0" w:color="auto"/>
        <w:bottom w:val="none" w:sz="0" w:space="0" w:color="auto"/>
        <w:right w:val="none" w:sz="0" w:space="0" w:color="auto"/>
      </w:divBdr>
    </w:div>
    <w:div w:id="1721054504">
      <w:bodyDiv w:val="1"/>
      <w:marLeft w:val="0"/>
      <w:marRight w:val="0"/>
      <w:marTop w:val="0"/>
      <w:marBottom w:val="0"/>
      <w:divBdr>
        <w:top w:val="none" w:sz="0" w:space="0" w:color="auto"/>
        <w:left w:val="none" w:sz="0" w:space="0" w:color="auto"/>
        <w:bottom w:val="none" w:sz="0" w:space="0" w:color="auto"/>
        <w:right w:val="none" w:sz="0" w:space="0" w:color="auto"/>
      </w:divBdr>
    </w:div>
    <w:div w:id="1742480363">
      <w:bodyDiv w:val="1"/>
      <w:marLeft w:val="0"/>
      <w:marRight w:val="0"/>
      <w:marTop w:val="0"/>
      <w:marBottom w:val="0"/>
      <w:divBdr>
        <w:top w:val="none" w:sz="0" w:space="0" w:color="auto"/>
        <w:left w:val="none" w:sz="0" w:space="0" w:color="auto"/>
        <w:bottom w:val="none" w:sz="0" w:space="0" w:color="auto"/>
        <w:right w:val="none" w:sz="0" w:space="0" w:color="auto"/>
      </w:divBdr>
    </w:div>
    <w:div w:id="1761488693">
      <w:bodyDiv w:val="1"/>
      <w:marLeft w:val="0"/>
      <w:marRight w:val="0"/>
      <w:marTop w:val="0"/>
      <w:marBottom w:val="0"/>
      <w:divBdr>
        <w:top w:val="none" w:sz="0" w:space="0" w:color="auto"/>
        <w:left w:val="none" w:sz="0" w:space="0" w:color="auto"/>
        <w:bottom w:val="none" w:sz="0" w:space="0" w:color="auto"/>
        <w:right w:val="none" w:sz="0" w:space="0" w:color="auto"/>
      </w:divBdr>
    </w:div>
    <w:div w:id="1778863096">
      <w:bodyDiv w:val="1"/>
      <w:marLeft w:val="0"/>
      <w:marRight w:val="0"/>
      <w:marTop w:val="0"/>
      <w:marBottom w:val="0"/>
      <w:divBdr>
        <w:top w:val="none" w:sz="0" w:space="0" w:color="auto"/>
        <w:left w:val="none" w:sz="0" w:space="0" w:color="auto"/>
        <w:bottom w:val="none" w:sz="0" w:space="0" w:color="auto"/>
        <w:right w:val="none" w:sz="0" w:space="0" w:color="auto"/>
      </w:divBdr>
    </w:div>
    <w:div w:id="1792823265">
      <w:bodyDiv w:val="1"/>
      <w:marLeft w:val="0"/>
      <w:marRight w:val="0"/>
      <w:marTop w:val="0"/>
      <w:marBottom w:val="0"/>
      <w:divBdr>
        <w:top w:val="none" w:sz="0" w:space="0" w:color="auto"/>
        <w:left w:val="none" w:sz="0" w:space="0" w:color="auto"/>
        <w:bottom w:val="none" w:sz="0" w:space="0" w:color="auto"/>
        <w:right w:val="none" w:sz="0" w:space="0" w:color="auto"/>
      </w:divBdr>
    </w:div>
    <w:div w:id="1797485746">
      <w:bodyDiv w:val="1"/>
      <w:marLeft w:val="0"/>
      <w:marRight w:val="0"/>
      <w:marTop w:val="0"/>
      <w:marBottom w:val="0"/>
      <w:divBdr>
        <w:top w:val="none" w:sz="0" w:space="0" w:color="auto"/>
        <w:left w:val="none" w:sz="0" w:space="0" w:color="auto"/>
        <w:bottom w:val="none" w:sz="0" w:space="0" w:color="auto"/>
        <w:right w:val="none" w:sz="0" w:space="0" w:color="auto"/>
      </w:divBdr>
    </w:div>
    <w:div w:id="1839030624">
      <w:bodyDiv w:val="1"/>
      <w:marLeft w:val="0"/>
      <w:marRight w:val="0"/>
      <w:marTop w:val="0"/>
      <w:marBottom w:val="0"/>
      <w:divBdr>
        <w:top w:val="none" w:sz="0" w:space="0" w:color="auto"/>
        <w:left w:val="none" w:sz="0" w:space="0" w:color="auto"/>
        <w:bottom w:val="none" w:sz="0" w:space="0" w:color="auto"/>
        <w:right w:val="none" w:sz="0" w:space="0" w:color="auto"/>
      </w:divBdr>
    </w:div>
    <w:div w:id="1881549211">
      <w:bodyDiv w:val="1"/>
      <w:marLeft w:val="0"/>
      <w:marRight w:val="0"/>
      <w:marTop w:val="0"/>
      <w:marBottom w:val="0"/>
      <w:divBdr>
        <w:top w:val="none" w:sz="0" w:space="0" w:color="auto"/>
        <w:left w:val="none" w:sz="0" w:space="0" w:color="auto"/>
        <w:bottom w:val="none" w:sz="0" w:space="0" w:color="auto"/>
        <w:right w:val="none" w:sz="0" w:space="0" w:color="auto"/>
      </w:divBdr>
    </w:div>
    <w:div w:id="1884825102">
      <w:bodyDiv w:val="1"/>
      <w:marLeft w:val="0"/>
      <w:marRight w:val="0"/>
      <w:marTop w:val="0"/>
      <w:marBottom w:val="0"/>
      <w:divBdr>
        <w:top w:val="none" w:sz="0" w:space="0" w:color="auto"/>
        <w:left w:val="none" w:sz="0" w:space="0" w:color="auto"/>
        <w:bottom w:val="none" w:sz="0" w:space="0" w:color="auto"/>
        <w:right w:val="none" w:sz="0" w:space="0" w:color="auto"/>
      </w:divBdr>
    </w:div>
    <w:div w:id="1894005110">
      <w:bodyDiv w:val="1"/>
      <w:marLeft w:val="0"/>
      <w:marRight w:val="0"/>
      <w:marTop w:val="0"/>
      <w:marBottom w:val="0"/>
      <w:divBdr>
        <w:top w:val="none" w:sz="0" w:space="0" w:color="auto"/>
        <w:left w:val="none" w:sz="0" w:space="0" w:color="auto"/>
        <w:bottom w:val="none" w:sz="0" w:space="0" w:color="auto"/>
        <w:right w:val="none" w:sz="0" w:space="0" w:color="auto"/>
      </w:divBdr>
    </w:div>
    <w:div w:id="1894270484">
      <w:bodyDiv w:val="1"/>
      <w:marLeft w:val="0"/>
      <w:marRight w:val="0"/>
      <w:marTop w:val="0"/>
      <w:marBottom w:val="0"/>
      <w:divBdr>
        <w:top w:val="none" w:sz="0" w:space="0" w:color="auto"/>
        <w:left w:val="none" w:sz="0" w:space="0" w:color="auto"/>
        <w:bottom w:val="none" w:sz="0" w:space="0" w:color="auto"/>
        <w:right w:val="none" w:sz="0" w:space="0" w:color="auto"/>
      </w:divBdr>
    </w:div>
    <w:div w:id="1900700179">
      <w:bodyDiv w:val="1"/>
      <w:marLeft w:val="0"/>
      <w:marRight w:val="0"/>
      <w:marTop w:val="0"/>
      <w:marBottom w:val="0"/>
      <w:divBdr>
        <w:top w:val="none" w:sz="0" w:space="0" w:color="auto"/>
        <w:left w:val="none" w:sz="0" w:space="0" w:color="auto"/>
        <w:bottom w:val="none" w:sz="0" w:space="0" w:color="auto"/>
        <w:right w:val="none" w:sz="0" w:space="0" w:color="auto"/>
      </w:divBdr>
    </w:div>
    <w:div w:id="1910769138">
      <w:bodyDiv w:val="1"/>
      <w:marLeft w:val="0"/>
      <w:marRight w:val="0"/>
      <w:marTop w:val="0"/>
      <w:marBottom w:val="0"/>
      <w:divBdr>
        <w:top w:val="none" w:sz="0" w:space="0" w:color="auto"/>
        <w:left w:val="none" w:sz="0" w:space="0" w:color="auto"/>
        <w:bottom w:val="none" w:sz="0" w:space="0" w:color="auto"/>
        <w:right w:val="none" w:sz="0" w:space="0" w:color="auto"/>
      </w:divBdr>
    </w:div>
    <w:div w:id="1927838604">
      <w:bodyDiv w:val="1"/>
      <w:marLeft w:val="0"/>
      <w:marRight w:val="0"/>
      <w:marTop w:val="0"/>
      <w:marBottom w:val="0"/>
      <w:divBdr>
        <w:top w:val="none" w:sz="0" w:space="0" w:color="auto"/>
        <w:left w:val="none" w:sz="0" w:space="0" w:color="auto"/>
        <w:bottom w:val="none" w:sz="0" w:space="0" w:color="auto"/>
        <w:right w:val="none" w:sz="0" w:space="0" w:color="auto"/>
      </w:divBdr>
    </w:div>
    <w:div w:id="1979718865">
      <w:bodyDiv w:val="1"/>
      <w:marLeft w:val="0"/>
      <w:marRight w:val="0"/>
      <w:marTop w:val="0"/>
      <w:marBottom w:val="0"/>
      <w:divBdr>
        <w:top w:val="none" w:sz="0" w:space="0" w:color="auto"/>
        <w:left w:val="none" w:sz="0" w:space="0" w:color="auto"/>
        <w:bottom w:val="none" w:sz="0" w:space="0" w:color="auto"/>
        <w:right w:val="none" w:sz="0" w:space="0" w:color="auto"/>
      </w:divBdr>
    </w:div>
    <w:div w:id="1979993442">
      <w:bodyDiv w:val="1"/>
      <w:marLeft w:val="0"/>
      <w:marRight w:val="0"/>
      <w:marTop w:val="0"/>
      <w:marBottom w:val="0"/>
      <w:divBdr>
        <w:top w:val="none" w:sz="0" w:space="0" w:color="auto"/>
        <w:left w:val="none" w:sz="0" w:space="0" w:color="auto"/>
        <w:bottom w:val="none" w:sz="0" w:space="0" w:color="auto"/>
        <w:right w:val="none" w:sz="0" w:space="0" w:color="auto"/>
      </w:divBdr>
    </w:div>
    <w:div w:id="1984966197">
      <w:bodyDiv w:val="1"/>
      <w:marLeft w:val="0"/>
      <w:marRight w:val="0"/>
      <w:marTop w:val="0"/>
      <w:marBottom w:val="0"/>
      <w:divBdr>
        <w:top w:val="none" w:sz="0" w:space="0" w:color="auto"/>
        <w:left w:val="none" w:sz="0" w:space="0" w:color="auto"/>
        <w:bottom w:val="none" w:sz="0" w:space="0" w:color="auto"/>
        <w:right w:val="none" w:sz="0" w:space="0" w:color="auto"/>
      </w:divBdr>
    </w:div>
    <w:div w:id="1988438112">
      <w:bodyDiv w:val="1"/>
      <w:marLeft w:val="0"/>
      <w:marRight w:val="0"/>
      <w:marTop w:val="0"/>
      <w:marBottom w:val="0"/>
      <w:divBdr>
        <w:top w:val="none" w:sz="0" w:space="0" w:color="auto"/>
        <w:left w:val="none" w:sz="0" w:space="0" w:color="auto"/>
        <w:bottom w:val="none" w:sz="0" w:space="0" w:color="auto"/>
        <w:right w:val="none" w:sz="0" w:space="0" w:color="auto"/>
      </w:divBdr>
    </w:div>
    <w:div w:id="2004552273">
      <w:bodyDiv w:val="1"/>
      <w:marLeft w:val="0"/>
      <w:marRight w:val="0"/>
      <w:marTop w:val="0"/>
      <w:marBottom w:val="0"/>
      <w:divBdr>
        <w:top w:val="none" w:sz="0" w:space="0" w:color="auto"/>
        <w:left w:val="none" w:sz="0" w:space="0" w:color="auto"/>
        <w:bottom w:val="none" w:sz="0" w:space="0" w:color="auto"/>
        <w:right w:val="none" w:sz="0" w:space="0" w:color="auto"/>
      </w:divBdr>
    </w:div>
    <w:div w:id="2018844007">
      <w:bodyDiv w:val="1"/>
      <w:marLeft w:val="0"/>
      <w:marRight w:val="0"/>
      <w:marTop w:val="0"/>
      <w:marBottom w:val="0"/>
      <w:divBdr>
        <w:top w:val="none" w:sz="0" w:space="0" w:color="auto"/>
        <w:left w:val="none" w:sz="0" w:space="0" w:color="auto"/>
        <w:bottom w:val="none" w:sz="0" w:space="0" w:color="auto"/>
        <w:right w:val="none" w:sz="0" w:space="0" w:color="auto"/>
      </w:divBdr>
    </w:div>
    <w:div w:id="2028286043">
      <w:bodyDiv w:val="1"/>
      <w:marLeft w:val="0"/>
      <w:marRight w:val="0"/>
      <w:marTop w:val="0"/>
      <w:marBottom w:val="0"/>
      <w:divBdr>
        <w:top w:val="none" w:sz="0" w:space="0" w:color="auto"/>
        <w:left w:val="none" w:sz="0" w:space="0" w:color="auto"/>
        <w:bottom w:val="none" w:sz="0" w:space="0" w:color="auto"/>
        <w:right w:val="none" w:sz="0" w:space="0" w:color="auto"/>
      </w:divBdr>
    </w:div>
    <w:div w:id="2048217094">
      <w:bodyDiv w:val="1"/>
      <w:marLeft w:val="0"/>
      <w:marRight w:val="0"/>
      <w:marTop w:val="0"/>
      <w:marBottom w:val="0"/>
      <w:divBdr>
        <w:top w:val="none" w:sz="0" w:space="0" w:color="auto"/>
        <w:left w:val="none" w:sz="0" w:space="0" w:color="auto"/>
        <w:bottom w:val="none" w:sz="0" w:space="0" w:color="auto"/>
        <w:right w:val="none" w:sz="0" w:space="0" w:color="auto"/>
      </w:divBdr>
    </w:div>
    <w:div w:id="2056734570">
      <w:bodyDiv w:val="1"/>
      <w:marLeft w:val="0"/>
      <w:marRight w:val="0"/>
      <w:marTop w:val="0"/>
      <w:marBottom w:val="0"/>
      <w:divBdr>
        <w:top w:val="none" w:sz="0" w:space="0" w:color="auto"/>
        <w:left w:val="none" w:sz="0" w:space="0" w:color="auto"/>
        <w:bottom w:val="none" w:sz="0" w:space="0" w:color="auto"/>
        <w:right w:val="none" w:sz="0" w:space="0" w:color="auto"/>
      </w:divBdr>
    </w:div>
    <w:div w:id="2062173957">
      <w:bodyDiv w:val="1"/>
      <w:marLeft w:val="0"/>
      <w:marRight w:val="0"/>
      <w:marTop w:val="0"/>
      <w:marBottom w:val="0"/>
      <w:divBdr>
        <w:top w:val="none" w:sz="0" w:space="0" w:color="auto"/>
        <w:left w:val="none" w:sz="0" w:space="0" w:color="auto"/>
        <w:bottom w:val="none" w:sz="0" w:space="0" w:color="auto"/>
        <w:right w:val="none" w:sz="0" w:space="0" w:color="auto"/>
      </w:divBdr>
    </w:div>
    <w:div w:id="2066566605">
      <w:bodyDiv w:val="1"/>
      <w:marLeft w:val="0"/>
      <w:marRight w:val="0"/>
      <w:marTop w:val="0"/>
      <w:marBottom w:val="0"/>
      <w:divBdr>
        <w:top w:val="none" w:sz="0" w:space="0" w:color="auto"/>
        <w:left w:val="none" w:sz="0" w:space="0" w:color="auto"/>
        <w:bottom w:val="none" w:sz="0" w:space="0" w:color="auto"/>
        <w:right w:val="none" w:sz="0" w:space="0" w:color="auto"/>
      </w:divBdr>
    </w:div>
    <w:div w:id="2080053949">
      <w:bodyDiv w:val="1"/>
      <w:marLeft w:val="0"/>
      <w:marRight w:val="0"/>
      <w:marTop w:val="0"/>
      <w:marBottom w:val="0"/>
      <w:divBdr>
        <w:top w:val="none" w:sz="0" w:space="0" w:color="auto"/>
        <w:left w:val="none" w:sz="0" w:space="0" w:color="auto"/>
        <w:bottom w:val="none" w:sz="0" w:space="0" w:color="auto"/>
        <w:right w:val="none" w:sz="0" w:space="0" w:color="auto"/>
      </w:divBdr>
    </w:div>
    <w:div w:id="2087681249">
      <w:bodyDiv w:val="1"/>
      <w:marLeft w:val="0"/>
      <w:marRight w:val="0"/>
      <w:marTop w:val="0"/>
      <w:marBottom w:val="0"/>
      <w:divBdr>
        <w:top w:val="none" w:sz="0" w:space="0" w:color="auto"/>
        <w:left w:val="none" w:sz="0" w:space="0" w:color="auto"/>
        <w:bottom w:val="none" w:sz="0" w:space="0" w:color="auto"/>
        <w:right w:val="none" w:sz="0" w:space="0" w:color="auto"/>
      </w:divBdr>
    </w:div>
    <w:div w:id="2099135934">
      <w:bodyDiv w:val="1"/>
      <w:marLeft w:val="0"/>
      <w:marRight w:val="0"/>
      <w:marTop w:val="0"/>
      <w:marBottom w:val="0"/>
      <w:divBdr>
        <w:top w:val="none" w:sz="0" w:space="0" w:color="auto"/>
        <w:left w:val="none" w:sz="0" w:space="0" w:color="auto"/>
        <w:bottom w:val="none" w:sz="0" w:space="0" w:color="auto"/>
        <w:right w:val="none" w:sz="0" w:space="0" w:color="auto"/>
      </w:divBdr>
    </w:div>
    <w:div w:id="2110347273">
      <w:bodyDiv w:val="1"/>
      <w:marLeft w:val="0"/>
      <w:marRight w:val="0"/>
      <w:marTop w:val="0"/>
      <w:marBottom w:val="0"/>
      <w:divBdr>
        <w:top w:val="none" w:sz="0" w:space="0" w:color="auto"/>
        <w:left w:val="none" w:sz="0" w:space="0" w:color="auto"/>
        <w:bottom w:val="none" w:sz="0" w:space="0" w:color="auto"/>
        <w:right w:val="none" w:sz="0" w:space="0" w:color="auto"/>
      </w:divBdr>
    </w:div>
    <w:div w:id="21123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lanie.chatfield@b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iiep.unesco.org/en" TargetMode="External"/><Relationship Id="rId2" Type="http://schemas.openxmlformats.org/officeDocument/2006/relationships/hyperlink" Target="https://www.pwc.com.au/industry/government/assets/disability-in-australia.pdf" TargetMode="External"/><Relationship Id="rId1" Type="http://schemas.openxmlformats.org/officeDocument/2006/relationships/hyperlink" Target="http://www.visioninitiative.org.au/common-eye-conditions/eye-healt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04067-E6B0-499C-9B3B-E7576580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3.xml><?xml version="1.0" encoding="utf-8"?>
<ds:datastoreItem xmlns:ds="http://schemas.openxmlformats.org/officeDocument/2006/customXml" ds:itemID="{B907996B-21FF-4AEC-9E51-FB880B0B7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4634</Words>
  <Characters>26420</Characters>
  <Application>Microsoft Office Word</Application>
  <DocSecurity>2</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30993</CharactersWithSpaces>
  <SharedDoc>false</SharedDoc>
  <HLinks>
    <vt:vector size="102" baseType="variant">
      <vt:variant>
        <vt:i4>1572918</vt:i4>
      </vt:variant>
      <vt:variant>
        <vt:i4>71</vt:i4>
      </vt:variant>
      <vt:variant>
        <vt:i4>0</vt:i4>
      </vt:variant>
      <vt:variant>
        <vt:i4>5</vt:i4>
      </vt:variant>
      <vt:variant>
        <vt:lpwstr/>
      </vt:variant>
      <vt:variant>
        <vt:lpwstr>_Toc205896815</vt:lpwstr>
      </vt:variant>
      <vt:variant>
        <vt:i4>1572918</vt:i4>
      </vt:variant>
      <vt:variant>
        <vt:i4>65</vt:i4>
      </vt:variant>
      <vt:variant>
        <vt:i4>0</vt:i4>
      </vt:variant>
      <vt:variant>
        <vt:i4>5</vt:i4>
      </vt:variant>
      <vt:variant>
        <vt:lpwstr/>
      </vt:variant>
      <vt:variant>
        <vt:lpwstr>_Toc205896814</vt:lpwstr>
      </vt:variant>
      <vt:variant>
        <vt:i4>1572918</vt:i4>
      </vt:variant>
      <vt:variant>
        <vt:i4>59</vt:i4>
      </vt:variant>
      <vt:variant>
        <vt:i4>0</vt:i4>
      </vt:variant>
      <vt:variant>
        <vt:i4>5</vt:i4>
      </vt:variant>
      <vt:variant>
        <vt:lpwstr/>
      </vt:variant>
      <vt:variant>
        <vt:lpwstr>_Toc205896813</vt:lpwstr>
      </vt:variant>
      <vt:variant>
        <vt:i4>1572918</vt:i4>
      </vt:variant>
      <vt:variant>
        <vt:i4>53</vt:i4>
      </vt:variant>
      <vt:variant>
        <vt:i4>0</vt:i4>
      </vt:variant>
      <vt:variant>
        <vt:i4>5</vt:i4>
      </vt:variant>
      <vt:variant>
        <vt:lpwstr/>
      </vt:variant>
      <vt:variant>
        <vt:lpwstr>_Toc205896812</vt:lpwstr>
      </vt:variant>
      <vt:variant>
        <vt:i4>1572918</vt:i4>
      </vt:variant>
      <vt:variant>
        <vt:i4>47</vt:i4>
      </vt:variant>
      <vt:variant>
        <vt:i4>0</vt:i4>
      </vt:variant>
      <vt:variant>
        <vt:i4>5</vt:i4>
      </vt:variant>
      <vt:variant>
        <vt:lpwstr/>
      </vt:variant>
      <vt:variant>
        <vt:lpwstr>_Toc205896811</vt:lpwstr>
      </vt:variant>
      <vt:variant>
        <vt:i4>1572918</vt:i4>
      </vt:variant>
      <vt:variant>
        <vt:i4>41</vt:i4>
      </vt:variant>
      <vt:variant>
        <vt:i4>0</vt:i4>
      </vt:variant>
      <vt:variant>
        <vt:i4>5</vt:i4>
      </vt:variant>
      <vt:variant>
        <vt:lpwstr/>
      </vt:variant>
      <vt:variant>
        <vt:lpwstr>_Toc205896810</vt:lpwstr>
      </vt:variant>
      <vt:variant>
        <vt:i4>1638454</vt:i4>
      </vt:variant>
      <vt:variant>
        <vt:i4>35</vt:i4>
      </vt:variant>
      <vt:variant>
        <vt:i4>0</vt:i4>
      </vt:variant>
      <vt:variant>
        <vt:i4>5</vt:i4>
      </vt:variant>
      <vt:variant>
        <vt:lpwstr/>
      </vt:variant>
      <vt:variant>
        <vt:lpwstr>_Toc205896809</vt:lpwstr>
      </vt:variant>
      <vt:variant>
        <vt:i4>1638454</vt:i4>
      </vt:variant>
      <vt:variant>
        <vt:i4>29</vt:i4>
      </vt:variant>
      <vt:variant>
        <vt:i4>0</vt:i4>
      </vt:variant>
      <vt:variant>
        <vt:i4>5</vt:i4>
      </vt:variant>
      <vt:variant>
        <vt:lpwstr/>
      </vt:variant>
      <vt:variant>
        <vt:lpwstr>_Toc205896808</vt:lpwstr>
      </vt:variant>
      <vt:variant>
        <vt:i4>1638454</vt:i4>
      </vt:variant>
      <vt:variant>
        <vt:i4>23</vt:i4>
      </vt:variant>
      <vt:variant>
        <vt:i4>0</vt:i4>
      </vt:variant>
      <vt:variant>
        <vt:i4>5</vt:i4>
      </vt:variant>
      <vt:variant>
        <vt:lpwstr/>
      </vt:variant>
      <vt:variant>
        <vt:lpwstr>_Toc205896807</vt:lpwstr>
      </vt:variant>
      <vt:variant>
        <vt:i4>1638454</vt:i4>
      </vt:variant>
      <vt:variant>
        <vt:i4>17</vt:i4>
      </vt:variant>
      <vt:variant>
        <vt:i4>0</vt:i4>
      </vt:variant>
      <vt:variant>
        <vt:i4>5</vt:i4>
      </vt:variant>
      <vt:variant>
        <vt:lpwstr/>
      </vt:variant>
      <vt:variant>
        <vt:lpwstr>_Toc205896806</vt:lpwstr>
      </vt:variant>
      <vt:variant>
        <vt:i4>1638454</vt:i4>
      </vt:variant>
      <vt:variant>
        <vt:i4>11</vt:i4>
      </vt:variant>
      <vt:variant>
        <vt:i4>0</vt:i4>
      </vt:variant>
      <vt:variant>
        <vt:i4>5</vt:i4>
      </vt:variant>
      <vt:variant>
        <vt:lpwstr/>
      </vt:variant>
      <vt:variant>
        <vt:lpwstr>_Toc205896805</vt:lpwstr>
      </vt:variant>
      <vt:variant>
        <vt:i4>6750273</vt:i4>
      </vt:variant>
      <vt:variant>
        <vt:i4>6</vt:i4>
      </vt:variant>
      <vt:variant>
        <vt:i4>0</vt:i4>
      </vt:variant>
      <vt:variant>
        <vt:i4>5</vt:i4>
      </vt:variant>
      <vt:variant>
        <vt:lpwstr>mailto:melanie.chatfield@bca.org.au</vt:lpwstr>
      </vt:variant>
      <vt:variant>
        <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ariant>
        <vt:i4>1441865</vt:i4>
      </vt:variant>
      <vt:variant>
        <vt:i4>6</vt:i4>
      </vt:variant>
      <vt:variant>
        <vt:i4>0</vt:i4>
      </vt:variant>
      <vt:variant>
        <vt:i4>5</vt:i4>
      </vt:variant>
      <vt:variant>
        <vt:lpwstr>http://www.iiep.unesco.org/en</vt:lpwstr>
      </vt:variant>
      <vt:variant>
        <vt:lpwstr/>
      </vt:variant>
      <vt:variant>
        <vt:i4>4980764</vt:i4>
      </vt:variant>
      <vt:variant>
        <vt:i4>3</vt:i4>
      </vt:variant>
      <vt:variant>
        <vt:i4>0</vt:i4>
      </vt:variant>
      <vt:variant>
        <vt:i4>5</vt:i4>
      </vt:variant>
      <vt:variant>
        <vt:lpwstr>https://www.pwc.com.au/industry/government/assets/disability-in-australia.pdf</vt:lpwstr>
      </vt:variant>
      <vt:variant>
        <vt:lpwstr/>
      </vt:variant>
      <vt:variant>
        <vt:i4>327767</vt:i4>
      </vt:variant>
      <vt:variant>
        <vt:i4>0</vt:i4>
      </vt:variant>
      <vt:variant>
        <vt:i4>0</vt:i4>
      </vt:variant>
      <vt:variant>
        <vt:i4>5</vt:i4>
      </vt:variant>
      <vt:variant>
        <vt:lpwstr>http://www.visioninitiative.org.au/common-eye-conditions/eye-health-in-australia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Melanie Chatfield</cp:lastModifiedBy>
  <cp:revision>2</cp:revision>
  <dcterms:created xsi:type="dcterms:W3CDTF">2025-08-15T03:28:00Z</dcterms:created>
  <dcterms:modified xsi:type="dcterms:W3CDTF">2025-08-15T03:28:00Z</dcterms:modified>
</cp:coreProperties>
</file>