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D9B6" w14:textId="77777777" w:rsidR="00A36708" w:rsidRPr="00041591" w:rsidRDefault="00A36708" w:rsidP="0088774E">
      <w:pPr>
        <w:pStyle w:val="Heading1"/>
      </w:pPr>
      <w:bookmarkStart w:id="0" w:name="_Toc175845354"/>
      <w:bookmarkStart w:id="1" w:name="_Toc205896804"/>
      <w:bookmarkStart w:id="2" w:name="_Toc212203991"/>
      <w:r w:rsidRPr="00041591">
        <w:rPr>
          <w:noProof/>
        </w:rPr>
        <w:drawing>
          <wp:inline distT="0" distB="0" distL="0" distR="0" wp14:anchorId="73E99BA4" wp14:editId="6404DB5C">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0"/>
                    <a:stretch>
                      <a:fillRect/>
                    </a:stretch>
                  </pic:blipFill>
                  <pic:spPr>
                    <a:xfrm>
                      <a:off x="0" y="0"/>
                      <a:ext cx="5547133" cy="832070"/>
                    </a:xfrm>
                    <a:prstGeom prst="rect">
                      <a:avLst/>
                    </a:prstGeom>
                  </pic:spPr>
                </pic:pic>
              </a:graphicData>
            </a:graphic>
          </wp:inline>
        </w:drawing>
      </w:r>
      <w:bookmarkEnd w:id="0"/>
      <w:bookmarkEnd w:id="1"/>
      <w:bookmarkEnd w:id="2"/>
    </w:p>
    <w:p w14:paraId="0555FBA1" w14:textId="77777777" w:rsidR="00A36708" w:rsidRPr="00041591" w:rsidRDefault="00A36708" w:rsidP="00A36708">
      <w:pPr>
        <w:pStyle w:val="Date"/>
      </w:pPr>
      <w:bookmarkStart w:id="3" w:name="_Toc83292715"/>
      <w:r w:rsidRPr="00041591">
        <w:t>Ph</w:t>
      </w:r>
      <w:bookmarkEnd w:id="3"/>
      <w:r w:rsidRPr="00041591">
        <w:t xml:space="preserve"> 1800 033 660 | E </w:t>
      </w:r>
      <w:hyperlink r:id="rId11" w:history="1">
        <w:r w:rsidRPr="00041591">
          <w:rPr>
            <w:rStyle w:val="Hyperlink"/>
          </w:rPr>
          <w:t>bca@bca.org.au</w:t>
        </w:r>
      </w:hyperlink>
      <w:r w:rsidRPr="00041591">
        <w:rPr>
          <w:rStyle w:val="Hyperlink"/>
        </w:rPr>
        <w:t xml:space="preserve"> </w:t>
      </w:r>
      <w:r w:rsidRPr="00041591">
        <w:t xml:space="preserve"> |  W </w:t>
      </w:r>
      <w:hyperlink r:id="rId12" w:tooltip="click to go to BCA website" w:history="1">
        <w:r w:rsidRPr="00041591">
          <w:rPr>
            <w:rStyle w:val="Hyperlink"/>
          </w:rPr>
          <w:t>bca.org.au</w:t>
        </w:r>
      </w:hyperlink>
      <w:r w:rsidRPr="00041591">
        <w:rPr>
          <w:rStyle w:val="Hyperlink"/>
          <w:u w:val="none"/>
        </w:rPr>
        <w:t xml:space="preserve"> | </w:t>
      </w:r>
      <w:r w:rsidRPr="00041591">
        <w:rPr>
          <w:rStyle w:val="Hyperlink"/>
        </w:rPr>
        <w:t>ABN</w:t>
      </w:r>
      <w:r w:rsidRPr="00041591">
        <w:t xml:space="preserve"> 90 006 985 226</w:t>
      </w:r>
    </w:p>
    <w:p w14:paraId="4EA3012A" w14:textId="2AD14DE8" w:rsidR="00A36708" w:rsidRPr="00041591" w:rsidRDefault="00E341D8" w:rsidP="00A36708">
      <w:pPr>
        <w:pStyle w:val="Heading1"/>
        <w:rPr>
          <w:rFonts w:cs="Arial"/>
        </w:rPr>
      </w:pPr>
      <w:bookmarkStart w:id="4" w:name="_Toc158995244"/>
      <w:bookmarkStart w:id="5" w:name="_Toc174692794"/>
      <w:bookmarkStart w:id="6" w:name="_Toc175845355"/>
      <w:bookmarkStart w:id="7" w:name="_Toc212203992"/>
      <w:r>
        <w:rPr>
          <w:rFonts w:cs="Arial"/>
        </w:rPr>
        <w:t xml:space="preserve">Response to </w:t>
      </w:r>
      <w:bookmarkEnd w:id="4"/>
      <w:bookmarkEnd w:id="5"/>
      <w:bookmarkEnd w:id="6"/>
      <w:r w:rsidR="005A7687" w:rsidRPr="005A7687">
        <w:rPr>
          <w:rFonts w:cs="Arial"/>
        </w:rPr>
        <w:t xml:space="preserve">Review of the </w:t>
      </w:r>
      <w:r w:rsidR="00A532C4">
        <w:rPr>
          <w:rFonts w:cs="Arial"/>
        </w:rPr>
        <w:t xml:space="preserve">Disability </w:t>
      </w:r>
      <w:r w:rsidR="005A7687" w:rsidRPr="005A7687">
        <w:rPr>
          <w:rFonts w:cs="Arial"/>
        </w:rPr>
        <w:t xml:space="preserve">Discrimination Act </w:t>
      </w:r>
      <w:r w:rsidR="00A532C4">
        <w:rPr>
          <w:rFonts w:cs="Arial"/>
        </w:rPr>
        <w:t>2025</w:t>
      </w:r>
      <w:bookmarkEnd w:id="7"/>
    </w:p>
    <w:p w14:paraId="5E709281" w14:textId="77777777" w:rsidR="00A36708" w:rsidRPr="00041591" w:rsidRDefault="00A36708" w:rsidP="00A36708"/>
    <w:p w14:paraId="4CE6EA7E" w14:textId="06F364A3" w:rsidR="00A36708" w:rsidRPr="00F03E26" w:rsidRDefault="00F03E26" w:rsidP="00267F05">
      <w:pPr>
        <w:rPr>
          <w:sz w:val="26"/>
          <w:szCs w:val="26"/>
        </w:rPr>
      </w:pPr>
      <w:r w:rsidRPr="00AC4266">
        <w:rPr>
          <w:color w:val="2C2A29"/>
          <w:sz w:val="26"/>
          <w:szCs w:val="26"/>
          <w:shd w:val="clear" w:color="auto" w:fill="FFFFFF"/>
        </w:rPr>
        <w:t>Lodged</w:t>
      </w:r>
      <w:r w:rsidR="00B956E6">
        <w:rPr>
          <w:color w:val="2C2A29"/>
          <w:sz w:val="26"/>
          <w:szCs w:val="26"/>
          <w:shd w:val="clear" w:color="auto" w:fill="FFFFFF"/>
        </w:rPr>
        <w:t xml:space="preserve"> online</w:t>
      </w:r>
      <w:r w:rsidRPr="00AC4266">
        <w:rPr>
          <w:color w:val="2C2A29"/>
          <w:sz w:val="26"/>
          <w:szCs w:val="26"/>
          <w:shd w:val="clear" w:color="auto" w:fill="FFFFFF"/>
        </w:rPr>
        <w:t xml:space="preserve"> via</w:t>
      </w:r>
      <w:r w:rsidR="003F3D10">
        <w:rPr>
          <w:color w:val="2C2A29"/>
          <w:sz w:val="26"/>
          <w:szCs w:val="26"/>
          <w:shd w:val="clear" w:color="auto" w:fill="FFFFFF"/>
        </w:rPr>
        <w:t xml:space="preserve"> </w:t>
      </w:r>
      <w:r w:rsidR="00896A40" w:rsidRPr="00896A40">
        <w:rPr>
          <w:color w:val="2C2A29"/>
          <w:sz w:val="26"/>
          <w:szCs w:val="26"/>
          <w:shd w:val="clear" w:color="auto" w:fill="FFFFFF"/>
        </w:rPr>
        <w:t>Attorney-General's Department Consultation Hub</w:t>
      </w:r>
      <w:r w:rsidR="002D7FF6">
        <w:rPr>
          <w:color w:val="2C2A29"/>
          <w:sz w:val="26"/>
          <w:szCs w:val="26"/>
          <w:shd w:val="clear" w:color="auto" w:fill="FFFFFF"/>
        </w:rPr>
        <w:t xml:space="preserve"> </w:t>
      </w:r>
    </w:p>
    <w:p w14:paraId="51BED1FE" w14:textId="77777777" w:rsidR="00A36708" w:rsidRPr="00041591" w:rsidRDefault="00A36708" w:rsidP="00A36708"/>
    <w:p w14:paraId="208ADE88" w14:textId="62DB9F13" w:rsidR="00A36708" w:rsidRPr="00041591" w:rsidRDefault="00A36708" w:rsidP="00A36708">
      <w:r w:rsidRPr="00041591">
        <w:t xml:space="preserve">Author: </w:t>
      </w:r>
      <w:r w:rsidR="00BB1132">
        <w:t xml:space="preserve">Melanie Chatfield, </w:t>
      </w:r>
      <w:r w:rsidR="00C10B66">
        <w:t xml:space="preserve">National </w:t>
      </w:r>
      <w:r w:rsidR="004736CA">
        <w:t>Policy Officer</w:t>
      </w:r>
    </w:p>
    <w:p w14:paraId="47A89641" w14:textId="77777777" w:rsidR="00BB1132" w:rsidRDefault="00BB1132" w:rsidP="00A36708">
      <w:hyperlink r:id="rId13" w:history="1">
        <w:r w:rsidRPr="0092294E">
          <w:rPr>
            <w:rStyle w:val="Hyperlink"/>
          </w:rPr>
          <w:t>melanie.chatfield@bca.org.au</w:t>
        </w:r>
      </w:hyperlink>
    </w:p>
    <w:p w14:paraId="1885CED2" w14:textId="7F9516DA" w:rsidR="00A36708" w:rsidRPr="00041591" w:rsidRDefault="00C16F30" w:rsidP="00A36708">
      <w:bookmarkStart w:id="8" w:name="_Toc59048282"/>
      <w:r>
        <w:t>24 October</w:t>
      </w:r>
      <w:r w:rsidR="00267F05">
        <w:t xml:space="preserve"> </w:t>
      </w:r>
      <w:r w:rsidR="00A36708">
        <w:t>202</w:t>
      </w:r>
      <w:r w:rsidR="7CBDB906">
        <w:t>5</w:t>
      </w:r>
    </w:p>
    <w:p w14:paraId="605C1B3D" w14:textId="77777777" w:rsidR="00A36708" w:rsidRPr="00041591" w:rsidRDefault="00A36708" w:rsidP="00A36708">
      <w:pPr>
        <w:spacing w:before="0" w:after="240" w:line="300" w:lineRule="auto"/>
        <w:ind w:left="3744"/>
      </w:pPr>
      <w:r w:rsidRPr="00041591">
        <w:br w:type="page"/>
      </w:r>
    </w:p>
    <w:bookmarkStart w:id="9" w:name="_Toc175845357" w:displacedByCustomXml="next"/>
    <w:sdt>
      <w:sdtPr>
        <w:rPr>
          <w:rFonts w:ascii="Arial" w:eastAsia="MS Mincho" w:hAnsi="Arial" w:cs="Arial"/>
          <w:color w:val="auto"/>
          <w:sz w:val="24"/>
          <w:szCs w:val="16"/>
          <w:lang w:val="en-AU" w:eastAsia="ja-JP"/>
        </w:rPr>
        <w:id w:val="-140572785"/>
        <w:docPartObj>
          <w:docPartGallery w:val="Table of Contents"/>
          <w:docPartUnique/>
        </w:docPartObj>
      </w:sdtPr>
      <w:sdtEndPr>
        <w:rPr>
          <w:b/>
          <w:szCs w:val="24"/>
        </w:rPr>
      </w:sdtEndPr>
      <w:sdtContent>
        <w:p w14:paraId="5627AE68" w14:textId="77777777" w:rsidR="00E508E4" w:rsidRDefault="00BA11E3" w:rsidP="004D4BB4">
          <w:pPr>
            <w:pStyle w:val="TOCHeading"/>
            <w:rPr>
              <w:noProof/>
            </w:rPr>
          </w:pPr>
          <w:r w:rsidRPr="00A76E87">
            <w:rPr>
              <w:rStyle w:val="Heading2Char"/>
            </w:rPr>
            <w:t>Contents</w:t>
          </w:r>
          <w:r>
            <w:fldChar w:fldCharType="begin"/>
          </w:r>
          <w:r>
            <w:instrText xml:space="preserve"> TOC \o "1-3" \h \z \u </w:instrText>
          </w:r>
          <w:r>
            <w:fldChar w:fldCharType="separate"/>
          </w:r>
        </w:p>
        <w:p w14:paraId="4B5ABEB9" w14:textId="7FE84E08" w:rsidR="00E508E4" w:rsidRDefault="00E508E4">
          <w:pPr>
            <w:pStyle w:val="TOC1"/>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3991" w:history="1">
            <w:bookmarkStart w:id="10" w:name="_Toc211535707"/>
            <w:r w:rsidRPr="000D7729">
              <w:rPr>
                <w:rStyle w:val="Hyperlink"/>
                <w:noProof/>
              </w:rPr>
              <w:drawing>
                <wp:inline distT="0" distB="0" distL="0" distR="0" wp14:anchorId="10A24868" wp14:editId="3CC066C4">
                  <wp:extent cx="5524500" cy="828675"/>
                  <wp:effectExtent l="0" t="0" r="0" b="0"/>
                  <wp:docPr id="1356172100" name="Picture 1356172100"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0"/>
                          <a:stretch>
                            <a:fillRect/>
                          </a:stretch>
                        </pic:blipFill>
                        <pic:spPr>
                          <a:xfrm>
                            <a:off x="0" y="0"/>
                            <a:ext cx="5547133" cy="832070"/>
                          </a:xfrm>
                          <a:prstGeom prst="rect">
                            <a:avLst/>
                          </a:prstGeom>
                        </pic:spPr>
                      </pic:pic>
                    </a:graphicData>
                  </a:graphic>
                </wp:inline>
              </w:drawing>
            </w:r>
            <w:bookmarkEnd w:id="10"/>
            <w:r>
              <w:rPr>
                <w:noProof/>
                <w:webHidden/>
              </w:rPr>
              <w:tab/>
            </w:r>
            <w:r>
              <w:rPr>
                <w:noProof/>
                <w:webHidden/>
              </w:rPr>
              <w:fldChar w:fldCharType="begin"/>
            </w:r>
            <w:r>
              <w:rPr>
                <w:noProof/>
                <w:webHidden/>
              </w:rPr>
              <w:instrText xml:space="preserve"> PAGEREF _Toc212203991 \h </w:instrText>
            </w:r>
            <w:r>
              <w:rPr>
                <w:noProof/>
                <w:webHidden/>
              </w:rPr>
            </w:r>
            <w:r>
              <w:rPr>
                <w:noProof/>
                <w:webHidden/>
              </w:rPr>
              <w:fldChar w:fldCharType="separate"/>
            </w:r>
            <w:r>
              <w:rPr>
                <w:noProof/>
                <w:webHidden/>
              </w:rPr>
              <w:t>1</w:t>
            </w:r>
            <w:r>
              <w:rPr>
                <w:noProof/>
                <w:webHidden/>
              </w:rPr>
              <w:fldChar w:fldCharType="end"/>
            </w:r>
          </w:hyperlink>
        </w:p>
        <w:p w14:paraId="73538B1B" w14:textId="2AC6F481" w:rsidR="00E508E4" w:rsidRDefault="00E508E4">
          <w:pPr>
            <w:pStyle w:val="TOC1"/>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3992" w:history="1">
            <w:r w:rsidRPr="000D7729">
              <w:rPr>
                <w:rStyle w:val="Hyperlink"/>
                <w:noProof/>
              </w:rPr>
              <w:t>Response to Review of the Disability Discrimination Act 2025</w:t>
            </w:r>
            <w:r>
              <w:rPr>
                <w:noProof/>
                <w:webHidden/>
              </w:rPr>
              <w:tab/>
            </w:r>
            <w:r>
              <w:rPr>
                <w:noProof/>
                <w:webHidden/>
              </w:rPr>
              <w:fldChar w:fldCharType="begin"/>
            </w:r>
            <w:r>
              <w:rPr>
                <w:noProof/>
                <w:webHidden/>
              </w:rPr>
              <w:instrText xml:space="preserve"> PAGEREF _Toc212203992 \h </w:instrText>
            </w:r>
            <w:r>
              <w:rPr>
                <w:noProof/>
                <w:webHidden/>
              </w:rPr>
            </w:r>
            <w:r>
              <w:rPr>
                <w:noProof/>
                <w:webHidden/>
              </w:rPr>
              <w:fldChar w:fldCharType="separate"/>
            </w:r>
            <w:r>
              <w:rPr>
                <w:noProof/>
                <w:webHidden/>
              </w:rPr>
              <w:t>1</w:t>
            </w:r>
            <w:r>
              <w:rPr>
                <w:noProof/>
                <w:webHidden/>
              </w:rPr>
              <w:fldChar w:fldCharType="end"/>
            </w:r>
          </w:hyperlink>
        </w:p>
        <w:p w14:paraId="670C8B15" w14:textId="4084BAE2" w:rsidR="00E508E4" w:rsidRDefault="00E508E4">
          <w:pPr>
            <w:pStyle w:val="TOC1"/>
            <w:tabs>
              <w:tab w:val="left" w:pos="480"/>
              <w:tab w:val="right" w:leader="dot" w:pos="10790"/>
            </w:tabs>
            <w:rPr>
              <w:rFonts w:asciiTheme="minorHAnsi" w:eastAsiaTheme="minorEastAsia" w:hAnsiTheme="minorHAnsi" w:cstheme="minorBidi"/>
              <w:noProof/>
              <w:kern w:val="2"/>
              <w:szCs w:val="24"/>
              <w:lang w:eastAsia="en-AU"/>
              <w14:ligatures w14:val="standardContextual"/>
            </w:rPr>
          </w:pPr>
          <w:hyperlink w:anchor="_Toc212203993" w:history="1">
            <w:r w:rsidRPr="000D7729">
              <w:rPr>
                <w:rStyle w:val="Hyperlink"/>
                <w:noProof/>
              </w:rPr>
              <w:t>1.</w:t>
            </w:r>
            <w:r>
              <w:rPr>
                <w:rFonts w:asciiTheme="minorHAnsi" w:eastAsiaTheme="minorEastAsia" w:hAnsiTheme="minorHAnsi" w:cstheme="minorBidi"/>
                <w:noProof/>
                <w:kern w:val="2"/>
                <w:szCs w:val="24"/>
                <w:lang w:eastAsia="en-AU"/>
                <w14:ligatures w14:val="standardContextual"/>
              </w:rPr>
              <w:tab/>
            </w:r>
            <w:r w:rsidRPr="000D7729">
              <w:rPr>
                <w:rStyle w:val="Hyperlink"/>
                <w:noProof/>
              </w:rPr>
              <w:t>Introduction</w:t>
            </w:r>
            <w:r>
              <w:rPr>
                <w:noProof/>
                <w:webHidden/>
              </w:rPr>
              <w:tab/>
            </w:r>
            <w:r>
              <w:rPr>
                <w:noProof/>
                <w:webHidden/>
              </w:rPr>
              <w:fldChar w:fldCharType="begin"/>
            </w:r>
            <w:r>
              <w:rPr>
                <w:noProof/>
                <w:webHidden/>
              </w:rPr>
              <w:instrText xml:space="preserve"> PAGEREF _Toc212203993 \h </w:instrText>
            </w:r>
            <w:r>
              <w:rPr>
                <w:noProof/>
                <w:webHidden/>
              </w:rPr>
            </w:r>
            <w:r>
              <w:rPr>
                <w:noProof/>
                <w:webHidden/>
              </w:rPr>
              <w:fldChar w:fldCharType="separate"/>
            </w:r>
            <w:r>
              <w:rPr>
                <w:noProof/>
                <w:webHidden/>
              </w:rPr>
              <w:t>4</w:t>
            </w:r>
            <w:r>
              <w:rPr>
                <w:noProof/>
                <w:webHidden/>
              </w:rPr>
              <w:fldChar w:fldCharType="end"/>
            </w:r>
          </w:hyperlink>
        </w:p>
        <w:p w14:paraId="6740A3A1" w14:textId="54D5DFFE"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3994" w:history="1">
            <w:r w:rsidRPr="000D7729">
              <w:rPr>
                <w:rStyle w:val="Hyperlink"/>
                <w:noProof/>
              </w:rPr>
              <w:t>1.1 About Blind Citizens Australia</w:t>
            </w:r>
            <w:r>
              <w:rPr>
                <w:noProof/>
                <w:webHidden/>
              </w:rPr>
              <w:tab/>
            </w:r>
            <w:r>
              <w:rPr>
                <w:noProof/>
                <w:webHidden/>
              </w:rPr>
              <w:fldChar w:fldCharType="begin"/>
            </w:r>
            <w:r>
              <w:rPr>
                <w:noProof/>
                <w:webHidden/>
              </w:rPr>
              <w:instrText xml:space="preserve"> PAGEREF _Toc212203994 \h </w:instrText>
            </w:r>
            <w:r>
              <w:rPr>
                <w:noProof/>
                <w:webHidden/>
              </w:rPr>
            </w:r>
            <w:r>
              <w:rPr>
                <w:noProof/>
                <w:webHidden/>
              </w:rPr>
              <w:fldChar w:fldCharType="separate"/>
            </w:r>
            <w:r>
              <w:rPr>
                <w:noProof/>
                <w:webHidden/>
              </w:rPr>
              <w:t>4</w:t>
            </w:r>
            <w:r>
              <w:rPr>
                <w:noProof/>
                <w:webHidden/>
              </w:rPr>
              <w:fldChar w:fldCharType="end"/>
            </w:r>
          </w:hyperlink>
        </w:p>
        <w:p w14:paraId="35D2531F" w14:textId="6C7F72DA"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3995" w:history="1">
            <w:r w:rsidRPr="000D7729">
              <w:rPr>
                <w:rStyle w:val="Hyperlink"/>
                <w:noProof/>
              </w:rPr>
              <w:t>1.2 About people who are blind or vision impaired</w:t>
            </w:r>
            <w:r>
              <w:rPr>
                <w:noProof/>
                <w:webHidden/>
              </w:rPr>
              <w:tab/>
            </w:r>
            <w:r>
              <w:rPr>
                <w:noProof/>
                <w:webHidden/>
              </w:rPr>
              <w:fldChar w:fldCharType="begin"/>
            </w:r>
            <w:r>
              <w:rPr>
                <w:noProof/>
                <w:webHidden/>
              </w:rPr>
              <w:instrText xml:space="preserve"> PAGEREF _Toc212203995 \h </w:instrText>
            </w:r>
            <w:r>
              <w:rPr>
                <w:noProof/>
                <w:webHidden/>
              </w:rPr>
            </w:r>
            <w:r>
              <w:rPr>
                <w:noProof/>
                <w:webHidden/>
              </w:rPr>
              <w:fldChar w:fldCharType="separate"/>
            </w:r>
            <w:r>
              <w:rPr>
                <w:noProof/>
                <w:webHidden/>
              </w:rPr>
              <w:t>4</w:t>
            </w:r>
            <w:r>
              <w:rPr>
                <w:noProof/>
                <w:webHidden/>
              </w:rPr>
              <w:fldChar w:fldCharType="end"/>
            </w:r>
          </w:hyperlink>
        </w:p>
        <w:p w14:paraId="60CB9ADC" w14:textId="173B9CA2" w:rsidR="00E508E4" w:rsidRDefault="00E508E4">
          <w:pPr>
            <w:pStyle w:val="TOC1"/>
            <w:tabs>
              <w:tab w:val="left" w:pos="480"/>
              <w:tab w:val="right" w:leader="dot" w:pos="10790"/>
            </w:tabs>
            <w:rPr>
              <w:rFonts w:asciiTheme="minorHAnsi" w:eastAsiaTheme="minorEastAsia" w:hAnsiTheme="minorHAnsi" w:cstheme="minorBidi"/>
              <w:noProof/>
              <w:kern w:val="2"/>
              <w:szCs w:val="24"/>
              <w:lang w:eastAsia="en-AU"/>
              <w14:ligatures w14:val="standardContextual"/>
            </w:rPr>
          </w:pPr>
          <w:hyperlink w:anchor="_Toc212203996" w:history="1">
            <w:r w:rsidRPr="000D7729">
              <w:rPr>
                <w:rStyle w:val="Hyperlink"/>
                <w:noProof/>
              </w:rPr>
              <w:t>2.</w:t>
            </w:r>
            <w:r>
              <w:rPr>
                <w:rFonts w:asciiTheme="minorHAnsi" w:eastAsiaTheme="minorEastAsia" w:hAnsiTheme="minorHAnsi" w:cstheme="minorBidi"/>
                <w:noProof/>
                <w:kern w:val="2"/>
                <w:szCs w:val="24"/>
                <w:lang w:eastAsia="en-AU"/>
                <w14:ligatures w14:val="standardContextual"/>
              </w:rPr>
              <w:tab/>
            </w:r>
            <w:r w:rsidRPr="000D7729">
              <w:rPr>
                <w:rStyle w:val="Hyperlink"/>
                <w:noProof/>
              </w:rPr>
              <w:t>Submission context</w:t>
            </w:r>
            <w:r>
              <w:rPr>
                <w:noProof/>
                <w:webHidden/>
              </w:rPr>
              <w:tab/>
            </w:r>
            <w:r>
              <w:rPr>
                <w:noProof/>
                <w:webHidden/>
              </w:rPr>
              <w:fldChar w:fldCharType="begin"/>
            </w:r>
            <w:r>
              <w:rPr>
                <w:noProof/>
                <w:webHidden/>
              </w:rPr>
              <w:instrText xml:space="preserve"> PAGEREF _Toc212203996 \h </w:instrText>
            </w:r>
            <w:r>
              <w:rPr>
                <w:noProof/>
                <w:webHidden/>
              </w:rPr>
            </w:r>
            <w:r>
              <w:rPr>
                <w:noProof/>
                <w:webHidden/>
              </w:rPr>
              <w:fldChar w:fldCharType="separate"/>
            </w:r>
            <w:r>
              <w:rPr>
                <w:noProof/>
                <w:webHidden/>
              </w:rPr>
              <w:t>5</w:t>
            </w:r>
            <w:r>
              <w:rPr>
                <w:noProof/>
                <w:webHidden/>
              </w:rPr>
              <w:fldChar w:fldCharType="end"/>
            </w:r>
          </w:hyperlink>
        </w:p>
        <w:p w14:paraId="7E00D883" w14:textId="1CE2050C" w:rsidR="00E508E4" w:rsidRDefault="00E508E4">
          <w:pPr>
            <w:pStyle w:val="TOC1"/>
            <w:tabs>
              <w:tab w:val="left" w:pos="480"/>
              <w:tab w:val="right" w:leader="dot" w:pos="10790"/>
            </w:tabs>
            <w:rPr>
              <w:rFonts w:asciiTheme="minorHAnsi" w:eastAsiaTheme="minorEastAsia" w:hAnsiTheme="minorHAnsi" w:cstheme="minorBidi"/>
              <w:noProof/>
              <w:kern w:val="2"/>
              <w:szCs w:val="24"/>
              <w:lang w:eastAsia="en-AU"/>
              <w14:ligatures w14:val="standardContextual"/>
            </w:rPr>
          </w:pPr>
          <w:hyperlink w:anchor="_Toc212203997" w:history="1">
            <w:r w:rsidRPr="000D7729">
              <w:rPr>
                <w:rStyle w:val="Hyperlink"/>
                <w:noProof/>
              </w:rPr>
              <w:t>3.</w:t>
            </w:r>
            <w:r>
              <w:rPr>
                <w:rFonts w:asciiTheme="minorHAnsi" w:eastAsiaTheme="minorEastAsia" w:hAnsiTheme="minorHAnsi" w:cstheme="minorBidi"/>
                <w:noProof/>
                <w:kern w:val="2"/>
                <w:szCs w:val="24"/>
                <w:lang w:eastAsia="en-AU"/>
                <w14:ligatures w14:val="standardContextual"/>
              </w:rPr>
              <w:tab/>
            </w:r>
            <w:r w:rsidRPr="000D7729">
              <w:rPr>
                <w:rStyle w:val="Hyperlink"/>
                <w:noProof/>
              </w:rPr>
              <w:t>Blind Citizens Australia Summary Position</w:t>
            </w:r>
            <w:r>
              <w:rPr>
                <w:noProof/>
                <w:webHidden/>
              </w:rPr>
              <w:tab/>
            </w:r>
            <w:r>
              <w:rPr>
                <w:noProof/>
                <w:webHidden/>
              </w:rPr>
              <w:fldChar w:fldCharType="begin"/>
            </w:r>
            <w:r>
              <w:rPr>
                <w:noProof/>
                <w:webHidden/>
              </w:rPr>
              <w:instrText xml:space="preserve"> PAGEREF _Toc212203997 \h </w:instrText>
            </w:r>
            <w:r>
              <w:rPr>
                <w:noProof/>
                <w:webHidden/>
              </w:rPr>
            </w:r>
            <w:r>
              <w:rPr>
                <w:noProof/>
                <w:webHidden/>
              </w:rPr>
              <w:fldChar w:fldCharType="separate"/>
            </w:r>
            <w:r>
              <w:rPr>
                <w:noProof/>
                <w:webHidden/>
              </w:rPr>
              <w:t>6</w:t>
            </w:r>
            <w:r>
              <w:rPr>
                <w:noProof/>
                <w:webHidden/>
              </w:rPr>
              <w:fldChar w:fldCharType="end"/>
            </w:r>
          </w:hyperlink>
        </w:p>
        <w:p w14:paraId="017F1DB1" w14:textId="5D69284A" w:rsidR="00E508E4" w:rsidRDefault="00E508E4">
          <w:pPr>
            <w:pStyle w:val="TOC1"/>
            <w:tabs>
              <w:tab w:val="left" w:pos="480"/>
              <w:tab w:val="right" w:leader="dot" w:pos="10790"/>
            </w:tabs>
            <w:rPr>
              <w:rFonts w:asciiTheme="minorHAnsi" w:eastAsiaTheme="minorEastAsia" w:hAnsiTheme="minorHAnsi" w:cstheme="minorBidi"/>
              <w:noProof/>
              <w:kern w:val="2"/>
              <w:szCs w:val="24"/>
              <w:lang w:eastAsia="en-AU"/>
              <w14:ligatures w14:val="standardContextual"/>
            </w:rPr>
          </w:pPr>
          <w:hyperlink w:anchor="_Toc212203998" w:history="1">
            <w:r w:rsidRPr="000D7729">
              <w:rPr>
                <w:rStyle w:val="Hyperlink"/>
                <w:noProof/>
              </w:rPr>
              <w:t>4.</w:t>
            </w:r>
            <w:r>
              <w:rPr>
                <w:rFonts w:asciiTheme="minorHAnsi" w:eastAsiaTheme="minorEastAsia" w:hAnsiTheme="minorHAnsi" w:cstheme="minorBidi"/>
                <w:noProof/>
                <w:kern w:val="2"/>
                <w:szCs w:val="24"/>
                <w:lang w:eastAsia="en-AU"/>
                <w14:ligatures w14:val="standardContextual"/>
              </w:rPr>
              <w:tab/>
            </w:r>
            <w:r w:rsidRPr="000D7729">
              <w:rPr>
                <w:rStyle w:val="Hyperlink"/>
                <w:noProof/>
              </w:rPr>
              <w:t>Recommendations</w:t>
            </w:r>
            <w:r>
              <w:rPr>
                <w:noProof/>
                <w:webHidden/>
              </w:rPr>
              <w:tab/>
            </w:r>
            <w:r>
              <w:rPr>
                <w:noProof/>
                <w:webHidden/>
              </w:rPr>
              <w:fldChar w:fldCharType="begin"/>
            </w:r>
            <w:r>
              <w:rPr>
                <w:noProof/>
                <w:webHidden/>
              </w:rPr>
              <w:instrText xml:space="preserve"> PAGEREF _Toc212203998 \h </w:instrText>
            </w:r>
            <w:r>
              <w:rPr>
                <w:noProof/>
                <w:webHidden/>
              </w:rPr>
            </w:r>
            <w:r>
              <w:rPr>
                <w:noProof/>
                <w:webHidden/>
              </w:rPr>
              <w:fldChar w:fldCharType="separate"/>
            </w:r>
            <w:r>
              <w:rPr>
                <w:noProof/>
                <w:webHidden/>
              </w:rPr>
              <w:t>7</w:t>
            </w:r>
            <w:r>
              <w:rPr>
                <w:noProof/>
                <w:webHidden/>
              </w:rPr>
              <w:fldChar w:fldCharType="end"/>
            </w:r>
          </w:hyperlink>
        </w:p>
        <w:p w14:paraId="04A2CBC6" w14:textId="56E2F137" w:rsidR="00E508E4" w:rsidRDefault="00E508E4">
          <w:pPr>
            <w:pStyle w:val="TOC1"/>
            <w:tabs>
              <w:tab w:val="left" w:pos="480"/>
              <w:tab w:val="right" w:leader="dot" w:pos="10790"/>
            </w:tabs>
            <w:rPr>
              <w:rFonts w:asciiTheme="minorHAnsi" w:eastAsiaTheme="minorEastAsia" w:hAnsiTheme="minorHAnsi" w:cstheme="minorBidi"/>
              <w:noProof/>
              <w:kern w:val="2"/>
              <w:szCs w:val="24"/>
              <w:lang w:eastAsia="en-AU"/>
              <w14:ligatures w14:val="standardContextual"/>
            </w:rPr>
          </w:pPr>
          <w:hyperlink w:anchor="_Toc212203999" w:history="1">
            <w:r w:rsidRPr="000D7729">
              <w:rPr>
                <w:rStyle w:val="Hyperlink"/>
                <w:noProof/>
              </w:rPr>
              <w:t>5.</w:t>
            </w:r>
            <w:r>
              <w:rPr>
                <w:rFonts w:asciiTheme="minorHAnsi" w:eastAsiaTheme="minorEastAsia" w:hAnsiTheme="minorHAnsi" w:cstheme="minorBidi"/>
                <w:noProof/>
                <w:kern w:val="2"/>
                <w:szCs w:val="24"/>
                <w:lang w:eastAsia="en-AU"/>
                <w14:ligatures w14:val="standardContextual"/>
              </w:rPr>
              <w:tab/>
            </w:r>
            <w:r w:rsidRPr="000D7729">
              <w:rPr>
                <w:rStyle w:val="Hyperlink"/>
                <w:noProof/>
              </w:rPr>
              <w:t>Response to Issue Paper Review Questions</w:t>
            </w:r>
            <w:r>
              <w:rPr>
                <w:noProof/>
                <w:webHidden/>
              </w:rPr>
              <w:tab/>
            </w:r>
            <w:r>
              <w:rPr>
                <w:noProof/>
                <w:webHidden/>
              </w:rPr>
              <w:fldChar w:fldCharType="begin"/>
            </w:r>
            <w:r>
              <w:rPr>
                <w:noProof/>
                <w:webHidden/>
              </w:rPr>
              <w:instrText xml:space="preserve"> PAGEREF _Toc212203999 \h </w:instrText>
            </w:r>
            <w:r>
              <w:rPr>
                <w:noProof/>
                <w:webHidden/>
              </w:rPr>
            </w:r>
            <w:r>
              <w:rPr>
                <w:noProof/>
                <w:webHidden/>
              </w:rPr>
              <w:fldChar w:fldCharType="separate"/>
            </w:r>
            <w:r>
              <w:rPr>
                <w:noProof/>
                <w:webHidden/>
              </w:rPr>
              <w:t>10</w:t>
            </w:r>
            <w:r>
              <w:rPr>
                <w:noProof/>
                <w:webHidden/>
              </w:rPr>
              <w:fldChar w:fldCharType="end"/>
            </w:r>
          </w:hyperlink>
        </w:p>
        <w:p w14:paraId="74700E72" w14:textId="2A9A6D14"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0" w:history="1">
            <w:r w:rsidRPr="000D7729">
              <w:rPr>
                <w:rStyle w:val="Hyperlink"/>
                <w:noProof/>
              </w:rPr>
              <w:t>Definition of disability</w:t>
            </w:r>
            <w:r>
              <w:rPr>
                <w:noProof/>
                <w:webHidden/>
              </w:rPr>
              <w:tab/>
            </w:r>
            <w:r>
              <w:rPr>
                <w:noProof/>
                <w:webHidden/>
              </w:rPr>
              <w:fldChar w:fldCharType="begin"/>
            </w:r>
            <w:r>
              <w:rPr>
                <w:noProof/>
                <w:webHidden/>
              </w:rPr>
              <w:instrText xml:space="preserve"> PAGEREF _Toc212204000 \h </w:instrText>
            </w:r>
            <w:r>
              <w:rPr>
                <w:noProof/>
                <w:webHidden/>
              </w:rPr>
            </w:r>
            <w:r>
              <w:rPr>
                <w:noProof/>
                <w:webHidden/>
              </w:rPr>
              <w:fldChar w:fldCharType="separate"/>
            </w:r>
            <w:r>
              <w:rPr>
                <w:noProof/>
                <w:webHidden/>
              </w:rPr>
              <w:t>10</w:t>
            </w:r>
            <w:r>
              <w:rPr>
                <w:noProof/>
                <w:webHidden/>
              </w:rPr>
              <w:fldChar w:fldCharType="end"/>
            </w:r>
          </w:hyperlink>
        </w:p>
        <w:p w14:paraId="09E71480" w14:textId="0F34F05A"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1" w:history="1">
            <w:r w:rsidRPr="000D7729">
              <w:rPr>
                <w:rStyle w:val="Hyperlink"/>
                <w:noProof/>
              </w:rPr>
              <w:t>Intersectionality</w:t>
            </w:r>
            <w:r>
              <w:rPr>
                <w:noProof/>
                <w:webHidden/>
              </w:rPr>
              <w:tab/>
            </w:r>
            <w:r>
              <w:rPr>
                <w:noProof/>
                <w:webHidden/>
              </w:rPr>
              <w:fldChar w:fldCharType="begin"/>
            </w:r>
            <w:r>
              <w:rPr>
                <w:noProof/>
                <w:webHidden/>
              </w:rPr>
              <w:instrText xml:space="preserve"> PAGEREF _Toc212204001 \h </w:instrText>
            </w:r>
            <w:r>
              <w:rPr>
                <w:noProof/>
                <w:webHidden/>
              </w:rPr>
            </w:r>
            <w:r>
              <w:rPr>
                <w:noProof/>
                <w:webHidden/>
              </w:rPr>
              <w:fldChar w:fldCharType="separate"/>
            </w:r>
            <w:r>
              <w:rPr>
                <w:noProof/>
                <w:webHidden/>
              </w:rPr>
              <w:t>11</w:t>
            </w:r>
            <w:r>
              <w:rPr>
                <w:noProof/>
                <w:webHidden/>
              </w:rPr>
              <w:fldChar w:fldCharType="end"/>
            </w:r>
          </w:hyperlink>
        </w:p>
        <w:p w14:paraId="010A2814" w14:textId="6C15998D"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2" w:history="1">
            <w:r w:rsidRPr="000D7729">
              <w:rPr>
                <w:rStyle w:val="Hyperlink"/>
                <w:noProof/>
              </w:rPr>
              <w:t>Definition of direct discrimination</w:t>
            </w:r>
            <w:r>
              <w:rPr>
                <w:noProof/>
                <w:webHidden/>
              </w:rPr>
              <w:tab/>
            </w:r>
            <w:r>
              <w:rPr>
                <w:noProof/>
                <w:webHidden/>
              </w:rPr>
              <w:fldChar w:fldCharType="begin"/>
            </w:r>
            <w:r>
              <w:rPr>
                <w:noProof/>
                <w:webHidden/>
              </w:rPr>
              <w:instrText xml:space="preserve"> PAGEREF _Toc212204002 \h </w:instrText>
            </w:r>
            <w:r>
              <w:rPr>
                <w:noProof/>
                <w:webHidden/>
              </w:rPr>
            </w:r>
            <w:r>
              <w:rPr>
                <w:noProof/>
                <w:webHidden/>
              </w:rPr>
              <w:fldChar w:fldCharType="separate"/>
            </w:r>
            <w:r>
              <w:rPr>
                <w:noProof/>
                <w:webHidden/>
              </w:rPr>
              <w:t>12</w:t>
            </w:r>
            <w:r>
              <w:rPr>
                <w:noProof/>
                <w:webHidden/>
              </w:rPr>
              <w:fldChar w:fldCharType="end"/>
            </w:r>
          </w:hyperlink>
        </w:p>
        <w:p w14:paraId="7DB035DE" w14:textId="7D75C3CA"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3" w:history="1">
            <w:r w:rsidRPr="000D7729">
              <w:rPr>
                <w:rStyle w:val="Hyperlink"/>
                <w:noProof/>
              </w:rPr>
              <w:t>Burden of proof</w:t>
            </w:r>
            <w:r>
              <w:rPr>
                <w:noProof/>
                <w:webHidden/>
              </w:rPr>
              <w:tab/>
            </w:r>
            <w:r>
              <w:rPr>
                <w:noProof/>
                <w:webHidden/>
              </w:rPr>
              <w:fldChar w:fldCharType="begin"/>
            </w:r>
            <w:r>
              <w:rPr>
                <w:noProof/>
                <w:webHidden/>
              </w:rPr>
              <w:instrText xml:space="preserve"> PAGEREF _Toc212204003 \h </w:instrText>
            </w:r>
            <w:r>
              <w:rPr>
                <w:noProof/>
                <w:webHidden/>
              </w:rPr>
            </w:r>
            <w:r>
              <w:rPr>
                <w:noProof/>
                <w:webHidden/>
              </w:rPr>
              <w:fldChar w:fldCharType="separate"/>
            </w:r>
            <w:r>
              <w:rPr>
                <w:noProof/>
                <w:webHidden/>
              </w:rPr>
              <w:t>13</w:t>
            </w:r>
            <w:r>
              <w:rPr>
                <w:noProof/>
                <w:webHidden/>
              </w:rPr>
              <w:fldChar w:fldCharType="end"/>
            </w:r>
          </w:hyperlink>
        </w:p>
        <w:p w14:paraId="6C0F851A" w14:textId="54D72034"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4" w:history="1">
            <w:r w:rsidRPr="000D7729">
              <w:rPr>
                <w:rStyle w:val="Hyperlink"/>
                <w:noProof/>
              </w:rPr>
              <w:t>Definition of indirect discrimination</w:t>
            </w:r>
            <w:r>
              <w:rPr>
                <w:noProof/>
                <w:webHidden/>
              </w:rPr>
              <w:tab/>
            </w:r>
            <w:r>
              <w:rPr>
                <w:noProof/>
                <w:webHidden/>
              </w:rPr>
              <w:fldChar w:fldCharType="begin"/>
            </w:r>
            <w:r>
              <w:rPr>
                <w:noProof/>
                <w:webHidden/>
              </w:rPr>
              <w:instrText xml:space="preserve"> PAGEREF _Toc212204004 \h </w:instrText>
            </w:r>
            <w:r>
              <w:rPr>
                <w:noProof/>
                <w:webHidden/>
              </w:rPr>
            </w:r>
            <w:r>
              <w:rPr>
                <w:noProof/>
                <w:webHidden/>
              </w:rPr>
              <w:fldChar w:fldCharType="separate"/>
            </w:r>
            <w:r>
              <w:rPr>
                <w:noProof/>
                <w:webHidden/>
              </w:rPr>
              <w:t>14</w:t>
            </w:r>
            <w:r>
              <w:rPr>
                <w:noProof/>
                <w:webHidden/>
              </w:rPr>
              <w:fldChar w:fldCharType="end"/>
            </w:r>
          </w:hyperlink>
        </w:p>
        <w:p w14:paraId="2A721AC7" w14:textId="50FBB1F1"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5" w:history="1">
            <w:r w:rsidRPr="000D7729">
              <w:rPr>
                <w:rStyle w:val="Hyperlink"/>
                <w:noProof/>
              </w:rPr>
              <w:t>Convention on the rights of persons with disabilities</w:t>
            </w:r>
            <w:r>
              <w:rPr>
                <w:noProof/>
                <w:webHidden/>
              </w:rPr>
              <w:tab/>
            </w:r>
            <w:r>
              <w:rPr>
                <w:noProof/>
                <w:webHidden/>
              </w:rPr>
              <w:fldChar w:fldCharType="begin"/>
            </w:r>
            <w:r>
              <w:rPr>
                <w:noProof/>
                <w:webHidden/>
              </w:rPr>
              <w:instrText xml:space="preserve"> PAGEREF _Toc212204005 \h </w:instrText>
            </w:r>
            <w:r>
              <w:rPr>
                <w:noProof/>
                <w:webHidden/>
              </w:rPr>
            </w:r>
            <w:r>
              <w:rPr>
                <w:noProof/>
                <w:webHidden/>
              </w:rPr>
              <w:fldChar w:fldCharType="separate"/>
            </w:r>
            <w:r>
              <w:rPr>
                <w:noProof/>
                <w:webHidden/>
              </w:rPr>
              <w:t>15</w:t>
            </w:r>
            <w:r>
              <w:rPr>
                <w:noProof/>
                <w:webHidden/>
              </w:rPr>
              <w:fldChar w:fldCharType="end"/>
            </w:r>
          </w:hyperlink>
        </w:p>
        <w:p w14:paraId="767A0028" w14:textId="384D5151"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6" w:history="1">
            <w:r w:rsidRPr="000D7729">
              <w:rPr>
                <w:rStyle w:val="Hyperlink"/>
                <w:noProof/>
              </w:rPr>
              <w:t>Human rights treaties</w:t>
            </w:r>
            <w:r>
              <w:rPr>
                <w:noProof/>
                <w:webHidden/>
              </w:rPr>
              <w:tab/>
            </w:r>
            <w:r>
              <w:rPr>
                <w:noProof/>
                <w:webHidden/>
              </w:rPr>
              <w:fldChar w:fldCharType="begin"/>
            </w:r>
            <w:r>
              <w:rPr>
                <w:noProof/>
                <w:webHidden/>
              </w:rPr>
              <w:instrText xml:space="preserve"> PAGEREF _Toc212204006 \h </w:instrText>
            </w:r>
            <w:r>
              <w:rPr>
                <w:noProof/>
                <w:webHidden/>
              </w:rPr>
            </w:r>
            <w:r>
              <w:rPr>
                <w:noProof/>
                <w:webHidden/>
              </w:rPr>
              <w:fldChar w:fldCharType="separate"/>
            </w:r>
            <w:r>
              <w:rPr>
                <w:noProof/>
                <w:webHidden/>
              </w:rPr>
              <w:t>16</w:t>
            </w:r>
            <w:r>
              <w:rPr>
                <w:noProof/>
                <w:webHidden/>
              </w:rPr>
              <w:fldChar w:fldCharType="end"/>
            </w:r>
          </w:hyperlink>
        </w:p>
        <w:p w14:paraId="416503C1" w14:textId="61FB1BB5"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7" w:history="1">
            <w:r w:rsidRPr="000D7729">
              <w:rPr>
                <w:rStyle w:val="Hyperlink"/>
                <w:noProof/>
              </w:rPr>
              <w:t>Positive duty to eliminate discrimination</w:t>
            </w:r>
            <w:r>
              <w:rPr>
                <w:noProof/>
                <w:webHidden/>
              </w:rPr>
              <w:tab/>
            </w:r>
            <w:r>
              <w:rPr>
                <w:noProof/>
                <w:webHidden/>
              </w:rPr>
              <w:fldChar w:fldCharType="begin"/>
            </w:r>
            <w:r>
              <w:rPr>
                <w:noProof/>
                <w:webHidden/>
              </w:rPr>
              <w:instrText xml:space="preserve"> PAGEREF _Toc212204007 \h </w:instrText>
            </w:r>
            <w:r>
              <w:rPr>
                <w:noProof/>
                <w:webHidden/>
              </w:rPr>
            </w:r>
            <w:r>
              <w:rPr>
                <w:noProof/>
                <w:webHidden/>
              </w:rPr>
              <w:fldChar w:fldCharType="separate"/>
            </w:r>
            <w:r>
              <w:rPr>
                <w:noProof/>
                <w:webHidden/>
              </w:rPr>
              <w:t>16</w:t>
            </w:r>
            <w:r>
              <w:rPr>
                <w:noProof/>
                <w:webHidden/>
              </w:rPr>
              <w:fldChar w:fldCharType="end"/>
            </w:r>
          </w:hyperlink>
        </w:p>
        <w:p w14:paraId="5B4DDB74" w14:textId="62426C83"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8" w:history="1">
            <w:r w:rsidRPr="000D7729">
              <w:rPr>
                <w:rStyle w:val="Hyperlink"/>
                <w:noProof/>
              </w:rPr>
              <w:t>Duty holder accountability</w:t>
            </w:r>
            <w:r>
              <w:rPr>
                <w:noProof/>
                <w:webHidden/>
              </w:rPr>
              <w:tab/>
            </w:r>
            <w:r>
              <w:rPr>
                <w:noProof/>
                <w:webHidden/>
              </w:rPr>
              <w:fldChar w:fldCharType="begin"/>
            </w:r>
            <w:r>
              <w:rPr>
                <w:noProof/>
                <w:webHidden/>
              </w:rPr>
              <w:instrText xml:space="preserve"> PAGEREF _Toc212204008 \h </w:instrText>
            </w:r>
            <w:r>
              <w:rPr>
                <w:noProof/>
                <w:webHidden/>
              </w:rPr>
            </w:r>
            <w:r>
              <w:rPr>
                <w:noProof/>
                <w:webHidden/>
              </w:rPr>
              <w:fldChar w:fldCharType="separate"/>
            </w:r>
            <w:r>
              <w:rPr>
                <w:noProof/>
                <w:webHidden/>
              </w:rPr>
              <w:t>19</w:t>
            </w:r>
            <w:r>
              <w:rPr>
                <w:noProof/>
                <w:webHidden/>
              </w:rPr>
              <w:fldChar w:fldCharType="end"/>
            </w:r>
          </w:hyperlink>
        </w:p>
        <w:p w14:paraId="54E8D0E6" w14:textId="0ED7A890"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09" w:history="1">
            <w:r w:rsidRPr="000D7729">
              <w:rPr>
                <w:rStyle w:val="Hyperlink"/>
                <w:noProof/>
              </w:rPr>
              <w:t>Duty to provide adjustments</w:t>
            </w:r>
            <w:r>
              <w:rPr>
                <w:noProof/>
                <w:webHidden/>
              </w:rPr>
              <w:tab/>
            </w:r>
            <w:r>
              <w:rPr>
                <w:noProof/>
                <w:webHidden/>
              </w:rPr>
              <w:fldChar w:fldCharType="begin"/>
            </w:r>
            <w:r>
              <w:rPr>
                <w:noProof/>
                <w:webHidden/>
              </w:rPr>
              <w:instrText xml:space="preserve"> PAGEREF _Toc212204009 \h </w:instrText>
            </w:r>
            <w:r>
              <w:rPr>
                <w:noProof/>
                <w:webHidden/>
              </w:rPr>
            </w:r>
            <w:r>
              <w:rPr>
                <w:noProof/>
                <w:webHidden/>
              </w:rPr>
              <w:fldChar w:fldCharType="separate"/>
            </w:r>
            <w:r>
              <w:rPr>
                <w:noProof/>
                <w:webHidden/>
              </w:rPr>
              <w:t>21</w:t>
            </w:r>
            <w:r>
              <w:rPr>
                <w:noProof/>
                <w:webHidden/>
              </w:rPr>
              <w:fldChar w:fldCharType="end"/>
            </w:r>
          </w:hyperlink>
        </w:p>
        <w:p w14:paraId="02A2E6A5" w14:textId="45837309"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0" w:history="1">
            <w:r w:rsidRPr="000D7729">
              <w:rPr>
                <w:rStyle w:val="Hyperlink"/>
                <w:noProof/>
              </w:rPr>
              <w:t>Unjustifiable hardship</w:t>
            </w:r>
            <w:r>
              <w:rPr>
                <w:noProof/>
                <w:webHidden/>
              </w:rPr>
              <w:tab/>
            </w:r>
            <w:r>
              <w:rPr>
                <w:noProof/>
                <w:webHidden/>
              </w:rPr>
              <w:fldChar w:fldCharType="begin"/>
            </w:r>
            <w:r>
              <w:rPr>
                <w:noProof/>
                <w:webHidden/>
              </w:rPr>
              <w:instrText xml:space="preserve"> PAGEREF _Toc212204010 \h </w:instrText>
            </w:r>
            <w:r>
              <w:rPr>
                <w:noProof/>
                <w:webHidden/>
              </w:rPr>
            </w:r>
            <w:r>
              <w:rPr>
                <w:noProof/>
                <w:webHidden/>
              </w:rPr>
              <w:fldChar w:fldCharType="separate"/>
            </w:r>
            <w:r>
              <w:rPr>
                <w:noProof/>
                <w:webHidden/>
              </w:rPr>
              <w:t>23</w:t>
            </w:r>
            <w:r>
              <w:rPr>
                <w:noProof/>
                <w:webHidden/>
              </w:rPr>
              <w:fldChar w:fldCharType="end"/>
            </w:r>
          </w:hyperlink>
        </w:p>
        <w:p w14:paraId="3E76E850" w14:textId="772475A3"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1" w:history="1">
            <w:r w:rsidRPr="000D7729">
              <w:rPr>
                <w:rStyle w:val="Hyperlink"/>
                <w:noProof/>
              </w:rPr>
              <w:t>Adjustments and inherent requirements in employment</w:t>
            </w:r>
            <w:r>
              <w:rPr>
                <w:noProof/>
                <w:webHidden/>
              </w:rPr>
              <w:tab/>
            </w:r>
            <w:r>
              <w:rPr>
                <w:noProof/>
                <w:webHidden/>
              </w:rPr>
              <w:fldChar w:fldCharType="begin"/>
            </w:r>
            <w:r>
              <w:rPr>
                <w:noProof/>
                <w:webHidden/>
              </w:rPr>
              <w:instrText xml:space="preserve"> PAGEREF _Toc212204011 \h </w:instrText>
            </w:r>
            <w:r>
              <w:rPr>
                <w:noProof/>
                <w:webHidden/>
              </w:rPr>
            </w:r>
            <w:r>
              <w:rPr>
                <w:noProof/>
                <w:webHidden/>
              </w:rPr>
              <w:fldChar w:fldCharType="separate"/>
            </w:r>
            <w:r>
              <w:rPr>
                <w:noProof/>
                <w:webHidden/>
              </w:rPr>
              <w:t>24</w:t>
            </w:r>
            <w:r>
              <w:rPr>
                <w:noProof/>
                <w:webHidden/>
              </w:rPr>
              <w:fldChar w:fldCharType="end"/>
            </w:r>
          </w:hyperlink>
        </w:p>
        <w:p w14:paraId="72BB0A85" w14:textId="4737ACCB"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2" w:history="1">
            <w:r w:rsidRPr="000D7729">
              <w:rPr>
                <w:rStyle w:val="Hyperlink"/>
                <w:noProof/>
              </w:rPr>
              <w:t>Volunteers and unpaid workers</w:t>
            </w:r>
            <w:r>
              <w:rPr>
                <w:noProof/>
                <w:webHidden/>
              </w:rPr>
              <w:tab/>
            </w:r>
            <w:r>
              <w:rPr>
                <w:noProof/>
                <w:webHidden/>
              </w:rPr>
              <w:fldChar w:fldCharType="begin"/>
            </w:r>
            <w:r>
              <w:rPr>
                <w:noProof/>
                <w:webHidden/>
              </w:rPr>
              <w:instrText xml:space="preserve"> PAGEREF _Toc212204012 \h </w:instrText>
            </w:r>
            <w:r>
              <w:rPr>
                <w:noProof/>
                <w:webHidden/>
              </w:rPr>
            </w:r>
            <w:r>
              <w:rPr>
                <w:noProof/>
                <w:webHidden/>
              </w:rPr>
              <w:fldChar w:fldCharType="separate"/>
            </w:r>
            <w:r>
              <w:rPr>
                <w:noProof/>
                <w:webHidden/>
              </w:rPr>
              <w:t>26</w:t>
            </w:r>
            <w:r>
              <w:rPr>
                <w:noProof/>
                <w:webHidden/>
              </w:rPr>
              <w:fldChar w:fldCharType="end"/>
            </w:r>
          </w:hyperlink>
        </w:p>
        <w:p w14:paraId="0C8F8FC6" w14:textId="3E109192"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3" w:history="1">
            <w:r w:rsidRPr="000D7729">
              <w:rPr>
                <w:rStyle w:val="Hyperlink"/>
                <w:noProof/>
              </w:rPr>
              <w:t>Exclusions in educational institutions</w:t>
            </w:r>
            <w:r>
              <w:rPr>
                <w:noProof/>
                <w:webHidden/>
              </w:rPr>
              <w:tab/>
            </w:r>
            <w:r>
              <w:rPr>
                <w:noProof/>
                <w:webHidden/>
              </w:rPr>
              <w:fldChar w:fldCharType="begin"/>
            </w:r>
            <w:r>
              <w:rPr>
                <w:noProof/>
                <w:webHidden/>
              </w:rPr>
              <w:instrText xml:space="preserve"> PAGEREF _Toc212204013 \h </w:instrText>
            </w:r>
            <w:r>
              <w:rPr>
                <w:noProof/>
                <w:webHidden/>
              </w:rPr>
            </w:r>
            <w:r>
              <w:rPr>
                <w:noProof/>
                <w:webHidden/>
              </w:rPr>
              <w:fldChar w:fldCharType="separate"/>
            </w:r>
            <w:r>
              <w:rPr>
                <w:noProof/>
                <w:webHidden/>
              </w:rPr>
              <w:t>27</w:t>
            </w:r>
            <w:r>
              <w:rPr>
                <w:noProof/>
                <w:webHidden/>
              </w:rPr>
              <w:fldChar w:fldCharType="end"/>
            </w:r>
          </w:hyperlink>
        </w:p>
        <w:p w14:paraId="7A8B515A" w14:textId="434BD65A"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4" w:history="1">
            <w:r w:rsidRPr="000D7729">
              <w:rPr>
                <w:rStyle w:val="Hyperlink"/>
                <w:noProof/>
              </w:rPr>
              <w:t>Offensive behaviour, harassment and vilification</w:t>
            </w:r>
            <w:r>
              <w:rPr>
                <w:noProof/>
                <w:webHidden/>
              </w:rPr>
              <w:tab/>
            </w:r>
            <w:r>
              <w:rPr>
                <w:noProof/>
                <w:webHidden/>
              </w:rPr>
              <w:fldChar w:fldCharType="begin"/>
            </w:r>
            <w:r>
              <w:rPr>
                <w:noProof/>
                <w:webHidden/>
              </w:rPr>
              <w:instrText xml:space="preserve"> PAGEREF _Toc212204014 \h </w:instrText>
            </w:r>
            <w:r>
              <w:rPr>
                <w:noProof/>
                <w:webHidden/>
              </w:rPr>
            </w:r>
            <w:r>
              <w:rPr>
                <w:noProof/>
                <w:webHidden/>
              </w:rPr>
              <w:fldChar w:fldCharType="separate"/>
            </w:r>
            <w:r>
              <w:rPr>
                <w:noProof/>
                <w:webHidden/>
              </w:rPr>
              <w:t>29</w:t>
            </w:r>
            <w:r>
              <w:rPr>
                <w:noProof/>
                <w:webHidden/>
              </w:rPr>
              <w:fldChar w:fldCharType="end"/>
            </w:r>
          </w:hyperlink>
        </w:p>
        <w:p w14:paraId="4DBCF343" w14:textId="57B257F4"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5" w:history="1">
            <w:r w:rsidRPr="000D7729">
              <w:rPr>
                <w:rStyle w:val="Hyperlink"/>
                <w:noProof/>
              </w:rPr>
              <w:t>Police and Justice</w:t>
            </w:r>
            <w:r>
              <w:rPr>
                <w:noProof/>
                <w:webHidden/>
              </w:rPr>
              <w:tab/>
            </w:r>
            <w:r>
              <w:rPr>
                <w:noProof/>
                <w:webHidden/>
              </w:rPr>
              <w:fldChar w:fldCharType="begin"/>
            </w:r>
            <w:r>
              <w:rPr>
                <w:noProof/>
                <w:webHidden/>
              </w:rPr>
              <w:instrText xml:space="preserve"> PAGEREF _Toc212204015 \h </w:instrText>
            </w:r>
            <w:r>
              <w:rPr>
                <w:noProof/>
                <w:webHidden/>
              </w:rPr>
            </w:r>
            <w:r>
              <w:rPr>
                <w:noProof/>
                <w:webHidden/>
              </w:rPr>
              <w:fldChar w:fldCharType="separate"/>
            </w:r>
            <w:r>
              <w:rPr>
                <w:noProof/>
                <w:webHidden/>
              </w:rPr>
              <w:t>31</w:t>
            </w:r>
            <w:r>
              <w:rPr>
                <w:noProof/>
                <w:webHidden/>
              </w:rPr>
              <w:fldChar w:fldCharType="end"/>
            </w:r>
          </w:hyperlink>
        </w:p>
        <w:p w14:paraId="64CD3E0F" w14:textId="401E70B6"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6" w:history="1">
            <w:r w:rsidRPr="000D7729">
              <w:rPr>
                <w:rStyle w:val="Hyperlink"/>
                <w:noProof/>
              </w:rPr>
              <w:t>Exemptions</w:t>
            </w:r>
            <w:r>
              <w:rPr>
                <w:noProof/>
                <w:webHidden/>
              </w:rPr>
              <w:tab/>
            </w:r>
            <w:r>
              <w:rPr>
                <w:noProof/>
                <w:webHidden/>
              </w:rPr>
              <w:fldChar w:fldCharType="begin"/>
            </w:r>
            <w:r>
              <w:rPr>
                <w:noProof/>
                <w:webHidden/>
              </w:rPr>
              <w:instrText xml:space="preserve"> PAGEREF _Toc212204016 \h </w:instrText>
            </w:r>
            <w:r>
              <w:rPr>
                <w:noProof/>
                <w:webHidden/>
              </w:rPr>
            </w:r>
            <w:r>
              <w:rPr>
                <w:noProof/>
                <w:webHidden/>
              </w:rPr>
              <w:fldChar w:fldCharType="separate"/>
            </w:r>
            <w:r>
              <w:rPr>
                <w:noProof/>
                <w:webHidden/>
              </w:rPr>
              <w:t>32</w:t>
            </w:r>
            <w:r>
              <w:rPr>
                <w:noProof/>
                <w:webHidden/>
              </w:rPr>
              <w:fldChar w:fldCharType="end"/>
            </w:r>
          </w:hyperlink>
        </w:p>
        <w:p w14:paraId="30D2B4CB" w14:textId="4ACFDFE3"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7" w:history="1">
            <w:r w:rsidRPr="000D7729">
              <w:rPr>
                <w:rStyle w:val="Hyperlink"/>
                <w:noProof/>
              </w:rPr>
              <w:t>Special measures</w:t>
            </w:r>
            <w:r>
              <w:rPr>
                <w:noProof/>
                <w:webHidden/>
              </w:rPr>
              <w:tab/>
            </w:r>
            <w:r>
              <w:rPr>
                <w:noProof/>
                <w:webHidden/>
              </w:rPr>
              <w:fldChar w:fldCharType="begin"/>
            </w:r>
            <w:r>
              <w:rPr>
                <w:noProof/>
                <w:webHidden/>
              </w:rPr>
              <w:instrText xml:space="preserve"> PAGEREF _Toc212204017 \h </w:instrText>
            </w:r>
            <w:r>
              <w:rPr>
                <w:noProof/>
                <w:webHidden/>
              </w:rPr>
            </w:r>
            <w:r>
              <w:rPr>
                <w:noProof/>
                <w:webHidden/>
              </w:rPr>
              <w:fldChar w:fldCharType="separate"/>
            </w:r>
            <w:r>
              <w:rPr>
                <w:noProof/>
                <w:webHidden/>
              </w:rPr>
              <w:t>32</w:t>
            </w:r>
            <w:r>
              <w:rPr>
                <w:noProof/>
                <w:webHidden/>
              </w:rPr>
              <w:fldChar w:fldCharType="end"/>
            </w:r>
          </w:hyperlink>
        </w:p>
        <w:p w14:paraId="1E6EA671" w14:textId="0653BA5B"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8" w:history="1">
            <w:r w:rsidRPr="000D7729">
              <w:rPr>
                <w:rStyle w:val="Hyperlink"/>
                <w:noProof/>
              </w:rPr>
              <w:t>Assistance Animals</w:t>
            </w:r>
            <w:r>
              <w:rPr>
                <w:noProof/>
                <w:webHidden/>
              </w:rPr>
              <w:tab/>
            </w:r>
            <w:r>
              <w:rPr>
                <w:noProof/>
                <w:webHidden/>
              </w:rPr>
              <w:fldChar w:fldCharType="begin"/>
            </w:r>
            <w:r>
              <w:rPr>
                <w:noProof/>
                <w:webHidden/>
              </w:rPr>
              <w:instrText xml:space="preserve"> PAGEREF _Toc212204018 \h </w:instrText>
            </w:r>
            <w:r>
              <w:rPr>
                <w:noProof/>
                <w:webHidden/>
              </w:rPr>
            </w:r>
            <w:r>
              <w:rPr>
                <w:noProof/>
                <w:webHidden/>
              </w:rPr>
              <w:fldChar w:fldCharType="separate"/>
            </w:r>
            <w:r>
              <w:rPr>
                <w:noProof/>
                <w:webHidden/>
              </w:rPr>
              <w:t>34</w:t>
            </w:r>
            <w:r>
              <w:rPr>
                <w:noProof/>
                <w:webHidden/>
              </w:rPr>
              <w:fldChar w:fldCharType="end"/>
            </w:r>
          </w:hyperlink>
        </w:p>
        <w:p w14:paraId="15F3F699" w14:textId="6B37D96C"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19" w:history="1">
            <w:r w:rsidRPr="000D7729">
              <w:rPr>
                <w:rStyle w:val="Hyperlink"/>
                <w:noProof/>
              </w:rPr>
              <w:t>Disability Action Plans</w:t>
            </w:r>
            <w:r>
              <w:rPr>
                <w:noProof/>
                <w:webHidden/>
              </w:rPr>
              <w:tab/>
            </w:r>
            <w:r>
              <w:rPr>
                <w:noProof/>
                <w:webHidden/>
              </w:rPr>
              <w:fldChar w:fldCharType="begin"/>
            </w:r>
            <w:r>
              <w:rPr>
                <w:noProof/>
                <w:webHidden/>
              </w:rPr>
              <w:instrText xml:space="preserve"> PAGEREF _Toc212204019 \h </w:instrText>
            </w:r>
            <w:r>
              <w:rPr>
                <w:noProof/>
                <w:webHidden/>
              </w:rPr>
            </w:r>
            <w:r>
              <w:rPr>
                <w:noProof/>
                <w:webHidden/>
              </w:rPr>
              <w:fldChar w:fldCharType="separate"/>
            </w:r>
            <w:r>
              <w:rPr>
                <w:noProof/>
                <w:webHidden/>
              </w:rPr>
              <w:t>36</w:t>
            </w:r>
            <w:r>
              <w:rPr>
                <w:noProof/>
                <w:webHidden/>
              </w:rPr>
              <w:fldChar w:fldCharType="end"/>
            </w:r>
          </w:hyperlink>
        </w:p>
        <w:p w14:paraId="4B48123D" w14:textId="16E33AED"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0" w:history="1">
            <w:r w:rsidRPr="000D7729">
              <w:rPr>
                <w:rStyle w:val="Hyperlink"/>
                <w:noProof/>
              </w:rPr>
              <w:t>Disability Standards</w:t>
            </w:r>
            <w:r>
              <w:rPr>
                <w:noProof/>
                <w:webHidden/>
              </w:rPr>
              <w:tab/>
            </w:r>
            <w:r>
              <w:rPr>
                <w:noProof/>
                <w:webHidden/>
              </w:rPr>
              <w:fldChar w:fldCharType="begin"/>
            </w:r>
            <w:r>
              <w:rPr>
                <w:noProof/>
                <w:webHidden/>
              </w:rPr>
              <w:instrText xml:space="preserve"> PAGEREF _Toc212204020 \h </w:instrText>
            </w:r>
            <w:r>
              <w:rPr>
                <w:noProof/>
                <w:webHidden/>
              </w:rPr>
            </w:r>
            <w:r>
              <w:rPr>
                <w:noProof/>
                <w:webHidden/>
              </w:rPr>
              <w:fldChar w:fldCharType="separate"/>
            </w:r>
            <w:r>
              <w:rPr>
                <w:noProof/>
                <w:webHidden/>
              </w:rPr>
              <w:t>37</w:t>
            </w:r>
            <w:r>
              <w:rPr>
                <w:noProof/>
                <w:webHidden/>
              </w:rPr>
              <w:fldChar w:fldCharType="end"/>
            </w:r>
          </w:hyperlink>
        </w:p>
        <w:p w14:paraId="26F09304" w14:textId="24C075EE"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1" w:history="1">
            <w:r w:rsidRPr="000D7729">
              <w:rPr>
                <w:rStyle w:val="Hyperlink"/>
                <w:noProof/>
              </w:rPr>
              <w:t>Further options for reform</w:t>
            </w:r>
            <w:r>
              <w:rPr>
                <w:noProof/>
                <w:webHidden/>
              </w:rPr>
              <w:tab/>
            </w:r>
            <w:r>
              <w:rPr>
                <w:noProof/>
                <w:webHidden/>
              </w:rPr>
              <w:fldChar w:fldCharType="begin"/>
            </w:r>
            <w:r>
              <w:rPr>
                <w:noProof/>
                <w:webHidden/>
              </w:rPr>
              <w:instrText xml:space="preserve"> PAGEREF _Toc212204021 \h </w:instrText>
            </w:r>
            <w:r>
              <w:rPr>
                <w:noProof/>
                <w:webHidden/>
              </w:rPr>
            </w:r>
            <w:r>
              <w:rPr>
                <w:noProof/>
                <w:webHidden/>
              </w:rPr>
              <w:fldChar w:fldCharType="separate"/>
            </w:r>
            <w:r>
              <w:rPr>
                <w:noProof/>
                <w:webHidden/>
              </w:rPr>
              <w:t>39</w:t>
            </w:r>
            <w:r>
              <w:rPr>
                <w:noProof/>
                <w:webHidden/>
              </w:rPr>
              <w:fldChar w:fldCharType="end"/>
            </w:r>
          </w:hyperlink>
        </w:p>
        <w:p w14:paraId="7644C6A8" w14:textId="6752403E"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2" w:history="1">
            <w:r w:rsidRPr="000D7729">
              <w:rPr>
                <w:rStyle w:val="Hyperlink"/>
                <w:noProof/>
              </w:rPr>
              <w:t>Access to information</w:t>
            </w:r>
            <w:r>
              <w:rPr>
                <w:noProof/>
                <w:webHidden/>
              </w:rPr>
              <w:tab/>
            </w:r>
            <w:r>
              <w:rPr>
                <w:noProof/>
                <w:webHidden/>
              </w:rPr>
              <w:fldChar w:fldCharType="begin"/>
            </w:r>
            <w:r>
              <w:rPr>
                <w:noProof/>
                <w:webHidden/>
              </w:rPr>
              <w:instrText xml:space="preserve"> PAGEREF _Toc212204022 \h </w:instrText>
            </w:r>
            <w:r>
              <w:rPr>
                <w:noProof/>
                <w:webHidden/>
              </w:rPr>
            </w:r>
            <w:r>
              <w:rPr>
                <w:noProof/>
                <w:webHidden/>
              </w:rPr>
              <w:fldChar w:fldCharType="separate"/>
            </w:r>
            <w:r>
              <w:rPr>
                <w:noProof/>
                <w:webHidden/>
              </w:rPr>
              <w:t>40</w:t>
            </w:r>
            <w:r>
              <w:rPr>
                <w:noProof/>
                <w:webHidden/>
              </w:rPr>
              <w:fldChar w:fldCharType="end"/>
            </w:r>
          </w:hyperlink>
        </w:p>
        <w:p w14:paraId="478622CD" w14:textId="59347D33"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3" w:history="1">
            <w:r w:rsidRPr="000D7729">
              <w:rPr>
                <w:rStyle w:val="Hyperlink"/>
                <w:noProof/>
              </w:rPr>
              <w:t>Digital accessibility</w:t>
            </w:r>
            <w:r>
              <w:rPr>
                <w:noProof/>
                <w:webHidden/>
              </w:rPr>
              <w:tab/>
            </w:r>
            <w:r>
              <w:rPr>
                <w:noProof/>
                <w:webHidden/>
              </w:rPr>
              <w:fldChar w:fldCharType="begin"/>
            </w:r>
            <w:r>
              <w:rPr>
                <w:noProof/>
                <w:webHidden/>
              </w:rPr>
              <w:instrText xml:space="preserve"> PAGEREF _Toc212204023 \h </w:instrText>
            </w:r>
            <w:r>
              <w:rPr>
                <w:noProof/>
                <w:webHidden/>
              </w:rPr>
            </w:r>
            <w:r>
              <w:rPr>
                <w:noProof/>
                <w:webHidden/>
              </w:rPr>
              <w:fldChar w:fldCharType="separate"/>
            </w:r>
            <w:r>
              <w:rPr>
                <w:noProof/>
                <w:webHidden/>
              </w:rPr>
              <w:t>42</w:t>
            </w:r>
            <w:r>
              <w:rPr>
                <w:noProof/>
                <w:webHidden/>
              </w:rPr>
              <w:fldChar w:fldCharType="end"/>
            </w:r>
          </w:hyperlink>
        </w:p>
        <w:p w14:paraId="7FF1F167" w14:textId="0B3E21A0"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4" w:history="1">
            <w:r w:rsidRPr="000D7729">
              <w:rPr>
                <w:rStyle w:val="Hyperlink"/>
                <w:noProof/>
              </w:rPr>
              <w:t>Complaints, compliance and penalties</w:t>
            </w:r>
            <w:r>
              <w:rPr>
                <w:noProof/>
                <w:webHidden/>
              </w:rPr>
              <w:tab/>
            </w:r>
            <w:r>
              <w:rPr>
                <w:noProof/>
                <w:webHidden/>
              </w:rPr>
              <w:fldChar w:fldCharType="begin"/>
            </w:r>
            <w:r>
              <w:rPr>
                <w:noProof/>
                <w:webHidden/>
              </w:rPr>
              <w:instrText xml:space="preserve"> PAGEREF _Toc212204024 \h </w:instrText>
            </w:r>
            <w:r>
              <w:rPr>
                <w:noProof/>
                <w:webHidden/>
              </w:rPr>
            </w:r>
            <w:r>
              <w:rPr>
                <w:noProof/>
                <w:webHidden/>
              </w:rPr>
              <w:fldChar w:fldCharType="separate"/>
            </w:r>
            <w:r>
              <w:rPr>
                <w:noProof/>
                <w:webHidden/>
              </w:rPr>
              <w:t>45</w:t>
            </w:r>
            <w:r>
              <w:rPr>
                <w:noProof/>
                <w:webHidden/>
              </w:rPr>
              <w:fldChar w:fldCharType="end"/>
            </w:r>
          </w:hyperlink>
        </w:p>
        <w:p w14:paraId="7FC701F0" w14:textId="3891DB68" w:rsidR="00E508E4" w:rsidRDefault="00E508E4">
          <w:pPr>
            <w:pStyle w:val="TOC2"/>
            <w:tabs>
              <w:tab w:val="right" w:leader="dot" w:pos="10790"/>
            </w:tabs>
            <w:rPr>
              <w:rFonts w:asciiTheme="minorHAnsi" w:eastAsiaTheme="minorEastAsia" w:hAnsiTheme="minorHAnsi" w:cstheme="minorBidi"/>
              <w:noProof/>
              <w:kern w:val="2"/>
              <w:szCs w:val="24"/>
              <w:lang w:eastAsia="en-AU"/>
              <w14:ligatures w14:val="standardContextual"/>
            </w:rPr>
          </w:pPr>
          <w:hyperlink w:anchor="_Toc212204025" w:history="1">
            <w:r w:rsidRPr="000D7729">
              <w:rPr>
                <w:rStyle w:val="Hyperlink"/>
                <w:noProof/>
              </w:rPr>
              <w:t>Accessibility of AHRC complaints system</w:t>
            </w:r>
            <w:r>
              <w:rPr>
                <w:noProof/>
                <w:webHidden/>
              </w:rPr>
              <w:tab/>
            </w:r>
            <w:r>
              <w:rPr>
                <w:noProof/>
                <w:webHidden/>
              </w:rPr>
              <w:fldChar w:fldCharType="begin"/>
            </w:r>
            <w:r>
              <w:rPr>
                <w:noProof/>
                <w:webHidden/>
              </w:rPr>
              <w:instrText xml:space="preserve"> PAGEREF _Toc212204025 \h </w:instrText>
            </w:r>
            <w:r>
              <w:rPr>
                <w:noProof/>
                <w:webHidden/>
              </w:rPr>
            </w:r>
            <w:r>
              <w:rPr>
                <w:noProof/>
                <w:webHidden/>
              </w:rPr>
              <w:fldChar w:fldCharType="separate"/>
            </w:r>
            <w:r>
              <w:rPr>
                <w:noProof/>
                <w:webHidden/>
              </w:rPr>
              <w:t>48</w:t>
            </w:r>
            <w:r>
              <w:rPr>
                <w:noProof/>
                <w:webHidden/>
              </w:rPr>
              <w:fldChar w:fldCharType="end"/>
            </w:r>
          </w:hyperlink>
        </w:p>
        <w:p w14:paraId="6554BCE8" w14:textId="7DC5C010" w:rsidR="00BA11E3" w:rsidRDefault="00BA11E3">
          <w:r>
            <w:rPr>
              <w:b/>
              <w:bCs/>
              <w:noProof/>
            </w:rPr>
            <w:fldChar w:fldCharType="end"/>
          </w:r>
        </w:p>
      </w:sdtContent>
    </w:sdt>
    <w:p w14:paraId="5264BBEE" w14:textId="7E37E5B0" w:rsidR="00F14E5D" w:rsidRDefault="00F14E5D">
      <w:pPr>
        <w:spacing w:before="0" w:after="160" w:line="259" w:lineRule="auto"/>
        <w:rPr>
          <w:rFonts w:eastAsia="MS Gothic"/>
          <w:b/>
          <w:color w:val="4F2260"/>
          <w:kern w:val="28"/>
          <w:sz w:val="40"/>
          <w:szCs w:val="26"/>
        </w:rPr>
      </w:pPr>
      <w:r>
        <w:br w:type="page"/>
      </w:r>
    </w:p>
    <w:p w14:paraId="0B02D357" w14:textId="4B3ED521" w:rsidR="00A36708" w:rsidRPr="00041591" w:rsidRDefault="00A36708" w:rsidP="006736B5">
      <w:pPr>
        <w:pStyle w:val="ChapterHeading"/>
      </w:pPr>
      <w:bookmarkStart w:id="11" w:name="_Toc212203993"/>
      <w:r w:rsidRPr="00041591">
        <w:lastRenderedPageBreak/>
        <w:t>Introduction</w:t>
      </w:r>
      <w:bookmarkEnd w:id="8"/>
      <w:bookmarkEnd w:id="9"/>
      <w:bookmarkEnd w:id="11"/>
    </w:p>
    <w:p w14:paraId="06726BCD" w14:textId="7B995F5B" w:rsidR="00A36708" w:rsidRPr="00041591" w:rsidRDefault="00A36708" w:rsidP="007350B7">
      <w:pPr>
        <w:pStyle w:val="Heading2"/>
      </w:pPr>
      <w:bookmarkStart w:id="12" w:name="_Toc59048283"/>
      <w:bookmarkStart w:id="13" w:name="_Toc175845358"/>
      <w:bookmarkStart w:id="14" w:name="_Toc43900325"/>
      <w:bookmarkStart w:id="15" w:name="_Toc212203994"/>
      <w:r w:rsidRPr="00041591">
        <w:t>1.1 About Blind Citizens Australia</w:t>
      </w:r>
      <w:bookmarkEnd w:id="12"/>
      <w:bookmarkEnd w:id="13"/>
      <w:bookmarkEnd w:id="15"/>
    </w:p>
    <w:p w14:paraId="5E676574" w14:textId="69FE90CA" w:rsidR="001E0757" w:rsidRPr="00041591" w:rsidRDefault="001E0757" w:rsidP="00A36708">
      <w:bookmarkStart w:id="16" w:name="_Toc59048284"/>
      <w:bookmarkEnd w:id="14"/>
      <w:r w:rsidRPr="00041591">
        <w:t xml:space="preserve">Blind Citizens Australia (BCA) is the peak national representative organisation of people in Australia who are blind or vision impaired. For </w:t>
      </w:r>
      <w:r w:rsidR="00BB1132">
        <w:t xml:space="preserve">over </w:t>
      </w:r>
      <w:r w:rsidRPr="00041591">
        <w:t>50 years, BCA has built a strong reputation for empowering Australians who are blind or vision impaired to lead full and active lives and to make meaningful contributions to our communities.</w:t>
      </w:r>
    </w:p>
    <w:p w14:paraId="6E9E5DFA" w14:textId="6438B22F" w:rsidR="00A36708" w:rsidRPr="00041591" w:rsidRDefault="001E0757" w:rsidP="00A36708">
      <w:r w:rsidRPr="00041591">
        <w:t>BCA provides peer support and individual advocacy to people who are blind or vision impaired across Australia. 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organisation, our work is directly informed by lived experience.</w:t>
      </w:r>
      <w:r w:rsidR="00607F42">
        <w:t xml:space="preserve"> </w:t>
      </w:r>
      <w:r w:rsidRPr="00041591">
        <w:t xml:space="preserve">All directors are full members of BCA and </w:t>
      </w:r>
      <w:r w:rsidR="00577BC0" w:rsidRPr="00041591">
        <w:t>most of</w:t>
      </w:r>
      <w:r w:rsidRPr="00041591">
        <w:t xml:space="preserve"> our volunteers and staff are blind or vision impaired. They are of diverse backgrounds and identities</w:t>
      </w:r>
      <w:r w:rsidR="00A36708" w:rsidRPr="00041591">
        <w:t xml:space="preserve">. </w:t>
      </w:r>
    </w:p>
    <w:p w14:paraId="4C883D1A" w14:textId="77777777" w:rsidR="00A36708" w:rsidRPr="00041591" w:rsidRDefault="00A36708" w:rsidP="007350B7">
      <w:pPr>
        <w:pStyle w:val="Heading2"/>
      </w:pPr>
      <w:bookmarkStart w:id="17" w:name="_Toc175845359"/>
      <w:bookmarkStart w:id="18" w:name="_Toc212203995"/>
      <w:r w:rsidRPr="00041591">
        <w:t>1.2 About people who are blind or vision impaired</w:t>
      </w:r>
      <w:bookmarkEnd w:id="16"/>
      <w:bookmarkEnd w:id="17"/>
      <w:bookmarkEnd w:id="18"/>
    </w:p>
    <w:p w14:paraId="219CDCE6" w14:textId="43B710BC" w:rsidR="00A36708" w:rsidRPr="00041591" w:rsidRDefault="00547B49" w:rsidP="007F1752">
      <w:r>
        <w:t xml:space="preserve">According to the Australian Bureau of Statistics (ABS), </w:t>
      </w:r>
      <w:r w:rsidR="007F3284">
        <w:t>m</w:t>
      </w:r>
      <w:r w:rsidR="007F3284" w:rsidRPr="007F3284">
        <w:t xml:space="preserve">ore than 1 in 5 Australians (about 5.5 million people) are people with disability. </w:t>
      </w:r>
      <w:r w:rsidR="00BA09B2">
        <w:t>T</w:t>
      </w:r>
      <w:r>
        <w:t xml:space="preserve">here </w:t>
      </w:r>
      <w:r w:rsidR="00A36708" w:rsidRPr="00041591">
        <w:t xml:space="preserve">are currently more than </w:t>
      </w:r>
      <w:r w:rsidR="008A1806" w:rsidRPr="00041591">
        <w:t>500</w:t>
      </w:r>
      <w:r w:rsidR="00A36708" w:rsidRPr="00041591">
        <w:t>,000 people who are blind or vision impaired in Australia</w:t>
      </w:r>
      <w:r>
        <w:t>;</w:t>
      </w:r>
      <w:r w:rsidR="00A36708" w:rsidRPr="00041591">
        <w:t xml:space="preserve"> with estimates that this will rise to 564,000 by 2030</w:t>
      </w:r>
      <w:r w:rsidR="008A1806" w:rsidRPr="00041591">
        <w:t>.</w:t>
      </w:r>
      <w:r w:rsidR="00A36708" w:rsidRPr="00041591">
        <w:t xml:space="preserve"> </w:t>
      </w:r>
      <w:r w:rsidR="0061184B" w:rsidRPr="0061184B">
        <w:t>About 80% of vision loss in Australia is caused by conditions that are preventable or treatable, many of which become more common with age</w:t>
      </w:r>
      <w:r w:rsidR="00286B37">
        <w:rPr>
          <w:rStyle w:val="FootnoteReference"/>
        </w:rPr>
        <w:footnoteReference w:id="1"/>
      </w:r>
      <w:r w:rsidR="00607F42">
        <w:t>.</w:t>
      </w:r>
    </w:p>
    <w:p w14:paraId="538E1942" w14:textId="048E68FA" w:rsidR="00522820" w:rsidRDefault="00A36708" w:rsidP="00A36708">
      <w:r w:rsidRPr="00041591">
        <w:t xml:space="preserve">Australians who are blind or vision impaired can live rich and active lives and make meaningful contributions to their communities: working, volunteering, raising families and engaging in sports and other recreational activities. </w:t>
      </w:r>
    </w:p>
    <w:p w14:paraId="7E922E34" w14:textId="4251B4B3" w:rsidR="00A36708" w:rsidRPr="00041591" w:rsidRDefault="00A36708" w:rsidP="00A36708">
      <w:r w:rsidRPr="00041591">
        <w:t xml:space="preserve">The extent to which people can actively and independently participate in community life does, however, rely on facilities, services and systems that are available to the public being designed in a way that makes them inclusive of the needs of all citizens – including those who are blind or vision impaired. </w:t>
      </w:r>
    </w:p>
    <w:p w14:paraId="49037135" w14:textId="3AEEEA27" w:rsidR="00A36708" w:rsidRPr="00056ED6" w:rsidRDefault="00A36708" w:rsidP="00056ED6">
      <w:pPr>
        <w:pStyle w:val="ChapterHeading"/>
      </w:pPr>
      <w:bookmarkStart w:id="19" w:name="_Toc59048286"/>
      <w:bookmarkStart w:id="20" w:name="_Toc175845360"/>
      <w:bookmarkStart w:id="21" w:name="_Toc212203996"/>
      <w:r w:rsidRPr="00056ED6">
        <w:lastRenderedPageBreak/>
        <w:t>Submission context</w:t>
      </w:r>
      <w:bookmarkEnd w:id="19"/>
      <w:bookmarkEnd w:id="20"/>
      <w:bookmarkEnd w:id="21"/>
    </w:p>
    <w:p w14:paraId="3431338D" w14:textId="5BEA7BFE" w:rsidR="00FD65A0" w:rsidRDefault="00690D68" w:rsidP="00D70EB0">
      <w:r>
        <w:t>BCA welcomes the opportunity to make a submission</w:t>
      </w:r>
      <w:r w:rsidR="00350D6E">
        <w:t xml:space="preserve"> to </w:t>
      </w:r>
      <w:r w:rsidR="00350D6E" w:rsidRPr="00350D6E">
        <w:t>review of the</w:t>
      </w:r>
      <w:r w:rsidR="00D4382F">
        <w:t xml:space="preserve"> </w:t>
      </w:r>
      <w:r w:rsidR="00D4382F" w:rsidRPr="00F63C6B">
        <w:rPr>
          <w:i/>
          <w:iCs/>
        </w:rPr>
        <w:t>Disability Discrimination Act 1992</w:t>
      </w:r>
      <w:r w:rsidR="00D4382F">
        <w:rPr>
          <w:i/>
          <w:iCs/>
        </w:rPr>
        <w:t xml:space="preserve"> (DDA)</w:t>
      </w:r>
      <w:r w:rsidR="00D4382F" w:rsidRPr="00F63C6B">
        <w:rPr>
          <w:i/>
          <w:iCs/>
        </w:rPr>
        <w:t>(Cth</w:t>
      </w:r>
      <w:r w:rsidR="00577BC0" w:rsidRPr="00F63C6B">
        <w:rPr>
          <w:i/>
          <w:iCs/>
        </w:rPr>
        <w:t>)</w:t>
      </w:r>
      <w:r w:rsidR="00577BC0">
        <w:rPr>
          <w:i/>
          <w:iCs/>
        </w:rPr>
        <w:t>(</w:t>
      </w:r>
      <w:r w:rsidR="001B70CC">
        <w:rPr>
          <w:i/>
          <w:iCs/>
        </w:rPr>
        <w:t>the Act, the DDA)</w:t>
      </w:r>
      <w:r w:rsidR="00350D6E">
        <w:t>.</w:t>
      </w:r>
      <w:r w:rsidR="00E25EDB">
        <w:t xml:space="preserve"> </w:t>
      </w:r>
      <w:r w:rsidR="00E92BEB">
        <w:t>Our</w:t>
      </w:r>
      <w:r w:rsidR="00BE0CCD" w:rsidRPr="00BE0CCD">
        <w:t xml:space="preserve"> submission </w:t>
      </w:r>
      <w:r w:rsidR="00BE0CCD">
        <w:t>draws on</w:t>
      </w:r>
      <w:r w:rsidR="00EF575C">
        <w:t xml:space="preserve"> d</w:t>
      </w:r>
      <w:r w:rsidR="00C1622C">
        <w:t>irect engagement</w:t>
      </w:r>
      <w:r w:rsidR="00EF575C">
        <w:t xml:space="preserve"> on this topic as well as past </w:t>
      </w:r>
      <w:r w:rsidR="00BE0CCD" w:rsidRPr="00BE0CCD">
        <w:t>consultations with our 3,000-strong member base</w:t>
      </w:r>
      <w:r w:rsidR="00577246">
        <w:t>,</w:t>
      </w:r>
      <w:r w:rsidR="00BE0CCD" w:rsidRPr="00BE0CCD">
        <w:t xml:space="preserve"> other people who are blind or vision impaired</w:t>
      </w:r>
      <w:r w:rsidR="00A47465">
        <w:t xml:space="preserve">, supporters </w:t>
      </w:r>
      <w:r w:rsidR="00F66186">
        <w:t xml:space="preserve">and </w:t>
      </w:r>
      <w:r w:rsidR="00E316E4">
        <w:t>associates</w:t>
      </w:r>
      <w:r w:rsidR="00F66186">
        <w:t>,</w:t>
      </w:r>
      <w:r w:rsidR="00E316E4">
        <w:t xml:space="preserve"> </w:t>
      </w:r>
      <w:r w:rsidR="00BE0CCD" w:rsidRPr="00BE0CCD">
        <w:t>and our ongoing advocacy work in the disability sector.</w:t>
      </w:r>
      <w:r w:rsidR="005B65DB">
        <w:t xml:space="preserve"> </w:t>
      </w:r>
    </w:p>
    <w:p w14:paraId="4926C9FE" w14:textId="14B01457" w:rsidR="00AE5A6C" w:rsidRDefault="000B6F07" w:rsidP="00D70EB0">
      <w:r>
        <w:t>This submission includes a</w:t>
      </w:r>
      <w:r w:rsidR="00102BA8">
        <w:t>n</w:t>
      </w:r>
      <w:r>
        <w:t xml:space="preserve"> overarching summary of BCA’s position and recommendations</w:t>
      </w:r>
      <w:r w:rsidR="00BA2B23">
        <w:t>,</w:t>
      </w:r>
      <w:r>
        <w:t xml:space="preserve"> </w:t>
      </w:r>
      <w:r w:rsidR="00102BA8">
        <w:t xml:space="preserve">and a </w:t>
      </w:r>
      <w:r>
        <w:t>response to questions detailed in the</w:t>
      </w:r>
      <w:r w:rsidR="000475BE">
        <w:t xml:space="preserve"> </w:t>
      </w:r>
      <w:r w:rsidR="000475BE" w:rsidRPr="000475BE">
        <w:t>Issues Paper - Disability Discrimination Act 1992 Review</w:t>
      </w:r>
      <w:r w:rsidR="00D108A7">
        <w:rPr>
          <w:rStyle w:val="FootnoteReference"/>
        </w:rPr>
        <w:footnoteReference w:id="2"/>
      </w:r>
      <w:r w:rsidR="00900782">
        <w:t>.</w:t>
      </w:r>
      <w:r w:rsidR="00F20744">
        <w:t xml:space="preserve"> </w:t>
      </w:r>
    </w:p>
    <w:p w14:paraId="02F58CA8" w14:textId="2F67056D" w:rsidR="00D515A8" w:rsidRDefault="00D43C90" w:rsidP="004E7A1A">
      <w:r>
        <w:t xml:space="preserve">BCA works collaboratively with other disability </w:t>
      </w:r>
      <w:r w:rsidR="00080026">
        <w:t>stakeholders</w:t>
      </w:r>
      <w:r>
        <w:t xml:space="preserve"> and </w:t>
      </w:r>
      <w:r w:rsidR="00DA759C">
        <w:t xml:space="preserve">supports </w:t>
      </w:r>
      <w:r w:rsidR="000F39BE">
        <w:t xml:space="preserve">views shared </w:t>
      </w:r>
      <w:r w:rsidR="00080026">
        <w:t>by agencies</w:t>
      </w:r>
      <w:r w:rsidR="000F39BE">
        <w:t xml:space="preserve"> </w:t>
      </w:r>
      <w:r w:rsidR="00AA466D">
        <w:t>including</w:t>
      </w:r>
      <w:r w:rsidR="00F03883">
        <w:t>,</w:t>
      </w:r>
      <w:r w:rsidR="00AA466D">
        <w:t xml:space="preserve"> </w:t>
      </w:r>
      <w:r w:rsidR="00DA759C">
        <w:t>but not limited to</w:t>
      </w:r>
      <w:r w:rsidR="00F03883">
        <w:t>,</w:t>
      </w:r>
      <w:r w:rsidR="00DA759C">
        <w:t xml:space="preserve"> </w:t>
      </w:r>
      <w:r w:rsidR="00EA0BC3">
        <w:t>Vision 2020, Guide Dogs Australia</w:t>
      </w:r>
      <w:r w:rsidR="00DA759C">
        <w:t>, Vision Australia</w:t>
      </w:r>
      <w:r w:rsidR="00740E11">
        <w:t xml:space="preserve"> and</w:t>
      </w:r>
      <w:r w:rsidR="00DA759C">
        <w:t xml:space="preserve"> the</w:t>
      </w:r>
      <w:r w:rsidR="00AA466D">
        <w:t xml:space="preserve"> A</w:t>
      </w:r>
      <w:r w:rsidR="00DA759C">
        <w:t xml:space="preserve">ustralian Communications Consumer Action Network. </w:t>
      </w:r>
    </w:p>
    <w:p w14:paraId="65484511" w14:textId="77777777" w:rsidR="00FD0727" w:rsidRPr="00F30F27" w:rsidRDefault="00FD0727" w:rsidP="00FD0727">
      <w:pPr>
        <w:pStyle w:val="IntenseQuote"/>
        <w:rPr>
          <w:b/>
          <w:bCs/>
        </w:rPr>
      </w:pPr>
      <w:r w:rsidRPr="00F30F27">
        <w:rPr>
          <w:b/>
          <w:bCs/>
        </w:rPr>
        <w:t>“I think the focus on positive duty and compliance is perhaps the most important thing we can address in this whole review.  While the provision for adjustments will always be necessary, I think that reliance on asking for adjustments and then the subsequent discussions around reasonableness and unjustifiable hardship contributes negatively to further segregation and access and inclusion seen as a requested ‘extra’ This is particularly the case within education where there is the established Universal Design for Learning framework.”</w:t>
      </w:r>
      <w:r w:rsidRPr="00F30F27">
        <w:rPr>
          <w:rStyle w:val="FootnoteReference"/>
          <w:b/>
          <w:bCs/>
        </w:rPr>
        <w:footnoteReference w:id="3"/>
      </w:r>
    </w:p>
    <w:p w14:paraId="754C58D3" w14:textId="77777777" w:rsidR="00E518A3" w:rsidRDefault="00E518A3" w:rsidP="004E7A1A"/>
    <w:p w14:paraId="57193C79" w14:textId="07B9EE3F" w:rsidR="004E318B" w:rsidRDefault="00172B10" w:rsidP="00D515A8">
      <w:pPr>
        <w:pStyle w:val="ChapterHeading"/>
      </w:pPr>
      <w:bookmarkStart w:id="22" w:name="_Toc212203997"/>
      <w:r w:rsidRPr="00181DC5">
        <w:lastRenderedPageBreak/>
        <w:t xml:space="preserve">Blind Citizens Australia </w:t>
      </w:r>
      <w:r w:rsidR="004E318B" w:rsidRPr="00181DC5">
        <w:t>Summary Position</w:t>
      </w:r>
      <w:bookmarkEnd w:id="22"/>
      <w:r w:rsidR="004E318B" w:rsidRPr="00181DC5">
        <w:t xml:space="preserve"> </w:t>
      </w:r>
    </w:p>
    <w:p w14:paraId="37FA93BE" w14:textId="0805CE5A" w:rsidR="003600D9" w:rsidRPr="003600D9" w:rsidRDefault="00D72ED7" w:rsidP="00412900">
      <w:pPr>
        <w:rPr>
          <w:b/>
          <w:bCs/>
        </w:rPr>
      </w:pPr>
      <w:r>
        <w:rPr>
          <w:b/>
          <w:bCs/>
        </w:rPr>
        <w:t>Modernise and s</w:t>
      </w:r>
      <w:r w:rsidR="003600D9" w:rsidRPr="003600D9">
        <w:rPr>
          <w:b/>
          <w:bCs/>
        </w:rPr>
        <w:t>trengthen legal protections</w:t>
      </w:r>
      <w:r>
        <w:rPr>
          <w:b/>
          <w:bCs/>
        </w:rPr>
        <w:t xml:space="preserve"> for people with disability</w:t>
      </w:r>
    </w:p>
    <w:p w14:paraId="0F29E3A5" w14:textId="1EDEF81B" w:rsidR="00BD3082" w:rsidRPr="00255E40" w:rsidRDefault="00E349D7" w:rsidP="00BD3082">
      <w:r>
        <w:t xml:space="preserve">BCA supports </w:t>
      </w:r>
      <w:r w:rsidRPr="005B534F">
        <w:t>updat</w:t>
      </w:r>
      <w:r>
        <w:t>ing the</w:t>
      </w:r>
      <w:r w:rsidRPr="005B534F">
        <w:t xml:space="preserve"> </w:t>
      </w:r>
      <w:r w:rsidR="008312A0">
        <w:t>DDA</w:t>
      </w:r>
      <w:r>
        <w:t xml:space="preserve"> to strengthen protections for people with disability including people who are blind or vision impaired</w:t>
      </w:r>
      <w:r w:rsidR="00A42366">
        <w:t>.</w:t>
      </w:r>
      <w:r>
        <w:t xml:space="preserve"> </w:t>
      </w:r>
      <w:r w:rsidRPr="00CB0C57">
        <w:t xml:space="preserve">The </w:t>
      </w:r>
      <w:r>
        <w:t>Act’s existing</w:t>
      </w:r>
      <w:r w:rsidRPr="00CB0C57">
        <w:t xml:space="preserve"> reliance on individual complaints and conciliation through the Australian Human Rights Commission (AHRC) limits its impact, as many cases do not reach courts, and systemic issues persist.</w:t>
      </w:r>
      <w:r w:rsidR="00A42366">
        <w:t xml:space="preserve"> BCA </w:t>
      </w:r>
      <w:r w:rsidR="008B556A">
        <w:t xml:space="preserve">strongly </w:t>
      </w:r>
      <w:r w:rsidR="00A42366">
        <w:t>supports</w:t>
      </w:r>
      <w:r w:rsidR="00AE2A1A">
        <w:t xml:space="preserve"> </w:t>
      </w:r>
      <w:r w:rsidR="00F40023">
        <w:rPr>
          <w:lang w:eastAsia="en-AU"/>
        </w:rPr>
        <w:t xml:space="preserve">proactive </w:t>
      </w:r>
      <w:r w:rsidR="00AE2A1A" w:rsidRPr="002E5703">
        <w:rPr>
          <w:lang w:eastAsia="en-AU"/>
        </w:rPr>
        <w:t>prevent</w:t>
      </w:r>
      <w:r w:rsidR="00F40023">
        <w:rPr>
          <w:lang w:eastAsia="en-AU"/>
        </w:rPr>
        <w:t>ion of</w:t>
      </w:r>
      <w:r w:rsidR="00AE2A1A" w:rsidRPr="002E5703">
        <w:rPr>
          <w:lang w:eastAsia="en-AU"/>
        </w:rPr>
        <w:t xml:space="preserve"> unlawful conduct</w:t>
      </w:r>
      <w:r w:rsidR="00A42366">
        <w:t xml:space="preserve"> </w:t>
      </w:r>
      <w:r w:rsidR="00AE2A1A">
        <w:t xml:space="preserve">including </w:t>
      </w:r>
      <w:r w:rsidR="00A42366">
        <w:t xml:space="preserve">introduction </w:t>
      </w:r>
      <w:r w:rsidR="00D46F0E">
        <w:t>and enforcement of</w:t>
      </w:r>
      <w:r w:rsidR="00A42366">
        <w:t xml:space="preserve"> a positive duty</w:t>
      </w:r>
      <w:r w:rsidR="0025323F">
        <w:t>.</w:t>
      </w:r>
      <w:r w:rsidR="008C5DDB">
        <w:rPr>
          <w:rFonts w:ascii="Noto Sans" w:eastAsia="Noto Sans" w:hAnsi="Noto Sans" w:cs="Noto Sans"/>
          <w:sz w:val="32"/>
        </w:rPr>
        <w:t xml:space="preserve"> </w:t>
      </w:r>
      <w:r w:rsidR="00DF7F3D">
        <w:t xml:space="preserve">To achieve systemic reform, </w:t>
      </w:r>
      <w:r w:rsidR="007C7531" w:rsidRPr="00872532">
        <w:rPr>
          <w:szCs w:val="24"/>
        </w:rPr>
        <w:t>Commonwealth and State/Territory anti-discrimination legislation</w:t>
      </w:r>
      <w:r w:rsidR="0016651C">
        <w:rPr>
          <w:szCs w:val="24"/>
        </w:rPr>
        <w:t xml:space="preserve"> should be </w:t>
      </w:r>
      <w:r w:rsidR="004E439F">
        <w:rPr>
          <w:szCs w:val="24"/>
        </w:rPr>
        <w:t xml:space="preserve">harmonised and </w:t>
      </w:r>
      <w:r w:rsidR="0016651C">
        <w:rPr>
          <w:szCs w:val="24"/>
        </w:rPr>
        <w:t>aligned</w:t>
      </w:r>
      <w:r w:rsidR="000A5D9E">
        <w:rPr>
          <w:szCs w:val="24"/>
        </w:rPr>
        <w:t xml:space="preserve">, </w:t>
      </w:r>
      <w:r w:rsidR="0016651C">
        <w:rPr>
          <w:szCs w:val="24"/>
        </w:rPr>
        <w:t>ensur</w:t>
      </w:r>
      <w:r w:rsidR="000A5D9E">
        <w:rPr>
          <w:szCs w:val="24"/>
        </w:rPr>
        <w:t>ing</w:t>
      </w:r>
      <w:r w:rsidR="007C7531">
        <w:rPr>
          <w:szCs w:val="24"/>
        </w:rPr>
        <w:t xml:space="preserve"> </w:t>
      </w:r>
      <w:r w:rsidR="007C7531" w:rsidRPr="00872532">
        <w:rPr>
          <w:szCs w:val="24"/>
        </w:rPr>
        <w:t>coherent</w:t>
      </w:r>
      <w:r w:rsidR="007C7531">
        <w:rPr>
          <w:szCs w:val="24"/>
        </w:rPr>
        <w:t xml:space="preserve"> provisions and remov</w:t>
      </w:r>
      <w:r w:rsidR="000A5D9E">
        <w:rPr>
          <w:szCs w:val="24"/>
        </w:rPr>
        <w:t>ing</w:t>
      </w:r>
      <w:r w:rsidR="007C7531">
        <w:rPr>
          <w:szCs w:val="24"/>
        </w:rPr>
        <w:t xml:space="preserve"> </w:t>
      </w:r>
      <w:r w:rsidR="007C7531" w:rsidRPr="00872532">
        <w:rPr>
          <w:szCs w:val="24"/>
        </w:rPr>
        <w:t>gaps</w:t>
      </w:r>
      <w:r w:rsidR="007C7531">
        <w:rPr>
          <w:szCs w:val="24"/>
        </w:rPr>
        <w:t>, inconsistencies</w:t>
      </w:r>
      <w:r w:rsidR="007C7531" w:rsidRPr="00872532">
        <w:rPr>
          <w:szCs w:val="24"/>
        </w:rPr>
        <w:t xml:space="preserve"> and contradictions</w:t>
      </w:r>
      <w:r w:rsidR="007C7531">
        <w:rPr>
          <w:szCs w:val="24"/>
        </w:rPr>
        <w:t xml:space="preserve">. </w:t>
      </w:r>
      <w:r w:rsidR="003475AE">
        <w:rPr>
          <w:szCs w:val="24"/>
        </w:rPr>
        <w:t>To achieve real change, l</w:t>
      </w:r>
      <w:r w:rsidR="00BD3082" w:rsidRPr="00E52DA9">
        <w:t>egal reform must be accompanied by attitudinal change</w:t>
      </w:r>
      <w:r w:rsidR="00735477">
        <w:t>s</w:t>
      </w:r>
      <w:r w:rsidR="00BD3082">
        <w:t xml:space="preserve"> and a </w:t>
      </w:r>
      <w:r w:rsidR="00BD3082" w:rsidRPr="00E52DA9">
        <w:t xml:space="preserve">shift </w:t>
      </w:r>
      <w:r w:rsidR="00BD3082">
        <w:t xml:space="preserve">in </w:t>
      </w:r>
      <w:r w:rsidR="00BD3082" w:rsidRPr="00E52DA9">
        <w:t xml:space="preserve">practices and public expectations.  </w:t>
      </w:r>
    </w:p>
    <w:p w14:paraId="5D374969" w14:textId="5619F4FF" w:rsidR="00D72ED7" w:rsidRDefault="00B37354" w:rsidP="0026412B">
      <w:pPr>
        <w:tabs>
          <w:tab w:val="num" w:pos="720"/>
        </w:tabs>
        <w:rPr>
          <w:lang w:eastAsia="en-AU"/>
        </w:rPr>
      </w:pPr>
      <w:r>
        <w:rPr>
          <w:b/>
          <w:bCs/>
          <w:lang w:eastAsia="en-AU"/>
        </w:rPr>
        <w:t>Optimise</w:t>
      </w:r>
      <w:r w:rsidR="00731572" w:rsidRPr="006D4901">
        <w:rPr>
          <w:b/>
          <w:bCs/>
          <w:lang w:eastAsia="en-AU"/>
        </w:rPr>
        <w:t xml:space="preserve"> </w:t>
      </w:r>
      <w:r w:rsidR="008E24CE">
        <w:rPr>
          <w:b/>
          <w:bCs/>
          <w:lang w:eastAsia="en-AU"/>
        </w:rPr>
        <w:t xml:space="preserve">compliance and </w:t>
      </w:r>
      <w:r w:rsidR="00731572" w:rsidRPr="006D4901">
        <w:rPr>
          <w:b/>
          <w:bCs/>
          <w:lang w:eastAsia="en-AU"/>
        </w:rPr>
        <w:t>e</w:t>
      </w:r>
      <w:r w:rsidR="00504411" w:rsidRPr="006D4901">
        <w:rPr>
          <w:b/>
          <w:bCs/>
          <w:lang w:eastAsia="en-AU"/>
        </w:rPr>
        <w:t xml:space="preserve">nforcement </w:t>
      </w:r>
      <w:r w:rsidR="001C78DF" w:rsidRPr="006D4901">
        <w:rPr>
          <w:b/>
          <w:bCs/>
          <w:lang w:eastAsia="en-AU"/>
        </w:rPr>
        <w:t xml:space="preserve">mechanisms </w:t>
      </w:r>
      <w:r w:rsidR="00504411" w:rsidRPr="006D4901">
        <w:rPr>
          <w:b/>
          <w:bCs/>
          <w:lang w:eastAsia="en-AU"/>
        </w:rPr>
        <w:t xml:space="preserve">and </w:t>
      </w:r>
      <w:r w:rsidR="00EB1D85">
        <w:rPr>
          <w:b/>
          <w:bCs/>
          <w:lang w:eastAsia="en-AU"/>
        </w:rPr>
        <w:t>create</w:t>
      </w:r>
      <w:r>
        <w:rPr>
          <w:b/>
          <w:bCs/>
          <w:lang w:eastAsia="en-AU"/>
        </w:rPr>
        <w:t xml:space="preserve"> </w:t>
      </w:r>
      <w:r w:rsidR="00504411" w:rsidRPr="006D4901">
        <w:rPr>
          <w:b/>
          <w:bCs/>
          <w:lang w:eastAsia="en-AU"/>
        </w:rPr>
        <w:t xml:space="preserve">meaningful consequences </w:t>
      </w:r>
      <w:r w:rsidR="00731572" w:rsidRPr="006D4901">
        <w:rPr>
          <w:b/>
          <w:bCs/>
          <w:lang w:eastAsia="en-AU"/>
        </w:rPr>
        <w:t xml:space="preserve">for </w:t>
      </w:r>
      <w:r w:rsidR="008E24CE">
        <w:rPr>
          <w:b/>
          <w:bCs/>
          <w:lang w:eastAsia="en-AU"/>
        </w:rPr>
        <w:t xml:space="preserve">breaches </w:t>
      </w:r>
      <w:r w:rsidR="00D70040">
        <w:rPr>
          <w:b/>
          <w:bCs/>
          <w:lang w:eastAsia="en-AU"/>
        </w:rPr>
        <w:t xml:space="preserve">of the DDA </w:t>
      </w:r>
      <w:r w:rsidR="00D72ED7" w:rsidRPr="00D72ED7">
        <w:rPr>
          <w:b/>
          <w:bCs/>
          <w:lang w:eastAsia="en-AU"/>
        </w:rPr>
        <w:t>by duty holders</w:t>
      </w:r>
      <w:r w:rsidR="008A5116">
        <w:rPr>
          <w:b/>
          <w:bCs/>
          <w:lang w:eastAsia="en-AU"/>
        </w:rPr>
        <w:t xml:space="preserve"> </w:t>
      </w:r>
    </w:p>
    <w:p w14:paraId="0EE1568A" w14:textId="107E1CF0" w:rsidR="0069352A" w:rsidRPr="0069352A" w:rsidRDefault="002F0E0C" w:rsidP="00255E40">
      <w:pPr>
        <w:rPr>
          <w:b/>
          <w:bCs/>
        </w:rPr>
      </w:pPr>
      <w:r>
        <w:rPr>
          <w:lang w:eastAsia="en-AU"/>
        </w:rPr>
        <w:t>Improving p</w:t>
      </w:r>
      <w:r w:rsidR="00DC44C7" w:rsidRPr="002E5703">
        <w:rPr>
          <w:lang w:eastAsia="en-AU"/>
        </w:rPr>
        <w:t xml:space="preserve">rocedural aspects of the </w:t>
      </w:r>
      <w:r w:rsidR="00DC44C7">
        <w:rPr>
          <w:lang w:eastAsia="en-AU"/>
        </w:rPr>
        <w:t>DDA</w:t>
      </w:r>
      <w:r w:rsidR="00DC44C7" w:rsidRPr="002E5703">
        <w:rPr>
          <w:lang w:eastAsia="en-AU"/>
        </w:rPr>
        <w:t xml:space="preserve">, including </w:t>
      </w:r>
      <w:r w:rsidR="006B4174">
        <w:rPr>
          <w:lang w:eastAsia="en-AU"/>
        </w:rPr>
        <w:t xml:space="preserve">accessibility of </w:t>
      </w:r>
      <w:r w:rsidR="00DC44C7" w:rsidRPr="002E5703">
        <w:rPr>
          <w:lang w:eastAsia="en-AU"/>
        </w:rPr>
        <w:t>complain</w:t>
      </w:r>
      <w:r w:rsidR="00CA7D89">
        <w:rPr>
          <w:lang w:eastAsia="en-AU"/>
        </w:rPr>
        <w:t>t</w:t>
      </w:r>
      <w:r w:rsidR="00DC44C7" w:rsidRPr="002E5703">
        <w:rPr>
          <w:lang w:eastAsia="en-AU"/>
        </w:rPr>
        <w:t xml:space="preserve"> pathways, </w:t>
      </w:r>
      <w:r w:rsidR="00DC44C7">
        <w:rPr>
          <w:lang w:eastAsia="en-AU"/>
        </w:rPr>
        <w:t>is a critical piece of work given past failures in</w:t>
      </w:r>
      <w:r w:rsidR="005E250F">
        <w:rPr>
          <w:lang w:eastAsia="en-AU"/>
        </w:rPr>
        <w:t xml:space="preserve"> monitoring compliance, </w:t>
      </w:r>
      <w:r w:rsidR="00DC44C7">
        <w:rPr>
          <w:lang w:eastAsia="en-AU"/>
        </w:rPr>
        <w:t xml:space="preserve">enforcing accountability and </w:t>
      </w:r>
      <w:r w:rsidR="002E3516">
        <w:rPr>
          <w:lang w:eastAsia="en-AU"/>
        </w:rPr>
        <w:t>imposing</w:t>
      </w:r>
      <w:r w:rsidR="00DC44C7">
        <w:rPr>
          <w:lang w:eastAsia="en-AU"/>
        </w:rPr>
        <w:t xml:space="preserve"> consequences for duty holders that fail to meet legal mandates. </w:t>
      </w:r>
      <w:r w:rsidR="004D76DF" w:rsidRPr="00541446">
        <w:t>To ensure effectiveness</w:t>
      </w:r>
      <w:r w:rsidR="006E54AA">
        <w:t xml:space="preserve"> of DDA reforms</w:t>
      </w:r>
      <w:r w:rsidR="004D76DF">
        <w:t xml:space="preserve"> and deliver meaningful protections,</w:t>
      </w:r>
      <w:r w:rsidR="004D76DF" w:rsidRPr="00541446">
        <w:t xml:space="preserve"> it is critical that robust measures are implemented to enforce compliance.</w:t>
      </w:r>
      <w:r w:rsidR="004D76DF">
        <w:t xml:space="preserve"> </w:t>
      </w:r>
      <w:r w:rsidR="004D76DF" w:rsidRPr="00582E25">
        <w:t xml:space="preserve">Comparable measures are already enshrined in other </w:t>
      </w:r>
      <w:r w:rsidR="002E3516">
        <w:t xml:space="preserve">legislation including </w:t>
      </w:r>
      <w:r w:rsidR="004D76DF" w:rsidRPr="00582E25">
        <w:t>anti-discrimination laws, and protections for people with disabilities must be prioriti</w:t>
      </w:r>
      <w:r w:rsidR="004D76DF">
        <w:t>s</w:t>
      </w:r>
      <w:r w:rsidR="004D76DF" w:rsidRPr="00582E25">
        <w:t>ed to ensure equitable treatment</w:t>
      </w:r>
      <w:r w:rsidR="004D76DF">
        <w:t xml:space="preserve"> now and into the future. </w:t>
      </w:r>
    </w:p>
    <w:p w14:paraId="7D79C238" w14:textId="4B67A2FE" w:rsidR="0092065C" w:rsidRDefault="00441403" w:rsidP="00255E40">
      <w:pPr>
        <w:rPr>
          <w:b/>
          <w:bCs/>
        </w:rPr>
      </w:pPr>
      <w:r>
        <w:rPr>
          <w:b/>
          <w:bCs/>
        </w:rPr>
        <w:t>Mandate</w:t>
      </w:r>
      <w:r w:rsidR="00C5144D">
        <w:rPr>
          <w:b/>
          <w:bCs/>
        </w:rPr>
        <w:t xml:space="preserve"> </w:t>
      </w:r>
      <w:r w:rsidR="0005402B">
        <w:rPr>
          <w:b/>
          <w:bCs/>
        </w:rPr>
        <w:t>equitable access to information</w:t>
      </w:r>
      <w:r w:rsidR="00FD2DED">
        <w:rPr>
          <w:b/>
          <w:bCs/>
        </w:rPr>
        <w:t>,</w:t>
      </w:r>
      <w:r w:rsidR="0005402B">
        <w:rPr>
          <w:b/>
          <w:bCs/>
        </w:rPr>
        <w:t xml:space="preserve"> </w:t>
      </w:r>
      <w:r w:rsidR="00FD2DED">
        <w:rPr>
          <w:b/>
          <w:bCs/>
        </w:rPr>
        <w:t xml:space="preserve">and </w:t>
      </w:r>
      <w:r w:rsidR="00C5144D">
        <w:rPr>
          <w:b/>
          <w:bCs/>
        </w:rPr>
        <w:t>accessib</w:t>
      </w:r>
      <w:r w:rsidR="00FD2DED">
        <w:rPr>
          <w:b/>
          <w:bCs/>
        </w:rPr>
        <w:t>le</w:t>
      </w:r>
      <w:r w:rsidR="001F2C25" w:rsidRPr="0069352A">
        <w:rPr>
          <w:b/>
          <w:bCs/>
        </w:rPr>
        <w:t xml:space="preserve"> </w:t>
      </w:r>
      <w:r w:rsidR="00F66244" w:rsidRPr="0069352A">
        <w:rPr>
          <w:b/>
          <w:bCs/>
        </w:rPr>
        <w:t>digital goods</w:t>
      </w:r>
      <w:r w:rsidR="00FD2DED">
        <w:rPr>
          <w:b/>
          <w:bCs/>
        </w:rPr>
        <w:t>,</w:t>
      </w:r>
      <w:r w:rsidR="00F66244" w:rsidRPr="0069352A">
        <w:rPr>
          <w:b/>
          <w:bCs/>
        </w:rPr>
        <w:t xml:space="preserve"> services</w:t>
      </w:r>
      <w:r w:rsidR="00E67631">
        <w:rPr>
          <w:b/>
          <w:bCs/>
        </w:rPr>
        <w:t>,</w:t>
      </w:r>
      <w:r w:rsidR="00F66244" w:rsidRPr="0069352A">
        <w:rPr>
          <w:b/>
          <w:bCs/>
        </w:rPr>
        <w:t xml:space="preserve"> and communication technologies</w:t>
      </w:r>
      <w:r w:rsidR="0069352A" w:rsidRPr="0069352A">
        <w:rPr>
          <w:b/>
          <w:bCs/>
        </w:rPr>
        <w:t xml:space="preserve"> </w:t>
      </w:r>
      <w:r w:rsidR="008C0486">
        <w:rPr>
          <w:b/>
          <w:bCs/>
        </w:rPr>
        <w:t xml:space="preserve"> </w:t>
      </w:r>
    </w:p>
    <w:p w14:paraId="120D684F" w14:textId="24293D7B" w:rsidR="00462CFF" w:rsidRPr="0069352A" w:rsidRDefault="00462CFF" w:rsidP="00255E40">
      <w:r w:rsidRPr="00462CFF">
        <w:t xml:space="preserve">Access to information </w:t>
      </w:r>
      <w:r w:rsidR="00F1542D">
        <w:t xml:space="preserve">is </w:t>
      </w:r>
      <w:r w:rsidR="00246301">
        <w:t>central</w:t>
      </w:r>
      <w:r w:rsidR="00F1542D">
        <w:t xml:space="preserve"> to</w:t>
      </w:r>
      <w:r w:rsidR="00246301">
        <w:t xml:space="preserve"> people’s</w:t>
      </w:r>
      <w:r w:rsidR="00F1542D">
        <w:t xml:space="preserve"> </w:t>
      </w:r>
      <w:r w:rsidRPr="00462CFF">
        <w:t xml:space="preserve">safety, health, community participation, employment, education, and essential services such as transport, banking, and retail. The DDA, enacted before </w:t>
      </w:r>
      <w:r w:rsidR="00DF622B">
        <w:t xml:space="preserve">widespread adoption of </w:t>
      </w:r>
      <w:r w:rsidRPr="00462CFF">
        <w:t>digital</w:t>
      </w:r>
      <w:r w:rsidR="00DF622B">
        <w:t xml:space="preserve"> communications and service</w:t>
      </w:r>
      <w:r w:rsidR="00733A8F">
        <w:t>s,</w:t>
      </w:r>
      <w:r w:rsidRPr="00462CFF">
        <w:t xml:space="preserve"> lacks robust provisions for modern environments. Reform offers a pivotal opportunity to embed comprehensive, enforceable standards for accessible digital goods, services, and information communication technologies. By mandating usability and accessibility</w:t>
      </w:r>
      <w:r w:rsidR="00C15EC4">
        <w:t>,</w:t>
      </w:r>
      <w:r w:rsidRPr="00462CFF">
        <w:t xml:space="preserve"> reforms will safeguard the rights of people with disability and ensure equitable participation</w:t>
      </w:r>
      <w:r w:rsidR="005A517A">
        <w:t xml:space="preserve"> and safety</w:t>
      </w:r>
      <w:r w:rsidRPr="00462CFF">
        <w:t xml:space="preserve"> in an increasingly digital world.</w:t>
      </w:r>
    </w:p>
    <w:p w14:paraId="0D52C36E" w14:textId="22091133" w:rsidR="00684A23" w:rsidRDefault="00684A23" w:rsidP="00F573FB">
      <w:pPr>
        <w:pStyle w:val="ChapterHeading"/>
      </w:pPr>
      <w:bookmarkStart w:id="23" w:name="_Toc175845362"/>
      <w:bookmarkStart w:id="24" w:name="_Toc212203998"/>
      <w:r>
        <w:lastRenderedPageBreak/>
        <w:t>Recommendations</w:t>
      </w:r>
      <w:bookmarkEnd w:id="24"/>
      <w:r w:rsidR="0004287E">
        <w:t xml:space="preserve"> </w:t>
      </w:r>
    </w:p>
    <w:p w14:paraId="02464FB3" w14:textId="5BD92129" w:rsidR="008A090E" w:rsidRPr="00371170" w:rsidRDefault="008A090E" w:rsidP="00D450A8">
      <w:pPr>
        <w:spacing w:before="0"/>
        <w:ind w:firstLine="284"/>
        <w:rPr>
          <w:b/>
          <w:bCs/>
          <w:lang w:eastAsia="en-AU"/>
        </w:rPr>
      </w:pPr>
      <w:bookmarkStart w:id="25" w:name="_Toc206070100"/>
      <w:r w:rsidRPr="00371170">
        <w:rPr>
          <w:b/>
          <w:bCs/>
          <w:lang w:eastAsia="en-AU"/>
        </w:rPr>
        <w:t>Updating understandings of disability and disability discrimination</w:t>
      </w:r>
      <w:bookmarkEnd w:id="25"/>
      <w:r w:rsidR="00064283" w:rsidRPr="00371170">
        <w:rPr>
          <w:b/>
          <w:bCs/>
          <w:lang w:eastAsia="en-AU"/>
        </w:rPr>
        <w:t xml:space="preserve"> </w:t>
      </w:r>
    </w:p>
    <w:p w14:paraId="5C4A8103" w14:textId="51E1C3FD" w:rsidR="00C51209" w:rsidRPr="000F48E1" w:rsidRDefault="00C51209" w:rsidP="006D1DEA">
      <w:pPr>
        <w:pStyle w:val="ListParagraph"/>
      </w:pPr>
      <w:r w:rsidRPr="000F48E1">
        <w:t>Use modern rights affirming language to define disability and avoid deficit-based language including impaired/impairment.</w:t>
      </w:r>
      <w:r w:rsidRPr="000F48E1">
        <w:tab/>
      </w:r>
    </w:p>
    <w:p w14:paraId="31443CAA" w14:textId="77777777" w:rsidR="00C51209" w:rsidRPr="000F48E1" w:rsidRDefault="00C51209" w:rsidP="006D1DEA">
      <w:pPr>
        <w:pStyle w:val="ListParagraph"/>
      </w:pPr>
      <w:r w:rsidRPr="000F48E1">
        <w:t>Make it unlawful to discriminate based on intersecting or combined protected attributes, including multiple disabilities.</w:t>
      </w:r>
      <w:r w:rsidRPr="000F48E1">
        <w:tab/>
      </w:r>
    </w:p>
    <w:p w14:paraId="21D800CE" w14:textId="77777777" w:rsidR="00C51209" w:rsidRPr="000F48E1" w:rsidRDefault="00C51209" w:rsidP="006D1DEA">
      <w:pPr>
        <w:pStyle w:val="ListParagraph"/>
      </w:pPr>
      <w:r w:rsidRPr="000F48E1">
        <w:t>Use an unfavourable treatment approach to test for discrimination and remove the need for a comparator.</w:t>
      </w:r>
      <w:r w:rsidRPr="000F48E1">
        <w:tab/>
      </w:r>
    </w:p>
    <w:p w14:paraId="76A39767" w14:textId="77777777" w:rsidR="00C51209" w:rsidRPr="000F48E1" w:rsidRDefault="00C51209" w:rsidP="006D1DEA">
      <w:pPr>
        <w:pStyle w:val="ListParagraph"/>
      </w:pPr>
      <w:r w:rsidRPr="000F48E1">
        <w:t>Shift the burden of proof to the respondent, requiring the respondent to prove that the reason for their treatment of the person with disability was not because of the person’s disability.</w:t>
      </w:r>
    </w:p>
    <w:p w14:paraId="7CF44FF0" w14:textId="77777777" w:rsidR="00C51209" w:rsidRDefault="00C51209" w:rsidP="006D1DEA">
      <w:pPr>
        <w:pStyle w:val="ListParagraph"/>
      </w:pPr>
      <w:r w:rsidRPr="000F48E1">
        <w:t>Narrow and simplify the definition of indirect discrimination by removing the defence of reasonableness and inability to comply and focus only on the exception of unjustifiable hardship.</w:t>
      </w:r>
    </w:p>
    <w:p w14:paraId="43AB9E67" w14:textId="336D0AE8" w:rsidR="00C51209" w:rsidRPr="000F48E1" w:rsidRDefault="00C51209" w:rsidP="006D1DEA">
      <w:pPr>
        <w:pStyle w:val="ListParagraph"/>
      </w:pPr>
      <w:r w:rsidRPr="000F48E1">
        <w:t xml:space="preserve">Align the DDA with the </w:t>
      </w:r>
      <w:r w:rsidR="001F5970" w:rsidRPr="000F48E1">
        <w:t xml:space="preserve">United Nations </w:t>
      </w:r>
      <w:r w:rsidRPr="000F48E1">
        <w:t>Convention on the Rights of Persons with Disabilities.</w:t>
      </w:r>
    </w:p>
    <w:p w14:paraId="29E8A4C5" w14:textId="77777777" w:rsidR="00C51209" w:rsidRPr="000F48E1" w:rsidRDefault="00C51209" w:rsidP="006D1DEA">
      <w:pPr>
        <w:pStyle w:val="ListParagraph"/>
        <w:rPr>
          <w:rFonts w:eastAsia="MS Mincho"/>
          <w:lang w:eastAsia="ja-JP"/>
        </w:rPr>
      </w:pPr>
      <w:r w:rsidRPr="000F48E1">
        <w:t>Ensure courts can interpret and apply the DDA in a manner that is consistent with Australia’s international human rights obligations and is beneficial to people with disability.</w:t>
      </w:r>
    </w:p>
    <w:p w14:paraId="7A6358A1" w14:textId="1AD64A43" w:rsidR="008E3BBC" w:rsidRPr="008E3BBC" w:rsidRDefault="008E3BBC" w:rsidP="004D1F73">
      <w:pPr>
        <w:spacing w:before="0"/>
        <w:ind w:left="360"/>
        <w:rPr>
          <w:b/>
          <w:bCs/>
          <w:szCs w:val="24"/>
        </w:rPr>
      </w:pPr>
      <w:r w:rsidRPr="008E3BBC">
        <w:rPr>
          <w:b/>
          <w:bCs/>
          <w:szCs w:val="24"/>
        </w:rPr>
        <w:t>Positive duty</w:t>
      </w:r>
      <w:r w:rsidR="003C0CA2">
        <w:rPr>
          <w:b/>
          <w:bCs/>
          <w:szCs w:val="24"/>
        </w:rPr>
        <w:t xml:space="preserve"> to eliminate discrimination</w:t>
      </w:r>
    </w:p>
    <w:p w14:paraId="5D05DAC1" w14:textId="18590CBC" w:rsidR="00C51209" w:rsidRPr="000F48E1" w:rsidRDefault="00C51209" w:rsidP="006D1DEA">
      <w:pPr>
        <w:pStyle w:val="ListParagraph"/>
      </w:pPr>
      <w:r w:rsidRPr="000F48E1">
        <w:t>Introduce an enforceable positive (inclusive) duty that requires all duty holders to take proactive steps to prevent discrimination</w:t>
      </w:r>
      <w:r w:rsidR="00A20DB8">
        <w:t xml:space="preserve"> and </w:t>
      </w:r>
      <w:r w:rsidR="0051391A" w:rsidRPr="000F48E1">
        <w:t>report</w:t>
      </w:r>
      <w:r w:rsidR="00A20DB8">
        <w:t xml:space="preserve"> annually</w:t>
      </w:r>
      <w:r w:rsidR="00746E6A">
        <w:t xml:space="preserve"> on their </w:t>
      </w:r>
      <w:r w:rsidR="00D003D7">
        <w:t>actions</w:t>
      </w:r>
      <w:r w:rsidRPr="000F48E1">
        <w:t xml:space="preserve">. </w:t>
      </w:r>
    </w:p>
    <w:p w14:paraId="44A5F900" w14:textId="07D0732E" w:rsidR="00C51209" w:rsidRPr="000F48E1" w:rsidRDefault="00C51209" w:rsidP="006D1DEA">
      <w:pPr>
        <w:pStyle w:val="ListParagraph"/>
      </w:pPr>
      <w:r w:rsidRPr="000F48E1">
        <w:t xml:space="preserve">Ensure a positive duty requirement is practical, meaningful and easy to understand and take appropriate </w:t>
      </w:r>
      <w:r w:rsidR="00AC7E94">
        <w:t>steps</w:t>
      </w:r>
      <w:r w:rsidRPr="000F48E1">
        <w:t xml:space="preserve"> to ensure duty holders understand obligations and are supported through the transition to new legislative requirements.</w:t>
      </w:r>
    </w:p>
    <w:p w14:paraId="2E4E5B81" w14:textId="77777777" w:rsidR="00C51209" w:rsidRPr="000F48E1" w:rsidRDefault="00C51209" w:rsidP="006D1DEA">
      <w:pPr>
        <w:pStyle w:val="ListParagraph"/>
      </w:pPr>
      <w:r w:rsidRPr="000F48E1">
        <w:t xml:space="preserve">Consider using the term ‘inclusive’ duty in place of ‘positive’ duty to prevent discrimination.   </w:t>
      </w:r>
    </w:p>
    <w:p w14:paraId="0F1929ED" w14:textId="183C20DE" w:rsidR="00C51209" w:rsidRDefault="00F32E36" w:rsidP="006D1DEA">
      <w:pPr>
        <w:pStyle w:val="ListParagraph"/>
      </w:pPr>
      <w:r>
        <w:t>C</w:t>
      </w:r>
      <w:r w:rsidR="00C51209" w:rsidRPr="000F48E1">
        <w:t>larify accountability of duty holders</w:t>
      </w:r>
      <w:r>
        <w:t xml:space="preserve"> in</w:t>
      </w:r>
      <w:r w:rsidR="00C51209" w:rsidRPr="000F48E1">
        <w:t xml:space="preserve"> contracting arrangements</w:t>
      </w:r>
      <w:r w:rsidR="003E6D6A">
        <w:t xml:space="preserve"> to avoid shifting accountability for </w:t>
      </w:r>
      <w:r w:rsidR="006879C7">
        <w:t>discrimination</w:t>
      </w:r>
      <w:r w:rsidR="00C51209" w:rsidRPr="000F48E1">
        <w:t>.</w:t>
      </w:r>
    </w:p>
    <w:p w14:paraId="30C65C08" w14:textId="44BC2D5E" w:rsidR="00AC3B44" w:rsidRPr="000663AB" w:rsidRDefault="000663AB" w:rsidP="00AC3B44">
      <w:pPr>
        <w:pStyle w:val="ListNumber"/>
        <w:numPr>
          <w:ilvl w:val="0"/>
          <w:numId w:val="0"/>
        </w:numPr>
        <w:spacing w:after="0" w:line="360" w:lineRule="auto"/>
        <w:ind w:left="360"/>
        <w:rPr>
          <w:rFonts w:ascii="Arial" w:hAnsi="Arial" w:cs="Arial"/>
          <w:b/>
          <w:bCs/>
          <w:sz w:val="28"/>
          <w:szCs w:val="28"/>
        </w:rPr>
      </w:pPr>
      <w:r w:rsidRPr="000663AB">
        <w:rPr>
          <w:rFonts w:ascii="Arial" w:hAnsi="Arial" w:cs="Arial"/>
          <w:b/>
          <w:bCs/>
          <w:sz w:val="24"/>
          <w:szCs w:val="24"/>
        </w:rPr>
        <w:t>Encouraging inclusion of people with disability in employment, education and other areas of public life</w:t>
      </w:r>
    </w:p>
    <w:p w14:paraId="536A1634" w14:textId="65DED60B" w:rsidR="00C51209" w:rsidRPr="000F48E1" w:rsidRDefault="00C51209" w:rsidP="00D450A8">
      <w:pPr>
        <w:pStyle w:val="ListNumber"/>
        <w:numPr>
          <w:ilvl w:val="0"/>
          <w:numId w:val="15"/>
        </w:numPr>
        <w:spacing w:after="100" w:afterAutospacing="1" w:line="360" w:lineRule="auto"/>
        <w:ind w:left="714" w:hanging="357"/>
        <w:rPr>
          <w:rFonts w:ascii="Arial" w:hAnsi="Arial" w:cs="Arial"/>
          <w:i/>
          <w:iCs/>
          <w:sz w:val="24"/>
          <w:szCs w:val="24"/>
        </w:rPr>
      </w:pPr>
      <w:r w:rsidRPr="000F48E1">
        <w:rPr>
          <w:rFonts w:ascii="Arial" w:hAnsi="Arial" w:cs="Arial"/>
          <w:sz w:val="24"/>
          <w:szCs w:val="24"/>
        </w:rPr>
        <w:t>Create a ‘stand-alone duty to provide adjustments’ to make it unlawful for a duty holder to fail or refuse to make an adjustment unless making the adjustment would impose unjustifiable hardship.</w:t>
      </w:r>
    </w:p>
    <w:p w14:paraId="27E2B012" w14:textId="77777777" w:rsidR="00C51209" w:rsidRPr="000F48E1" w:rsidRDefault="00C51209" w:rsidP="006D1DEA">
      <w:pPr>
        <w:pStyle w:val="ListParagraph"/>
      </w:pPr>
      <w:r w:rsidRPr="000F48E1">
        <w:lastRenderedPageBreak/>
        <w:t>Replace references to ‘reasonable adjustments’ with ‘adjustments’ and provide a clear definition of adjustment.</w:t>
      </w:r>
    </w:p>
    <w:p w14:paraId="3E895A96" w14:textId="77777777" w:rsidR="00C51209" w:rsidRPr="000F48E1" w:rsidRDefault="00C51209" w:rsidP="006D1DEA">
      <w:pPr>
        <w:pStyle w:val="ListParagraph"/>
      </w:pPr>
      <w:r w:rsidRPr="000F48E1">
        <w:t xml:space="preserve">Work with disability stakeholders to develop guidelines or standards that articulate what constitutes adjustment (including the breadth and depth of options available) and provide clarity on what constitutes unjustifiable hardship.   </w:t>
      </w:r>
    </w:p>
    <w:p w14:paraId="3665013D" w14:textId="77777777" w:rsidR="00C51209" w:rsidRDefault="00C51209" w:rsidP="006D1DEA">
      <w:pPr>
        <w:pStyle w:val="ListParagraph"/>
      </w:pPr>
      <w:r w:rsidRPr="000F48E1">
        <w:t>Achieve greater fairness and transparency in claims of unjustifiable hardship by requiring duty holders to consult with people with disability and explore all available alternative measures to eliminate or reduce hardship.</w:t>
      </w:r>
      <w:r w:rsidRPr="000F48E1">
        <w:tab/>
      </w:r>
    </w:p>
    <w:p w14:paraId="5BED4558" w14:textId="77777777" w:rsidR="00C51209" w:rsidRPr="000F48E1" w:rsidRDefault="00C51209" w:rsidP="006D1DEA">
      <w:pPr>
        <w:pStyle w:val="ListParagraph"/>
      </w:pPr>
      <w:r w:rsidRPr="000F48E1">
        <w:t>Include provision for the involvement of disability advocates and representatives where desired by the person with disability to support participation in consultation processes.</w:t>
      </w:r>
    </w:p>
    <w:p w14:paraId="388A260C" w14:textId="77777777" w:rsidR="00C51209" w:rsidRPr="000F48E1" w:rsidRDefault="00C51209" w:rsidP="006D1DEA">
      <w:pPr>
        <w:pStyle w:val="ListParagraph"/>
      </w:pPr>
      <w:r w:rsidRPr="000F48E1">
        <w:t>Expand the factors considered by employers when determining if an employee can carry out the inherent requirements of a job role.</w:t>
      </w:r>
    </w:p>
    <w:p w14:paraId="26E27579" w14:textId="2966AAFD" w:rsidR="00C51209" w:rsidRPr="000F48E1" w:rsidRDefault="00C51209" w:rsidP="006D1DEA">
      <w:pPr>
        <w:pStyle w:val="ListParagraph"/>
      </w:pPr>
      <w:r w:rsidRPr="000F48E1">
        <w:t xml:space="preserve">Ensure volunteers and unpaid workers are protected from unlawful discrimination in the </w:t>
      </w:r>
      <w:r w:rsidR="00CF792A" w:rsidRPr="000F48E1">
        <w:t>DDA</w:t>
      </w:r>
      <w:r w:rsidRPr="000F48E1">
        <w:t xml:space="preserve">. </w:t>
      </w:r>
    </w:p>
    <w:p w14:paraId="58C17800" w14:textId="77777777" w:rsidR="00C51209" w:rsidRDefault="00C51209" w:rsidP="006D1DEA">
      <w:pPr>
        <w:pStyle w:val="ListNumber"/>
        <w:numPr>
          <w:ilvl w:val="0"/>
          <w:numId w:val="15"/>
        </w:numPr>
        <w:spacing w:after="0" w:line="360" w:lineRule="auto"/>
        <w:rPr>
          <w:rFonts w:ascii="Arial" w:hAnsi="Arial" w:cs="Arial"/>
          <w:sz w:val="24"/>
          <w:szCs w:val="24"/>
        </w:rPr>
      </w:pPr>
      <w:r w:rsidRPr="000F48E1">
        <w:rPr>
          <w:rFonts w:ascii="Arial" w:hAnsi="Arial" w:cs="Arial"/>
          <w:sz w:val="24"/>
          <w:szCs w:val="24"/>
        </w:rPr>
        <w:t>Define exclusion and exclusionary discipline and make it explicitly unlawful to discriminate against a student on the grounds of their disability by suspending or excluding the student.</w:t>
      </w:r>
    </w:p>
    <w:p w14:paraId="6A80E0EB" w14:textId="292FBC4A" w:rsidR="00161FC2" w:rsidRPr="00C73DA3" w:rsidRDefault="00EA2310" w:rsidP="006D1DEA">
      <w:pPr>
        <w:spacing w:before="240"/>
        <w:ind w:left="360"/>
        <w:rPr>
          <w:b/>
          <w:bCs/>
        </w:rPr>
      </w:pPr>
      <w:r w:rsidRPr="00C73DA3">
        <w:rPr>
          <w:b/>
          <w:bCs/>
        </w:rPr>
        <w:t>Improving access to justice</w:t>
      </w:r>
    </w:p>
    <w:p w14:paraId="11257810" w14:textId="4FDF74A5" w:rsidR="00C51209" w:rsidRPr="000F48E1" w:rsidRDefault="00C51209" w:rsidP="006D1DEA">
      <w:pPr>
        <w:pStyle w:val="ListParagraph"/>
      </w:pPr>
      <w:r w:rsidRPr="000F48E1">
        <w:t>Make it illegal to harass, threaten, or spread hate about people with disability and extend these protections to online spaces (such as social media).</w:t>
      </w:r>
    </w:p>
    <w:p w14:paraId="70954DB0" w14:textId="144C359D" w:rsidR="00A85590" w:rsidRPr="000F48E1" w:rsidRDefault="00C51209" w:rsidP="006D1DEA">
      <w:pPr>
        <w:pStyle w:val="ListParagraph"/>
      </w:pPr>
      <w:r w:rsidRPr="000F48E1">
        <w:t>Include a new provision to cover policing and the justice system rather than including policing in the definition of services</w:t>
      </w:r>
      <w:r w:rsidR="00E96EBE" w:rsidRPr="000F48E1">
        <w:t>.</w:t>
      </w:r>
      <w:r w:rsidR="00A85590" w:rsidRPr="000F48E1">
        <w:t xml:space="preserve"> </w:t>
      </w:r>
      <w:r w:rsidR="4BA88188" w:rsidRPr="000F48E1">
        <w:t>E</w:t>
      </w:r>
      <w:r w:rsidR="3B22DD9E" w:rsidRPr="000F48E1">
        <w:t>quip</w:t>
      </w:r>
      <w:r w:rsidR="00A85590" w:rsidRPr="000F48E1">
        <w:t xml:space="preserve"> </w:t>
      </w:r>
      <w:r w:rsidR="00D0379A">
        <w:t xml:space="preserve">police and justice </w:t>
      </w:r>
      <w:r w:rsidR="00A85590" w:rsidRPr="000F48E1">
        <w:t xml:space="preserve">staff to actively prevent and address disability discrimination. </w:t>
      </w:r>
    </w:p>
    <w:p w14:paraId="3F404B4F" w14:textId="268F250A" w:rsidR="005C356B" w:rsidRDefault="005C356B" w:rsidP="00B51A99">
      <w:pPr>
        <w:spacing w:before="0"/>
        <w:ind w:firstLine="360"/>
        <w:rPr>
          <w:b/>
          <w:bCs/>
          <w:szCs w:val="24"/>
        </w:rPr>
      </w:pPr>
      <w:r>
        <w:rPr>
          <w:b/>
          <w:bCs/>
          <w:szCs w:val="24"/>
        </w:rPr>
        <w:t>Exemptions</w:t>
      </w:r>
    </w:p>
    <w:p w14:paraId="6983EA7A" w14:textId="77777777" w:rsidR="00B2548F" w:rsidRDefault="00B2548F" w:rsidP="006D1DEA">
      <w:pPr>
        <w:pStyle w:val="ListParagraph"/>
      </w:pPr>
      <w:r>
        <w:t>R</w:t>
      </w:r>
      <w:r w:rsidRPr="00D15801">
        <w:t>emove the permanent exemption for actions taken under the Migration Act 1958 from the anti-discrimination provisions.</w:t>
      </w:r>
    </w:p>
    <w:p w14:paraId="07E94D83" w14:textId="6EBF53D7" w:rsidR="00DF54E4" w:rsidRPr="00D15801" w:rsidRDefault="00FC6D3B" w:rsidP="006D1DEA">
      <w:pPr>
        <w:pStyle w:val="ListParagraph"/>
      </w:pPr>
      <w:r>
        <w:rPr>
          <w:szCs w:val="24"/>
        </w:rPr>
        <w:t>Establish s</w:t>
      </w:r>
      <w:r w:rsidRPr="003A007C">
        <w:t>tricter oversight and evidence-based criteria</w:t>
      </w:r>
      <w:r>
        <w:t xml:space="preserve"> </w:t>
      </w:r>
      <w:r w:rsidRPr="003A007C">
        <w:t>to ensure</w:t>
      </w:r>
      <w:r>
        <w:t xml:space="preserve"> temporary</w:t>
      </w:r>
      <w:r w:rsidRPr="003A007C">
        <w:t xml:space="preserve"> exemptions are exceptional and do not perpetuate exclusion</w:t>
      </w:r>
      <w:r>
        <w:t xml:space="preserve"> of people with disability.</w:t>
      </w:r>
    </w:p>
    <w:p w14:paraId="66CB6DA0" w14:textId="1A8FA63E" w:rsidR="00C51209" w:rsidRPr="004A7A69" w:rsidRDefault="005C356B" w:rsidP="006D1DEA">
      <w:pPr>
        <w:spacing w:before="0"/>
        <w:ind w:firstLine="360"/>
        <w:rPr>
          <w:b/>
          <w:bCs/>
          <w:szCs w:val="24"/>
        </w:rPr>
      </w:pPr>
      <w:r>
        <w:rPr>
          <w:b/>
          <w:bCs/>
          <w:szCs w:val="24"/>
        </w:rPr>
        <w:t xml:space="preserve">Modernising the DDA - </w:t>
      </w:r>
      <w:r w:rsidR="00C51209" w:rsidRPr="004A7A69">
        <w:rPr>
          <w:b/>
          <w:bCs/>
          <w:szCs w:val="24"/>
        </w:rPr>
        <w:t>Assistance Animals</w:t>
      </w:r>
    </w:p>
    <w:p w14:paraId="46E5AA35" w14:textId="1DA24FDA" w:rsidR="00EB2E76" w:rsidRPr="004A7A69" w:rsidRDefault="00EB2E76" w:rsidP="006D1DEA">
      <w:pPr>
        <w:pStyle w:val="ListParagraph"/>
        <w:numPr>
          <w:ilvl w:val="0"/>
          <w:numId w:val="17"/>
        </w:numPr>
        <w:rPr>
          <w:lang w:val="en-US"/>
        </w:rPr>
      </w:pPr>
      <w:r w:rsidRPr="004A7A69">
        <w:rPr>
          <w:lang w:val="en-US"/>
        </w:rPr>
        <w:t>Implement nationally recogni</w:t>
      </w:r>
      <w:r w:rsidR="00D0379A">
        <w:rPr>
          <w:lang w:val="en-US"/>
        </w:rPr>
        <w:t>s</w:t>
      </w:r>
      <w:r w:rsidRPr="004A7A69">
        <w:rPr>
          <w:lang w:val="en-US"/>
        </w:rPr>
        <w:t>ed assistance animal licenses for trainers, training organisations and handlers as proof of accreditation.</w:t>
      </w:r>
    </w:p>
    <w:p w14:paraId="73BF8765" w14:textId="2FBB81D8" w:rsidR="00EB2E76" w:rsidRPr="004A7A69" w:rsidRDefault="00EB2E76" w:rsidP="006D1DEA">
      <w:pPr>
        <w:pStyle w:val="ListParagraph"/>
        <w:numPr>
          <w:ilvl w:val="0"/>
          <w:numId w:val="17"/>
        </w:numPr>
        <w:rPr>
          <w:lang w:val="en-US"/>
        </w:rPr>
      </w:pPr>
      <w:r w:rsidRPr="004A7A69">
        <w:rPr>
          <w:lang w:val="en-US"/>
        </w:rPr>
        <w:t xml:space="preserve">Prescribe accredited training organisations in the DDA regulations to remove any confusion </w:t>
      </w:r>
      <w:r w:rsidRPr="004A7A69">
        <w:rPr>
          <w:lang w:val="en-US"/>
        </w:rPr>
        <w:lastRenderedPageBreak/>
        <w:t>around the legitimacy of assistance animals trained by these organisations.</w:t>
      </w:r>
    </w:p>
    <w:p w14:paraId="15BA2D39" w14:textId="25C99E0C" w:rsidR="00EB2E76" w:rsidRPr="004A7A69" w:rsidRDefault="00EB2E76" w:rsidP="006D1DEA">
      <w:pPr>
        <w:pStyle w:val="ListParagraph"/>
        <w:numPr>
          <w:ilvl w:val="0"/>
          <w:numId w:val="17"/>
        </w:numPr>
        <w:rPr>
          <w:lang w:val="en-US"/>
        </w:rPr>
      </w:pPr>
      <w:r w:rsidRPr="004A7A69">
        <w:rPr>
          <w:lang w:val="en-US"/>
        </w:rPr>
        <w:t xml:space="preserve">Apply stronger penalties and consistent enforcement to any </w:t>
      </w:r>
      <w:r w:rsidR="001F60A3">
        <w:rPr>
          <w:lang w:val="en-US"/>
        </w:rPr>
        <w:t>duty holder</w:t>
      </w:r>
      <w:r w:rsidRPr="004A7A69">
        <w:rPr>
          <w:lang w:val="en-US"/>
        </w:rPr>
        <w:t xml:space="preserve"> proven to have refused entry to a person with a disability because they use an assistance animal.</w:t>
      </w:r>
    </w:p>
    <w:p w14:paraId="47669EC4" w14:textId="5A06E217" w:rsidR="00EB2E76" w:rsidRPr="004A7A69" w:rsidRDefault="004A7A69" w:rsidP="006D1DEA">
      <w:pPr>
        <w:spacing w:before="0"/>
        <w:ind w:firstLine="360"/>
        <w:rPr>
          <w:b/>
          <w:bCs/>
          <w:szCs w:val="24"/>
        </w:rPr>
      </w:pPr>
      <w:r w:rsidRPr="004A7A69">
        <w:rPr>
          <w:b/>
          <w:bCs/>
          <w:szCs w:val="24"/>
        </w:rPr>
        <w:t>Disability Action Plans and Standards</w:t>
      </w:r>
    </w:p>
    <w:p w14:paraId="253993DB" w14:textId="2D22F432" w:rsidR="00C51209" w:rsidRPr="000F48E1" w:rsidRDefault="004F019E" w:rsidP="006D1DEA">
      <w:pPr>
        <w:pStyle w:val="ListParagraph"/>
      </w:pPr>
      <w:r>
        <w:t>A</w:t>
      </w:r>
      <w:r w:rsidR="00C51209" w:rsidRPr="000F48E1">
        <w:t xml:space="preserve">uthorise the AHRC to not accept </w:t>
      </w:r>
      <w:r w:rsidR="00117F56">
        <w:t>Disability A</w:t>
      </w:r>
      <w:r w:rsidR="00C51209" w:rsidRPr="000F48E1">
        <w:t xml:space="preserve">ction </w:t>
      </w:r>
      <w:r w:rsidR="00117F56">
        <w:t>P</w:t>
      </w:r>
      <w:r w:rsidR="00C51209" w:rsidRPr="000F48E1">
        <w:t xml:space="preserve">lans that do not meet </w:t>
      </w:r>
      <w:r w:rsidR="004F1DA8">
        <w:t>r</w:t>
      </w:r>
      <w:r w:rsidR="00C51209" w:rsidRPr="000F48E1">
        <w:t>equirements.</w:t>
      </w:r>
    </w:p>
    <w:p w14:paraId="2CE9EE49" w14:textId="39988E2D" w:rsidR="00C51209" w:rsidRPr="000F48E1" w:rsidRDefault="00C51209" w:rsidP="006D1DEA">
      <w:pPr>
        <w:pStyle w:val="ListParagraph"/>
      </w:pPr>
      <w:r w:rsidRPr="000F48E1">
        <w:t xml:space="preserve">Improve </w:t>
      </w:r>
      <w:r w:rsidR="00257FBD">
        <w:t xml:space="preserve">compliance with </w:t>
      </w:r>
      <w:r w:rsidRPr="000F48E1">
        <w:t>the Disability Standards by introducing a positive (inclusive) duty, requir</w:t>
      </w:r>
      <w:r w:rsidR="00257FBD">
        <w:t>ing</w:t>
      </w:r>
      <w:r w:rsidRPr="000F48E1">
        <w:t xml:space="preserve"> </w:t>
      </w:r>
      <w:r w:rsidR="00A71AF9">
        <w:t xml:space="preserve">public </w:t>
      </w:r>
      <w:r w:rsidRPr="000F48E1">
        <w:t>reporting</w:t>
      </w:r>
      <w:r w:rsidR="006A4B5D">
        <w:t xml:space="preserve"> against agreed metrics</w:t>
      </w:r>
      <w:r w:rsidRPr="000F48E1">
        <w:t xml:space="preserve"> by duty holders and </w:t>
      </w:r>
      <w:r w:rsidR="005C0F80">
        <w:t>applying meaningful consequences</w:t>
      </w:r>
      <w:r w:rsidR="004316D6">
        <w:t xml:space="preserve"> for failure to comply</w:t>
      </w:r>
      <w:r w:rsidRPr="000F48E1">
        <w:t>.</w:t>
      </w:r>
    </w:p>
    <w:p w14:paraId="12614B4E" w14:textId="1C86F251" w:rsidR="004A7A69" w:rsidRPr="0056683F" w:rsidRDefault="008D299F" w:rsidP="006D1DEA">
      <w:pPr>
        <w:pStyle w:val="NormalText"/>
      </w:pPr>
      <w:r>
        <w:t xml:space="preserve">Further options for reform - </w:t>
      </w:r>
      <w:r w:rsidR="004A7A69" w:rsidRPr="0056683F">
        <w:t xml:space="preserve">Access to information and digital </w:t>
      </w:r>
      <w:r w:rsidR="0056683F" w:rsidRPr="0056683F">
        <w:t>accessibility</w:t>
      </w:r>
      <w:r w:rsidR="004A7A69" w:rsidRPr="0056683F">
        <w:t xml:space="preserve"> </w:t>
      </w:r>
    </w:p>
    <w:p w14:paraId="6E436C17" w14:textId="57FA766D" w:rsidR="006E3CDF" w:rsidRDefault="00C51209" w:rsidP="006D1DEA">
      <w:pPr>
        <w:pStyle w:val="ListParagraph"/>
      </w:pPr>
      <w:r w:rsidRPr="000F48E1">
        <w:t>Explicitly recognise access to information as a separate area under the DDA</w:t>
      </w:r>
      <w:r w:rsidR="008A761C">
        <w:t>.</w:t>
      </w:r>
    </w:p>
    <w:p w14:paraId="25672310" w14:textId="2B968ECA" w:rsidR="00C51209" w:rsidRPr="000F48E1" w:rsidRDefault="006E3CDF" w:rsidP="006D1DEA">
      <w:pPr>
        <w:pStyle w:val="ListParagraph"/>
      </w:pPr>
      <w:r>
        <w:t>E</w:t>
      </w:r>
      <w:r w:rsidRPr="00B10CB2">
        <w:t xml:space="preserve">xplicitly include digital </w:t>
      </w:r>
      <w:r>
        <w:t xml:space="preserve">goods and services and digital information </w:t>
      </w:r>
      <w:r w:rsidRPr="00B10CB2">
        <w:t>communication technologies</w:t>
      </w:r>
      <w:r>
        <w:t xml:space="preserve"> under the DDA,</w:t>
      </w:r>
      <w:r w:rsidRPr="00B10CB2">
        <w:t xml:space="preserve"> </w:t>
      </w:r>
      <w:r>
        <w:t xml:space="preserve">and designate </w:t>
      </w:r>
      <w:r w:rsidRPr="006B2220">
        <w:t>providers of digital goods and services as duty holders</w:t>
      </w:r>
      <w:r>
        <w:t>.</w:t>
      </w:r>
      <w:r w:rsidR="00C51209" w:rsidRPr="000F48E1">
        <w:t xml:space="preserve"> </w:t>
      </w:r>
    </w:p>
    <w:p w14:paraId="7DEA2A6C" w14:textId="6CD94C23" w:rsidR="00E03CF2" w:rsidRDefault="00E03CF2" w:rsidP="006D1DEA">
      <w:pPr>
        <w:pStyle w:val="ListParagraph"/>
      </w:pPr>
      <w:r w:rsidRPr="00F440CC">
        <w:t xml:space="preserve">Mandate </w:t>
      </w:r>
      <w:r>
        <w:t>Digital Accessibility S</w:t>
      </w:r>
      <w:r w:rsidRPr="00F440CC">
        <w:t>tandards</w:t>
      </w:r>
      <w:r>
        <w:t xml:space="preserve"> under the DDA</w:t>
      </w:r>
      <w:r w:rsidR="00CE58B5">
        <w:t>.</w:t>
      </w:r>
    </w:p>
    <w:p w14:paraId="0EA84190" w14:textId="1950C44E" w:rsidR="00BD67BC" w:rsidRPr="00BD67BC" w:rsidRDefault="00D450A8" w:rsidP="006D1DEA">
      <w:pPr>
        <w:spacing w:before="0"/>
        <w:ind w:left="360"/>
        <w:rPr>
          <w:b/>
          <w:bCs/>
        </w:rPr>
      </w:pPr>
      <w:r>
        <w:rPr>
          <w:b/>
          <w:bCs/>
        </w:rPr>
        <w:t>AHRC Reform</w:t>
      </w:r>
      <w:r w:rsidR="00BD67BC" w:rsidRPr="00BD67BC">
        <w:rPr>
          <w:b/>
          <w:bCs/>
        </w:rPr>
        <w:t xml:space="preserve">  </w:t>
      </w:r>
    </w:p>
    <w:p w14:paraId="0DBEDE1F" w14:textId="2EAA2E25" w:rsidR="00C51209" w:rsidRPr="000F48E1" w:rsidRDefault="00BB2DA9" w:rsidP="006D1DEA">
      <w:pPr>
        <w:pStyle w:val="ListParagraph"/>
      </w:pPr>
      <w:r>
        <w:t>Properly r</w:t>
      </w:r>
      <w:r w:rsidR="00C51209" w:rsidRPr="000F48E1">
        <w:t xml:space="preserve">esource and empower the AHRC with the authority to monitor </w:t>
      </w:r>
      <w:r w:rsidR="001E427F">
        <w:t xml:space="preserve">DDA </w:t>
      </w:r>
      <w:r w:rsidR="00C51209" w:rsidRPr="000F48E1">
        <w:t>compliance, conduct audits, and investigate complaints promptly.</w:t>
      </w:r>
    </w:p>
    <w:p w14:paraId="6E5BF7FE" w14:textId="77777777" w:rsidR="00C51209" w:rsidRPr="000F48E1" w:rsidRDefault="00C51209" w:rsidP="006D1DEA">
      <w:pPr>
        <w:pStyle w:val="ListParagraph"/>
      </w:pPr>
      <w:r w:rsidRPr="000F48E1">
        <w:t>Impose meaningful penalties for non-compliance with the DDA to deter violations.</w:t>
      </w:r>
    </w:p>
    <w:p w14:paraId="5945B5F8" w14:textId="62029588" w:rsidR="00C51209" w:rsidRDefault="00C51209" w:rsidP="006D1DEA">
      <w:pPr>
        <w:pStyle w:val="ListParagraph"/>
      </w:pPr>
      <w:r w:rsidRPr="000F48E1">
        <w:t>Reform the AHRC discrimination complaints process to be fully accessible</w:t>
      </w:r>
      <w:r w:rsidR="00C90C45">
        <w:t xml:space="preserve"> and equitable</w:t>
      </w:r>
      <w:r w:rsidRPr="000F48E1">
        <w:t xml:space="preserve"> for people who are blind or vision impaired.  </w:t>
      </w:r>
    </w:p>
    <w:p w14:paraId="68EBA72A" w14:textId="77777777" w:rsidR="002C3A03" w:rsidRPr="0073319F" w:rsidRDefault="002C3A03" w:rsidP="0073319F">
      <w:pPr>
        <w:pStyle w:val="IntenseQuote"/>
        <w:rPr>
          <w:b/>
          <w:bCs/>
        </w:rPr>
      </w:pPr>
      <w:r w:rsidRPr="0073319F">
        <w:rPr>
          <w:b/>
          <w:bCs/>
        </w:rPr>
        <w:t>“I would like the Disability Discrimination Act to be inclusive and the language as a whole to be of easy reading so that everyone can understand it.”</w:t>
      </w:r>
      <w:r w:rsidRPr="0073319F">
        <w:rPr>
          <w:rStyle w:val="FootnoteReference"/>
          <w:b/>
          <w:bCs/>
        </w:rPr>
        <w:footnoteReference w:id="4"/>
      </w:r>
      <w:r w:rsidRPr="0073319F">
        <w:rPr>
          <w:b/>
          <w:bCs/>
        </w:rPr>
        <w:t xml:space="preserve"> </w:t>
      </w:r>
    </w:p>
    <w:p w14:paraId="7403103B" w14:textId="77777777" w:rsidR="002C3A03" w:rsidRPr="000F48E1" w:rsidRDefault="002C3A03" w:rsidP="002C3A03"/>
    <w:p w14:paraId="16131C56" w14:textId="5A7DA50C" w:rsidR="00D369EE" w:rsidRPr="00181DC5" w:rsidRDefault="00172B10" w:rsidP="00181DC5">
      <w:pPr>
        <w:pStyle w:val="ChapterHeading"/>
      </w:pPr>
      <w:bookmarkStart w:id="26" w:name="_Toc212203999"/>
      <w:r w:rsidRPr="00181DC5">
        <w:lastRenderedPageBreak/>
        <w:t xml:space="preserve">Response to </w:t>
      </w:r>
      <w:r w:rsidR="00367991">
        <w:t xml:space="preserve">Issue Paper </w:t>
      </w:r>
      <w:r w:rsidR="0093659F">
        <w:t>R</w:t>
      </w:r>
      <w:r w:rsidR="002C3A03" w:rsidRPr="00181DC5">
        <w:t>eview</w:t>
      </w:r>
      <w:r w:rsidR="00005602" w:rsidRPr="00181DC5">
        <w:t xml:space="preserve"> </w:t>
      </w:r>
      <w:r w:rsidR="0093659F">
        <w:t>Q</w:t>
      </w:r>
      <w:r w:rsidR="00005602" w:rsidRPr="00181DC5">
        <w:t>uestions</w:t>
      </w:r>
      <w:bookmarkEnd w:id="26"/>
    </w:p>
    <w:p w14:paraId="14A458EB" w14:textId="77777777" w:rsidR="00F37EBB" w:rsidRPr="007350B7" w:rsidRDefault="00F37EBB" w:rsidP="007350B7">
      <w:pPr>
        <w:pStyle w:val="Heading2"/>
      </w:pPr>
      <w:bookmarkStart w:id="27" w:name="_Toc212204000"/>
      <w:bookmarkEnd w:id="23"/>
      <w:r w:rsidRPr="007350B7">
        <w:t>Definition of disability</w:t>
      </w:r>
      <w:bookmarkEnd w:id="27"/>
    </w:p>
    <w:p w14:paraId="7FF3DD99" w14:textId="77777777" w:rsidR="00F37EBB" w:rsidRPr="0014732A" w:rsidRDefault="00F37EBB" w:rsidP="00F37EBB">
      <w:pPr>
        <w:pStyle w:val="ListNumber"/>
        <w:rPr>
          <w:rFonts w:ascii="Arial" w:hAnsi="Arial" w:cs="Arial"/>
          <w:b/>
          <w:bCs/>
          <w:sz w:val="24"/>
          <w:szCs w:val="24"/>
        </w:rPr>
      </w:pPr>
      <w:r w:rsidRPr="0014732A">
        <w:rPr>
          <w:rFonts w:ascii="Arial" w:hAnsi="Arial" w:cs="Arial"/>
          <w:b/>
          <w:bCs/>
          <w:sz w:val="24"/>
          <w:szCs w:val="24"/>
        </w:rPr>
        <w:t>How should disability be defined in the Disability Discrimination Act?</w:t>
      </w:r>
    </w:p>
    <w:p w14:paraId="3071E9E8" w14:textId="0470B890" w:rsidR="00F37EBB" w:rsidRDefault="002758DB" w:rsidP="009D57FA">
      <w:r>
        <w:t xml:space="preserve">Recommendation: </w:t>
      </w:r>
      <w:r w:rsidR="009469FA">
        <w:t>Use modern rights affirming language</w:t>
      </w:r>
      <w:r w:rsidR="00337C35">
        <w:t xml:space="preserve"> to define disability</w:t>
      </w:r>
      <w:r w:rsidR="00993733">
        <w:t xml:space="preserve"> and</w:t>
      </w:r>
      <w:r w:rsidR="009469FA">
        <w:t xml:space="preserve"> </w:t>
      </w:r>
      <w:r w:rsidR="00AE54C7">
        <w:t xml:space="preserve">avoid </w:t>
      </w:r>
      <w:r w:rsidR="00A7561F">
        <w:t>deficit</w:t>
      </w:r>
      <w:r w:rsidR="002A729F">
        <w:t>-</w:t>
      </w:r>
      <w:r w:rsidR="00A7561F">
        <w:t xml:space="preserve">based </w:t>
      </w:r>
      <w:r w:rsidR="007B7C1B">
        <w:t>terminology</w:t>
      </w:r>
      <w:r>
        <w:t xml:space="preserve"> including impaired/impairment</w:t>
      </w:r>
      <w:r w:rsidR="002B6313" w:rsidRPr="003C6B19">
        <w:t>.</w:t>
      </w:r>
      <w:r w:rsidR="00A7561F">
        <w:t xml:space="preserve"> </w:t>
      </w:r>
    </w:p>
    <w:p w14:paraId="7204F49F" w14:textId="381C2DBD" w:rsidR="00F37EBB" w:rsidRPr="004E08BF" w:rsidRDefault="004E08BF" w:rsidP="006D1DEA">
      <w:pPr>
        <w:pStyle w:val="FirstDotPoint"/>
      </w:pPr>
      <w:r>
        <w:t>BCA members unanimously agreed that t</w:t>
      </w:r>
      <w:r w:rsidR="00716198" w:rsidRPr="004E08BF">
        <w:t>he c</w:t>
      </w:r>
      <w:r w:rsidR="00F37EBB" w:rsidRPr="004E08BF">
        <w:t xml:space="preserve">urrent </w:t>
      </w:r>
      <w:r w:rsidR="00886F14" w:rsidRPr="004E08BF">
        <w:t xml:space="preserve">DDA </w:t>
      </w:r>
      <w:r w:rsidR="00F37EBB" w:rsidRPr="004E08BF">
        <w:t xml:space="preserve">definition of disability </w:t>
      </w:r>
      <w:r w:rsidR="00FB2416" w:rsidRPr="004E08BF">
        <w:t xml:space="preserve">is </w:t>
      </w:r>
      <w:r w:rsidR="00F37EBB" w:rsidRPr="004E08BF">
        <w:t>outdated and uses language which perpetuate</w:t>
      </w:r>
      <w:r w:rsidR="00246F54">
        <w:t>s</w:t>
      </w:r>
      <w:r w:rsidR="00F37EBB" w:rsidRPr="004E08BF">
        <w:t xml:space="preserve"> stigma and exclusion</w:t>
      </w:r>
      <w:r w:rsidR="007B7C1B">
        <w:t>.</w:t>
      </w:r>
      <w:r w:rsidR="00B1054D" w:rsidRPr="004E08BF">
        <w:t xml:space="preserve"> </w:t>
      </w:r>
    </w:p>
    <w:p w14:paraId="597C0DC0" w14:textId="13AF7E35" w:rsidR="00D670AC" w:rsidRPr="004E08BF" w:rsidRDefault="00D81C23" w:rsidP="006D1DEA">
      <w:pPr>
        <w:pStyle w:val="FirstDotPoint"/>
      </w:pPr>
      <w:r>
        <w:t xml:space="preserve">To </w:t>
      </w:r>
      <w:r w:rsidR="00204494" w:rsidRPr="004E08BF">
        <w:t>reflect</w:t>
      </w:r>
      <w:r>
        <w:t xml:space="preserve"> a</w:t>
      </w:r>
      <w:r w:rsidR="00204494" w:rsidRPr="004E08BF">
        <w:t xml:space="preserve"> more contemporary understanding of disability</w:t>
      </w:r>
      <w:r w:rsidR="009F64D8" w:rsidRPr="004E08BF">
        <w:t xml:space="preserve"> </w:t>
      </w:r>
      <w:r>
        <w:t xml:space="preserve">remove the terms: malfunction, </w:t>
      </w:r>
      <w:r w:rsidR="000532A7">
        <w:t>disfigurement, disorder</w:t>
      </w:r>
      <w:r w:rsidR="00D4667E">
        <w:t xml:space="preserve"> and disturbed.</w:t>
      </w:r>
      <w:r w:rsidR="00F37EBB" w:rsidRPr="004E08BF">
        <w:t xml:space="preserve"> </w:t>
      </w:r>
    </w:p>
    <w:p w14:paraId="2D248FE4" w14:textId="77777777" w:rsidR="002E6763" w:rsidRDefault="00BB415D" w:rsidP="006D1DEA">
      <w:pPr>
        <w:pStyle w:val="FirstDotPoint"/>
      </w:pPr>
      <w:r>
        <w:t xml:space="preserve">Incorporate </w:t>
      </w:r>
      <w:r w:rsidR="00B05F41" w:rsidRPr="004E08BF">
        <w:t xml:space="preserve">human rights and social models </w:t>
      </w:r>
      <w:r>
        <w:t xml:space="preserve">of disability </w:t>
      </w:r>
      <w:r w:rsidR="00B05F41" w:rsidRPr="004E08BF">
        <w:t>that emphasise inclusion and equity and recognise interaction between individuals and external societal barriers</w:t>
      </w:r>
      <w:r w:rsidR="00FF68A3">
        <w:t>. D</w:t>
      </w:r>
      <w:r w:rsidR="00F37EBB" w:rsidRPr="00CF2387">
        <w:t xml:space="preserve">raw from evolving global standards, </w:t>
      </w:r>
      <w:r w:rsidR="00DB3EDD" w:rsidRPr="00CF2387">
        <w:t>including the</w:t>
      </w:r>
      <w:r w:rsidR="00F37EBB" w:rsidRPr="00CF2387">
        <w:t xml:space="preserve"> UN Convention on the Rights of Persons with Disability</w:t>
      </w:r>
      <w:r w:rsidR="00441263" w:rsidRPr="00CF2387">
        <w:t xml:space="preserve"> (CRPD)</w:t>
      </w:r>
      <w:r w:rsidR="00F37EBB" w:rsidRPr="00CF2387">
        <w:t xml:space="preserve"> and </w:t>
      </w:r>
      <w:r w:rsidR="00C74CC6">
        <w:t xml:space="preserve">the </w:t>
      </w:r>
      <w:r w:rsidR="00F37EBB" w:rsidRPr="00CF2387">
        <w:t xml:space="preserve">World Health Organisation. </w:t>
      </w:r>
    </w:p>
    <w:p w14:paraId="10C73C11" w14:textId="05587246" w:rsidR="00175869" w:rsidRDefault="000C21A5" w:rsidP="006D1DEA">
      <w:pPr>
        <w:pStyle w:val="FirstDotPoint"/>
      </w:pPr>
      <w:r>
        <w:t xml:space="preserve">However, </w:t>
      </w:r>
      <w:r w:rsidR="001A77C6" w:rsidRPr="00CF2387">
        <w:t>BCA</w:t>
      </w:r>
      <w:r w:rsidR="00AF1C58" w:rsidRPr="00CF2387">
        <w:t xml:space="preserve"> notes the UNCRPD definition</w:t>
      </w:r>
      <w:r w:rsidR="00D4757D">
        <w:t xml:space="preserve"> </w:t>
      </w:r>
      <w:r w:rsidR="000E2B87" w:rsidRPr="00CF2387">
        <w:t xml:space="preserve">includes the term impairment. </w:t>
      </w:r>
      <w:r w:rsidR="003171C1">
        <w:t xml:space="preserve">In consultation with BCA members, </w:t>
      </w:r>
      <w:r w:rsidR="0004401C">
        <w:t>most</w:t>
      </w:r>
      <w:r w:rsidR="003171C1">
        <w:t xml:space="preserve"> </w:t>
      </w:r>
      <w:r w:rsidR="00E23CE4" w:rsidRPr="00CF2387">
        <w:t>prefer</w:t>
      </w:r>
      <w:r w:rsidR="0004401C">
        <w:t>red</w:t>
      </w:r>
      <w:r w:rsidR="00E23CE4" w:rsidRPr="00CF2387">
        <w:t xml:space="preserve"> that the </w:t>
      </w:r>
      <w:r w:rsidR="008A3B90" w:rsidRPr="00CF2387">
        <w:t>word</w:t>
      </w:r>
      <w:r w:rsidR="00347550">
        <w:t>s</w:t>
      </w:r>
      <w:r w:rsidR="008A3B90" w:rsidRPr="00CF2387">
        <w:t xml:space="preserve"> impaired</w:t>
      </w:r>
      <w:r w:rsidR="00347550">
        <w:t xml:space="preserve"> or </w:t>
      </w:r>
      <w:r w:rsidR="008A3B90" w:rsidRPr="00CF2387">
        <w:t>impairment</w:t>
      </w:r>
      <w:r w:rsidR="00E23CE4" w:rsidRPr="00CF2387">
        <w:t xml:space="preserve"> be</w:t>
      </w:r>
      <w:r w:rsidR="00FF5D8D">
        <w:t xml:space="preserve"> avoided</w:t>
      </w:r>
      <w:r w:rsidR="004E44FF">
        <w:t xml:space="preserve"> in </w:t>
      </w:r>
      <w:r w:rsidR="0004401C">
        <w:t xml:space="preserve">the DDA </w:t>
      </w:r>
      <w:r w:rsidR="004E44FF">
        <w:t>definition</w:t>
      </w:r>
      <w:r w:rsidR="00DF1403">
        <w:t>.</w:t>
      </w:r>
      <w:r w:rsidR="00325F76">
        <w:rPr>
          <w:rStyle w:val="FootnoteReference"/>
        </w:rPr>
        <w:footnoteReference w:id="5"/>
      </w:r>
      <w:r w:rsidR="00690A55">
        <w:t xml:space="preserve"> </w:t>
      </w:r>
    </w:p>
    <w:p w14:paraId="6FCD2DDE" w14:textId="5C54702D" w:rsidR="00DF0419" w:rsidRDefault="00DF0419" w:rsidP="006D1DEA">
      <w:pPr>
        <w:pStyle w:val="FirstDotPoint"/>
      </w:pPr>
      <w:r>
        <w:t xml:space="preserve">BCA recognises that the definition </w:t>
      </w:r>
      <w:r w:rsidR="00DC2763">
        <w:t xml:space="preserve">must legally </w:t>
      </w:r>
      <w:r>
        <w:t>distinguish someone with a disability from someone without</w:t>
      </w:r>
      <w:r w:rsidR="00B35A34">
        <w:t xml:space="preserve"> a disability</w:t>
      </w:r>
      <w:r w:rsidR="005B7400">
        <w:t xml:space="preserve"> and that</w:t>
      </w:r>
      <w:r w:rsidR="00DC2763">
        <w:t xml:space="preserve"> a</w:t>
      </w:r>
      <w:r>
        <w:t xml:space="preserve"> balance </w:t>
      </w:r>
      <w:r w:rsidR="00376752">
        <w:t xml:space="preserve">between a </w:t>
      </w:r>
      <w:r w:rsidR="00376752" w:rsidRPr="00D36347">
        <w:rPr>
          <w:szCs w:val="24"/>
        </w:rPr>
        <w:t xml:space="preserve">societal focus </w:t>
      </w:r>
      <w:r w:rsidR="00376752">
        <w:rPr>
          <w:szCs w:val="24"/>
        </w:rPr>
        <w:t>and</w:t>
      </w:r>
      <w:r w:rsidR="00376752" w:rsidRPr="00D36347">
        <w:rPr>
          <w:szCs w:val="24"/>
        </w:rPr>
        <w:t xml:space="preserve"> functional protections</w:t>
      </w:r>
      <w:r w:rsidR="00872447">
        <w:rPr>
          <w:szCs w:val="24"/>
        </w:rPr>
        <w:t xml:space="preserve"> is necessary</w:t>
      </w:r>
      <w:r w:rsidR="005B7400">
        <w:rPr>
          <w:szCs w:val="24"/>
        </w:rPr>
        <w:t xml:space="preserve"> to prevent discrimination</w:t>
      </w:r>
      <w:r w:rsidR="007B4AAF">
        <w:rPr>
          <w:szCs w:val="24"/>
        </w:rPr>
        <w:t xml:space="preserve"> and achieve legal precision</w:t>
      </w:r>
      <w:r w:rsidR="00475EF0">
        <w:t>.</w:t>
      </w:r>
      <w:r>
        <w:t xml:space="preserve"> </w:t>
      </w:r>
    </w:p>
    <w:p w14:paraId="31B75D5D" w14:textId="77777777" w:rsidR="00F37EBB" w:rsidRDefault="00F37EBB" w:rsidP="00F37EBB">
      <w:pPr>
        <w:pStyle w:val="ListNumber"/>
        <w:numPr>
          <w:ilvl w:val="0"/>
          <w:numId w:val="0"/>
        </w:numPr>
        <w:ind w:left="360"/>
        <w:rPr>
          <w:rFonts w:ascii="Arial" w:hAnsi="Arial" w:cs="Arial"/>
          <w:sz w:val="24"/>
          <w:szCs w:val="24"/>
        </w:rPr>
      </w:pPr>
    </w:p>
    <w:p w14:paraId="62857B9F" w14:textId="77777777" w:rsidR="00F37EBB" w:rsidRPr="0014732A" w:rsidRDefault="00F37EBB" w:rsidP="00F37EBB">
      <w:pPr>
        <w:pStyle w:val="ListNumber"/>
        <w:rPr>
          <w:rFonts w:ascii="Arial" w:hAnsi="Arial" w:cs="Arial"/>
          <w:b/>
          <w:bCs/>
          <w:sz w:val="24"/>
          <w:szCs w:val="24"/>
        </w:rPr>
      </w:pPr>
      <w:r w:rsidRPr="0014732A">
        <w:rPr>
          <w:rFonts w:ascii="Arial" w:hAnsi="Arial" w:cs="Arial"/>
          <w:b/>
          <w:bCs/>
          <w:sz w:val="24"/>
          <w:szCs w:val="24"/>
        </w:rPr>
        <w:t>What factors should be considered in developing a new definition of disability?</w:t>
      </w:r>
    </w:p>
    <w:p w14:paraId="35E45D80" w14:textId="77777777" w:rsidR="00F37EBB" w:rsidRDefault="00F37EBB" w:rsidP="00F37EBB">
      <w:pPr>
        <w:pStyle w:val="ListNumber"/>
        <w:numPr>
          <w:ilvl w:val="0"/>
          <w:numId w:val="0"/>
        </w:numPr>
        <w:ind w:left="360" w:hanging="360"/>
        <w:rPr>
          <w:rFonts w:ascii="Arial" w:hAnsi="Arial" w:cs="Arial"/>
          <w:sz w:val="24"/>
          <w:szCs w:val="24"/>
        </w:rPr>
      </w:pPr>
    </w:p>
    <w:p w14:paraId="14E3D011" w14:textId="13716AB8" w:rsidR="00F37EBB" w:rsidRDefault="002A1967" w:rsidP="00F37EBB">
      <w:pPr>
        <w:pStyle w:val="ListNumber"/>
        <w:numPr>
          <w:ilvl w:val="0"/>
          <w:numId w:val="0"/>
        </w:numPr>
        <w:ind w:left="360" w:hanging="360"/>
        <w:rPr>
          <w:rFonts w:ascii="Arial" w:hAnsi="Arial" w:cs="Arial"/>
          <w:sz w:val="24"/>
          <w:szCs w:val="24"/>
        </w:rPr>
      </w:pPr>
      <w:r>
        <w:rPr>
          <w:rFonts w:ascii="Arial" w:hAnsi="Arial" w:cs="Arial"/>
          <w:sz w:val="24"/>
          <w:szCs w:val="24"/>
        </w:rPr>
        <w:t xml:space="preserve">Factors that should be considered include: </w:t>
      </w:r>
    </w:p>
    <w:p w14:paraId="468F5292" w14:textId="4115971F" w:rsidR="007A54F6" w:rsidRPr="004E08BF" w:rsidRDefault="005C06DF" w:rsidP="006D1DEA">
      <w:pPr>
        <w:pStyle w:val="FirstDotPoint"/>
      </w:pPr>
      <w:r>
        <w:t>Least offensive</w:t>
      </w:r>
      <w:r w:rsidR="00066EF7">
        <w:t xml:space="preserve"> </w:t>
      </w:r>
      <w:r w:rsidR="00066EF7" w:rsidRPr="003C6B19">
        <w:t>–</w:t>
      </w:r>
      <w:r w:rsidR="00810600">
        <w:t xml:space="preserve"> </w:t>
      </w:r>
      <w:r w:rsidR="00B00ECB">
        <w:t xml:space="preserve">Reflect </w:t>
      </w:r>
      <w:r>
        <w:t xml:space="preserve">the </w:t>
      </w:r>
      <w:r w:rsidR="002422FF">
        <w:t>strengths of people with disability</w:t>
      </w:r>
      <w:r w:rsidR="00B24AD4">
        <w:t xml:space="preserve"> and avoid terminology that is </w:t>
      </w:r>
      <w:r w:rsidR="00571AFB">
        <w:t>pejorative or offensive.</w:t>
      </w:r>
      <w:r w:rsidR="007A54F6">
        <w:t xml:space="preserve"> </w:t>
      </w:r>
      <w:r w:rsidR="007A54F6" w:rsidRPr="004E08BF">
        <w:t>Promote disability as part of human diversity, not a tragedy or loss.</w:t>
      </w:r>
    </w:p>
    <w:p w14:paraId="02B1EA7B" w14:textId="035933C3" w:rsidR="00F37EBB" w:rsidRPr="003C6B19" w:rsidRDefault="00F37EBB" w:rsidP="0087044F">
      <w:pPr>
        <w:pStyle w:val="ListNumber"/>
        <w:numPr>
          <w:ilvl w:val="0"/>
          <w:numId w:val="6"/>
        </w:numPr>
        <w:spacing w:line="360" w:lineRule="auto"/>
        <w:rPr>
          <w:rFonts w:ascii="Arial" w:hAnsi="Arial" w:cs="Arial"/>
          <w:sz w:val="24"/>
          <w:szCs w:val="24"/>
        </w:rPr>
      </w:pPr>
      <w:r w:rsidRPr="003C6B19">
        <w:rPr>
          <w:rFonts w:ascii="Arial" w:hAnsi="Arial" w:cs="Arial"/>
          <w:sz w:val="24"/>
          <w:szCs w:val="24"/>
        </w:rPr>
        <w:t>Legally robust –</w:t>
      </w:r>
      <w:r w:rsidR="005E00F4">
        <w:rPr>
          <w:rFonts w:ascii="Arial" w:hAnsi="Arial" w:cs="Arial"/>
          <w:sz w:val="24"/>
          <w:szCs w:val="24"/>
        </w:rPr>
        <w:t xml:space="preserve"> M</w:t>
      </w:r>
      <w:r w:rsidR="00732D3E">
        <w:rPr>
          <w:rFonts w:ascii="Arial" w:hAnsi="Arial" w:cs="Arial"/>
          <w:sz w:val="24"/>
          <w:szCs w:val="24"/>
        </w:rPr>
        <w:t>inimi</w:t>
      </w:r>
      <w:r w:rsidR="00F33D1B">
        <w:rPr>
          <w:rFonts w:ascii="Arial" w:hAnsi="Arial" w:cs="Arial"/>
          <w:sz w:val="24"/>
          <w:szCs w:val="24"/>
        </w:rPr>
        <w:t>s</w:t>
      </w:r>
      <w:r w:rsidR="00732D3E">
        <w:rPr>
          <w:rFonts w:ascii="Arial" w:hAnsi="Arial" w:cs="Arial"/>
          <w:sz w:val="24"/>
          <w:szCs w:val="24"/>
        </w:rPr>
        <w:t xml:space="preserve">e </w:t>
      </w:r>
      <w:r w:rsidR="00C527B0">
        <w:rPr>
          <w:rFonts w:ascii="Arial" w:hAnsi="Arial" w:cs="Arial"/>
          <w:sz w:val="24"/>
          <w:szCs w:val="24"/>
        </w:rPr>
        <w:t xml:space="preserve">any </w:t>
      </w:r>
      <w:r w:rsidR="00732D3E">
        <w:rPr>
          <w:rFonts w:ascii="Arial" w:hAnsi="Arial" w:cs="Arial"/>
          <w:sz w:val="24"/>
          <w:szCs w:val="24"/>
        </w:rPr>
        <w:t>risk</w:t>
      </w:r>
      <w:r w:rsidR="00D71271">
        <w:rPr>
          <w:rFonts w:ascii="Arial" w:hAnsi="Arial" w:cs="Arial"/>
          <w:sz w:val="24"/>
          <w:szCs w:val="24"/>
        </w:rPr>
        <w:t xml:space="preserve"> of duty holders exploiting ambiguity</w:t>
      </w:r>
      <w:r w:rsidRPr="003C6B19">
        <w:rPr>
          <w:rFonts w:ascii="Arial" w:hAnsi="Arial" w:cs="Arial"/>
          <w:sz w:val="24"/>
          <w:szCs w:val="24"/>
        </w:rPr>
        <w:t xml:space="preserve">. </w:t>
      </w:r>
      <w:r w:rsidR="00377D03">
        <w:rPr>
          <w:rFonts w:ascii="Arial" w:hAnsi="Arial" w:cs="Arial"/>
          <w:sz w:val="24"/>
          <w:szCs w:val="24"/>
        </w:rPr>
        <w:t>For example, a</w:t>
      </w:r>
      <w:r w:rsidR="00705602" w:rsidRPr="00705602">
        <w:rPr>
          <w:rFonts w:ascii="Arial" w:hAnsi="Arial" w:cs="Arial"/>
          <w:sz w:val="24"/>
          <w:szCs w:val="24"/>
          <w:lang w:val="en-AU"/>
        </w:rPr>
        <w:t xml:space="preserve"> pure social model</w:t>
      </w:r>
      <w:r w:rsidR="0069729B">
        <w:rPr>
          <w:rFonts w:ascii="Arial" w:hAnsi="Arial" w:cs="Arial"/>
          <w:sz w:val="24"/>
          <w:szCs w:val="24"/>
          <w:lang w:val="en-AU"/>
        </w:rPr>
        <w:t xml:space="preserve"> that d</w:t>
      </w:r>
      <w:r w:rsidR="00C527B0" w:rsidRPr="00C527B0">
        <w:rPr>
          <w:rFonts w:ascii="Arial" w:hAnsi="Arial" w:cs="Arial"/>
          <w:sz w:val="24"/>
          <w:szCs w:val="24"/>
          <w:lang w:val="en-AU"/>
        </w:rPr>
        <w:t>efin</w:t>
      </w:r>
      <w:r w:rsidR="0069729B">
        <w:rPr>
          <w:rFonts w:ascii="Arial" w:hAnsi="Arial" w:cs="Arial"/>
          <w:sz w:val="24"/>
          <w:szCs w:val="24"/>
          <w:lang w:val="en-AU"/>
        </w:rPr>
        <w:t>es</w:t>
      </w:r>
      <w:r w:rsidR="00C527B0" w:rsidRPr="00C527B0">
        <w:rPr>
          <w:rFonts w:ascii="Arial" w:hAnsi="Arial" w:cs="Arial"/>
          <w:sz w:val="24"/>
          <w:szCs w:val="24"/>
          <w:lang w:val="en-AU"/>
        </w:rPr>
        <w:t xml:space="preserve"> disability solely as barriers imposed by society </w:t>
      </w:r>
      <w:r w:rsidR="00705602" w:rsidRPr="00705602">
        <w:rPr>
          <w:rFonts w:ascii="Arial" w:hAnsi="Arial" w:cs="Arial"/>
          <w:sz w:val="24"/>
          <w:szCs w:val="24"/>
          <w:lang w:val="en-AU"/>
        </w:rPr>
        <w:t xml:space="preserve">risks reducing the </w:t>
      </w:r>
      <w:r w:rsidR="00705602" w:rsidRPr="00705602">
        <w:rPr>
          <w:rFonts w:ascii="Arial" w:hAnsi="Arial" w:cs="Arial"/>
          <w:sz w:val="24"/>
          <w:szCs w:val="24"/>
          <w:lang w:val="en-AU"/>
        </w:rPr>
        <w:lastRenderedPageBreak/>
        <w:t>DDA's protective breadth</w:t>
      </w:r>
      <w:r w:rsidR="00DC45F8">
        <w:rPr>
          <w:rFonts w:ascii="Arial" w:hAnsi="Arial" w:cs="Arial"/>
          <w:sz w:val="24"/>
          <w:szCs w:val="24"/>
          <w:lang w:val="en-AU"/>
        </w:rPr>
        <w:t xml:space="preserve">. </w:t>
      </w:r>
      <w:r w:rsidR="00E8631F">
        <w:rPr>
          <w:rFonts w:ascii="Arial" w:hAnsi="Arial" w:cs="Arial"/>
          <w:sz w:val="24"/>
          <w:szCs w:val="24"/>
          <w:lang w:val="en-AU"/>
        </w:rPr>
        <w:t>As noted in the Issues Paper, t</w:t>
      </w:r>
      <w:r w:rsidR="00DC45F8" w:rsidRPr="00DC45F8">
        <w:rPr>
          <w:rFonts w:ascii="Arial" w:hAnsi="Arial" w:cs="Arial"/>
          <w:sz w:val="24"/>
          <w:szCs w:val="24"/>
          <w:lang w:val="en-AU"/>
        </w:rPr>
        <w:t>he Productivity Commission</w:t>
      </w:r>
      <w:r w:rsidR="00E8631F">
        <w:rPr>
          <w:rFonts w:ascii="Arial" w:hAnsi="Arial" w:cs="Arial"/>
          <w:sz w:val="24"/>
          <w:szCs w:val="24"/>
          <w:lang w:val="en-AU"/>
        </w:rPr>
        <w:t xml:space="preserve"> has</w:t>
      </w:r>
      <w:r w:rsidR="00DC45F8" w:rsidRPr="00DC45F8">
        <w:rPr>
          <w:rFonts w:ascii="Arial" w:hAnsi="Arial" w:cs="Arial"/>
          <w:sz w:val="24"/>
          <w:szCs w:val="24"/>
          <w:lang w:val="en-AU"/>
        </w:rPr>
        <w:t xml:space="preserve"> warned that shifting to a pure social model risks uncertainty in application, potentially leading to more appeals</w:t>
      </w:r>
      <w:r w:rsidR="003D6B9E">
        <w:rPr>
          <w:rFonts w:ascii="Arial" w:hAnsi="Arial" w:cs="Arial"/>
          <w:sz w:val="24"/>
          <w:szCs w:val="24"/>
          <w:lang w:val="en-AU"/>
        </w:rPr>
        <w:t>.</w:t>
      </w:r>
      <w:r w:rsidR="006875A4">
        <w:rPr>
          <w:rFonts w:ascii="Arial" w:hAnsi="Arial" w:cs="Arial"/>
          <w:sz w:val="24"/>
          <w:szCs w:val="24"/>
          <w:lang w:val="en-AU"/>
        </w:rPr>
        <w:t xml:space="preserve"> </w:t>
      </w:r>
      <w:r w:rsidRPr="003C6B19">
        <w:rPr>
          <w:rFonts w:ascii="Arial" w:hAnsi="Arial" w:cs="Arial"/>
          <w:sz w:val="24"/>
          <w:szCs w:val="24"/>
        </w:rPr>
        <w:t xml:space="preserve"> </w:t>
      </w:r>
      <w:r w:rsidR="00AF6D0A" w:rsidRPr="00AF6D0A">
        <w:t xml:space="preserve"> </w:t>
      </w:r>
    </w:p>
    <w:p w14:paraId="7E7D1D0A" w14:textId="3176CA99" w:rsidR="00F37EBB" w:rsidRPr="005F1CB0" w:rsidRDefault="00F37EBB" w:rsidP="0087044F">
      <w:pPr>
        <w:pStyle w:val="ListNumber"/>
        <w:numPr>
          <w:ilvl w:val="0"/>
          <w:numId w:val="6"/>
        </w:numPr>
        <w:spacing w:line="360" w:lineRule="auto"/>
        <w:rPr>
          <w:rFonts w:ascii="Arial" w:hAnsi="Arial" w:cs="Arial"/>
          <w:sz w:val="24"/>
          <w:szCs w:val="24"/>
        </w:rPr>
      </w:pPr>
      <w:r>
        <w:rPr>
          <w:rFonts w:ascii="Arial" w:hAnsi="Arial" w:cs="Arial"/>
          <w:sz w:val="24"/>
          <w:szCs w:val="24"/>
        </w:rPr>
        <w:t xml:space="preserve">Inclusive – cover a wide range of conditions to prevent exclusion and incorporate intersectionality. Recognise diversity in disability </w:t>
      </w:r>
      <w:r w:rsidR="0024641D">
        <w:rPr>
          <w:rFonts w:ascii="Arial" w:hAnsi="Arial" w:cs="Arial"/>
          <w:sz w:val="24"/>
          <w:szCs w:val="24"/>
        </w:rPr>
        <w:t xml:space="preserve">including the </w:t>
      </w:r>
      <w:r>
        <w:rPr>
          <w:rFonts w:ascii="Arial" w:hAnsi="Arial" w:cs="Arial"/>
          <w:sz w:val="24"/>
          <w:szCs w:val="24"/>
        </w:rPr>
        <w:t>variation</w:t>
      </w:r>
      <w:r w:rsidR="002D1E10">
        <w:rPr>
          <w:rFonts w:ascii="Arial" w:hAnsi="Arial" w:cs="Arial"/>
          <w:sz w:val="24"/>
          <w:szCs w:val="24"/>
        </w:rPr>
        <w:t xml:space="preserve"> within cohorts such as the range of different experiences </w:t>
      </w:r>
      <w:r w:rsidR="00A76821">
        <w:rPr>
          <w:rFonts w:ascii="Arial" w:hAnsi="Arial" w:cs="Arial"/>
          <w:sz w:val="24"/>
          <w:szCs w:val="24"/>
        </w:rPr>
        <w:t xml:space="preserve">for people </w:t>
      </w:r>
      <w:r w:rsidR="00ED524E">
        <w:rPr>
          <w:rFonts w:ascii="Arial" w:hAnsi="Arial" w:cs="Arial"/>
          <w:sz w:val="24"/>
          <w:szCs w:val="24"/>
        </w:rPr>
        <w:t>who are blind and vision impaired</w:t>
      </w:r>
      <w:r w:rsidR="0040719E">
        <w:rPr>
          <w:rFonts w:ascii="Arial" w:hAnsi="Arial" w:cs="Arial"/>
          <w:sz w:val="24"/>
          <w:szCs w:val="24"/>
        </w:rPr>
        <w:t>.</w:t>
      </w:r>
      <w:r w:rsidR="00ED524E">
        <w:rPr>
          <w:rFonts w:ascii="Arial" w:hAnsi="Arial" w:cs="Arial"/>
          <w:sz w:val="24"/>
          <w:szCs w:val="24"/>
        </w:rPr>
        <w:t xml:space="preserve"> </w:t>
      </w:r>
    </w:p>
    <w:p w14:paraId="19A5CFAF" w14:textId="0C078243" w:rsidR="00562E51" w:rsidRPr="0092130F" w:rsidRDefault="00F37EBB" w:rsidP="0087044F">
      <w:pPr>
        <w:pStyle w:val="ListNumber"/>
        <w:numPr>
          <w:ilvl w:val="0"/>
          <w:numId w:val="6"/>
        </w:numPr>
        <w:spacing w:line="360" w:lineRule="auto"/>
        <w:rPr>
          <w:rFonts w:ascii="Arial" w:hAnsi="Arial" w:cs="Arial"/>
          <w:sz w:val="24"/>
          <w:szCs w:val="24"/>
        </w:rPr>
      </w:pPr>
      <w:r w:rsidRPr="0092130F">
        <w:rPr>
          <w:rFonts w:ascii="Arial" w:hAnsi="Arial" w:cs="Arial"/>
          <w:sz w:val="24"/>
          <w:szCs w:val="24"/>
        </w:rPr>
        <w:t xml:space="preserve">Culturally sensitive – </w:t>
      </w:r>
      <w:r w:rsidR="00562E51" w:rsidRPr="0092130F">
        <w:rPr>
          <w:rFonts w:ascii="Arial" w:hAnsi="Arial" w:cs="Arial"/>
          <w:sz w:val="24"/>
          <w:szCs w:val="24"/>
        </w:rPr>
        <w:t>acknowledge that disability is not perceived uniformly across cultures and ensure respect for diverse cultural interpretations, including those of Aboriginal and Torres Strait Islander peoples, which may integrate spiritual, social, relational, or kinship elements.</w:t>
      </w:r>
    </w:p>
    <w:p w14:paraId="653E0174" w14:textId="77777777" w:rsidR="00F37EBB" w:rsidRDefault="00F37EBB" w:rsidP="0087044F">
      <w:pPr>
        <w:pStyle w:val="ListNumber"/>
        <w:numPr>
          <w:ilvl w:val="0"/>
          <w:numId w:val="6"/>
        </w:numPr>
        <w:spacing w:line="360" w:lineRule="auto"/>
        <w:rPr>
          <w:rFonts w:ascii="Arial" w:hAnsi="Arial" w:cs="Arial"/>
          <w:sz w:val="24"/>
          <w:szCs w:val="24"/>
        </w:rPr>
      </w:pPr>
      <w:r>
        <w:rPr>
          <w:rFonts w:ascii="Arial" w:hAnsi="Arial" w:cs="Arial"/>
          <w:sz w:val="24"/>
          <w:szCs w:val="24"/>
        </w:rPr>
        <w:t xml:space="preserve">Adaptable - Build in flexibility for modern contexts and emerging conditions. </w:t>
      </w:r>
    </w:p>
    <w:p w14:paraId="7133E519" w14:textId="77777777" w:rsidR="00F37EBB" w:rsidRDefault="00F37EBB" w:rsidP="007350B7">
      <w:pPr>
        <w:pStyle w:val="Heading2"/>
      </w:pPr>
      <w:bookmarkStart w:id="28" w:name="_Toc212204001"/>
      <w:r>
        <w:t>Intersectionality</w:t>
      </w:r>
      <w:bookmarkEnd w:id="28"/>
      <w:r>
        <w:t xml:space="preserve"> </w:t>
      </w:r>
    </w:p>
    <w:p w14:paraId="6EE8D801" w14:textId="77777777" w:rsidR="00F37EBB" w:rsidRPr="0014732A" w:rsidRDefault="00F37EBB" w:rsidP="00F37EBB">
      <w:pPr>
        <w:pStyle w:val="ListNumber"/>
        <w:rPr>
          <w:rFonts w:ascii="Arial" w:hAnsi="Arial" w:cs="Arial"/>
          <w:b/>
          <w:bCs/>
          <w:sz w:val="24"/>
          <w:szCs w:val="24"/>
        </w:rPr>
      </w:pPr>
      <w:r w:rsidRPr="0014732A">
        <w:rPr>
          <w:rFonts w:ascii="Arial" w:hAnsi="Arial" w:cs="Arial"/>
          <w:b/>
          <w:bCs/>
          <w:sz w:val="24"/>
          <w:szCs w:val="24"/>
        </w:rPr>
        <w:t>Would the Disability Discrimination Act be strengthened by expressly allowing claims to be brought for multiple or combined protected attributes?</w:t>
      </w:r>
    </w:p>
    <w:p w14:paraId="067AF691" w14:textId="3F73EB3D" w:rsidR="00F37EBB" w:rsidRDefault="00F37EBB" w:rsidP="002A1967">
      <w:r>
        <w:t>Yes</w:t>
      </w:r>
      <w:r w:rsidR="002758DB">
        <w:t xml:space="preserve">. </w:t>
      </w:r>
      <w:r w:rsidR="00346795">
        <w:rPr>
          <w:lang w:eastAsia="en-AU"/>
        </w:rPr>
        <w:t xml:space="preserve">Recommendation: </w:t>
      </w:r>
      <w:r w:rsidR="00F244A6">
        <w:t xml:space="preserve">Make it unlawful to discriminate </w:t>
      </w:r>
      <w:r w:rsidR="007B0131">
        <w:t xml:space="preserve">based on </w:t>
      </w:r>
      <w:r w:rsidRPr="0023699A">
        <w:t>intersecting or combined protected attributes, including multiple disabilities.</w:t>
      </w:r>
    </w:p>
    <w:p w14:paraId="7FA66417" w14:textId="77777777" w:rsidR="004A1344" w:rsidRDefault="009739AD" w:rsidP="006D1DEA">
      <w:pPr>
        <w:pStyle w:val="FirstDotPoint"/>
      </w:pPr>
      <w:r w:rsidRPr="00911C38">
        <w:t>Including intersectionality is critical to ensure comprehensive protection for individuals with disabilit</w:t>
      </w:r>
      <w:r>
        <w:t>y</w:t>
      </w:r>
      <w:r w:rsidRPr="00911C38">
        <w:t xml:space="preserve"> who face compounded discrimination due to overlapping identities such as race, gender, sexuality or age</w:t>
      </w:r>
      <w:r>
        <w:t>. D</w:t>
      </w:r>
      <w:r w:rsidRPr="00EF5982">
        <w:t xml:space="preserve">iscrimination </w:t>
      </w:r>
      <w:r>
        <w:t xml:space="preserve">can </w:t>
      </w:r>
      <w:r w:rsidR="003E7333">
        <w:t xml:space="preserve">occur based on </w:t>
      </w:r>
      <w:r w:rsidR="003E7333" w:rsidRPr="00EF5982">
        <w:t>a combination of protected attributes</w:t>
      </w:r>
      <w:r w:rsidR="003E7333">
        <w:t xml:space="preserve"> </w:t>
      </w:r>
      <w:r>
        <w:t xml:space="preserve">and </w:t>
      </w:r>
      <w:r w:rsidR="003E7333">
        <w:t xml:space="preserve">it </w:t>
      </w:r>
      <w:r w:rsidRPr="00462BAD">
        <w:t>can be difficult to determine the primary cause for discriminatory treatment.</w:t>
      </w:r>
      <w:r>
        <w:t xml:space="preserve"> </w:t>
      </w:r>
    </w:p>
    <w:p w14:paraId="319FD837" w14:textId="1B1C425F" w:rsidR="000944D2" w:rsidRDefault="003D7DE2" w:rsidP="006D1DEA">
      <w:pPr>
        <w:pStyle w:val="FirstDotPoint"/>
      </w:pPr>
      <w:r w:rsidRPr="001B2401">
        <w:t xml:space="preserve">It is not acceptable that an aggrieved person experience additional burden in pursuing claims under multiple anti-discrimination </w:t>
      </w:r>
      <w:r>
        <w:t>legislation</w:t>
      </w:r>
      <w:r w:rsidRPr="001B2401">
        <w:t xml:space="preserve"> for separate protected attributes.</w:t>
      </w:r>
      <w:r w:rsidR="004A1344">
        <w:t xml:space="preserve"> </w:t>
      </w:r>
      <w:r w:rsidR="000944D2">
        <w:t>W</w:t>
      </w:r>
      <w:r w:rsidR="000944D2" w:rsidRPr="00A121DE">
        <w:t xml:space="preserve">ithout an intersectional approach, the needs of groups such as women with </w:t>
      </w:r>
      <w:r w:rsidR="000944D2">
        <w:t xml:space="preserve">disability </w:t>
      </w:r>
      <w:r w:rsidR="000944D2" w:rsidRPr="00A121DE">
        <w:t>who may face gender-based violence alongside accessibility barriers, or culturally diverse individuals who encounter language and cultural obstacles in accessing services</w:t>
      </w:r>
      <w:r w:rsidR="000944D2">
        <w:t xml:space="preserve"> may be overlooked</w:t>
      </w:r>
      <w:r w:rsidR="000944D2" w:rsidRPr="00A121DE">
        <w:t>.</w:t>
      </w:r>
    </w:p>
    <w:p w14:paraId="17F43128" w14:textId="60A31E28" w:rsidR="00A03A71" w:rsidRPr="00A95CD7" w:rsidRDefault="00A03A71" w:rsidP="00A03A71">
      <w:pPr>
        <w:pStyle w:val="IntenseQuote"/>
        <w:rPr>
          <w:b/>
          <w:bCs/>
        </w:rPr>
      </w:pPr>
      <w:r w:rsidRPr="00A95CD7">
        <w:rPr>
          <w:b/>
          <w:bCs/>
        </w:rPr>
        <w:t> “It</w:t>
      </w:r>
      <w:r w:rsidR="009C0C6A">
        <w:rPr>
          <w:b/>
          <w:bCs/>
        </w:rPr>
        <w:t>’s</w:t>
      </w:r>
      <w:r w:rsidRPr="00A95CD7">
        <w:rPr>
          <w:b/>
          <w:bCs/>
        </w:rPr>
        <w:t xml:space="preserve"> unfair that you have to continuously rewrite your [discrimination] complaint in different jurisdictions. This is an inherent issue, which I have </w:t>
      </w:r>
      <w:r w:rsidRPr="00A95CD7">
        <w:rPr>
          <w:b/>
          <w:bCs/>
        </w:rPr>
        <w:lastRenderedPageBreak/>
        <w:t>brought up countless times, in countless reviews, and seems to always be glanced over the top. It never seems to get forward.”</w:t>
      </w:r>
      <w:r w:rsidRPr="00A95CD7">
        <w:rPr>
          <w:rStyle w:val="FootnoteReference"/>
          <w:b/>
          <w:bCs/>
        </w:rPr>
        <w:footnoteReference w:id="6"/>
      </w:r>
    </w:p>
    <w:p w14:paraId="577A39E5" w14:textId="77777777" w:rsidR="001D1131" w:rsidRPr="00181DC5" w:rsidRDefault="001D1131" w:rsidP="007350B7">
      <w:pPr>
        <w:pStyle w:val="Heading2"/>
      </w:pPr>
      <w:bookmarkStart w:id="29" w:name="_Toc212204002"/>
      <w:r w:rsidRPr="00181DC5">
        <w:t>Definition of direct discrimination</w:t>
      </w:r>
      <w:bookmarkEnd w:id="29"/>
    </w:p>
    <w:p w14:paraId="6D7BE621" w14:textId="77777777" w:rsidR="001D1131" w:rsidRPr="002A729F" w:rsidRDefault="001D1131" w:rsidP="001D1131">
      <w:pPr>
        <w:pStyle w:val="ListNumber"/>
        <w:rPr>
          <w:rFonts w:ascii="Arial" w:hAnsi="Arial" w:cs="Arial"/>
          <w:b/>
          <w:bCs/>
          <w:sz w:val="24"/>
          <w:szCs w:val="24"/>
        </w:rPr>
      </w:pPr>
      <w:r w:rsidRPr="002A729F">
        <w:rPr>
          <w:rFonts w:ascii="Arial" w:hAnsi="Arial" w:cs="Arial"/>
          <w:b/>
          <w:bCs/>
          <w:sz w:val="24"/>
          <w:szCs w:val="24"/>
        </w:rPr>
        <w:t>What test should be used to ensure that the definition of direct discrimination is easy to understand and implement for both duty holders and people with disability, and why?</w:t>
      </w:r>
    </w:p>
    <w:p w14:paraId="24AFB06B" w14:textId="3F1335E4" w:rsidR="00982CD9" w:rsidRDefault="00CB289D" w:rsidP="0012434A">
      <w:pPr>
        <w:rPr>
          <w:lang w:eastAsia="en-AU"/>
        </w:rPr>
      </w:pPr>
      <w:bookmarkStart w:id="30" w:name="_Toc208589107"/>
      <w:r>
        <w:rPr>
          <w:lang w:eastAsia="en-AU"/>
        </w:rPr>
        <w:t xml:space="preserve">Recommendation: </w:t>
      </w:r>
      <w:r w:rsidR="00982CD9" w:rsidRPr="00982CD9">
        <w:rPr>
          <w:lang w:eastAsia="en-AU"/>
        </w:rPr>
        <w:t>Use an unfavourable treatment approach to test for discrimination and remove the need for a comparator.</w:t>
      </w:r>
      <w:bookmarkEnd w:id="30"/>
      <w:r w:rsidR="00982CD9" w:rsidRPr="00982CD9">
        <w:rPr>
          <w:lang w:eastAsia="en-AU"/>
        </w:rPr>
        <w:t xml:space="preserve"> </w:t>
      </w:r>
    </w:p>
    <w:p w14:paraId="5B3161BC" w14:textId="77777777" w:rsidR="00CA289B" w:rsidRDefault="00CA289B" w:rsidP="006D1DEA">
      <w:pPr>
        <w:pStyle w:val="FirstDotPoint"/>
      </w:pPr>
      <w:r>
        <w:t xml:space="preserve">BCA members report that it can be hard to differentiate between direct and indirect discrimination, and </w:t>
      </w:r>
      <w:r w:rsidRPr="00E33404">
        <w:t>a single incident of discrimination can constitute both forms.</w:t>
      </w:r>
      <w:r>
        <w:t xml:space="preserve"> </w:t>
      </w:r>
    </w:p>
    <w:p w14:paraId="73478E52" w14:textId="79E991F7" w:rsidR="00332417" w:rsidRDefault="00332417" w:rsidP="006D1DEA">
      <w:pPr>
        <w:pStyle w:val="FirstDotPoint"/>
      </w:pPr>
      <w:r>
        <w:t>D</w:t>
      </w:r>
      <w:r w:rsidRPr="00CC45A3">
        <w:t xml:space="preserve">etermining </w:t>
      </w:r>
      <w:r w:rsidR="007C4546">
        <w:t xml:space="preserve">direct </w:t>
      </w:r>
      <w:r w:rsidRPr="00CC45A3">
        <w:t xml:space="preserve">discrimination based on a comparator – who may be a real or conceived person – </w:t>
      </w:r>
      <w:r w:rsidR="00EF06A0">
        <w:t xml:space="preserve">is overly complex and </w:t>
      </w:r>
      <w:r w:rsidRPr="00CC45A3">
        <w:t>can be unnecessarily problematic for both people with disability and the court system</w:t>
      </w:r>
      <w:r>
        <w:t>.</w:t>
      </w:r>
      <w:r>
        <w:rPr>
          <w:rStyle w:val="FootnoteReference"/>
        </w:rPr>
        <w:footnoteReference w:id="7"/>
      </w:r>
      <w:r w:rsidRPr="005F26A5">
        <w:t xml:space="preserve"> </w:t>
      </w:r>
    </w:p>
    <w:p w14:paraId="15E13401" w14:textId="07E2CB29" w:rsidR="0012044C" w:rsidRDefault="001E671E" w:rsidP="006D1DEA">
      <w:pPr>
        <w:pStyle w:val="FirstDotPoint"/>
      </w:pPr>
      <w:r>
        <w:t xml:space="preserve">Use of a </w:t>
      </w:r>
      <w:r w:rsidRPr="009113F4">
        <w:t>comparator test fail</w:t>
      </w:r>
      <w:r>
        <w:t>s</w:t>
      </w:r>
      <w:r w:rsidRPr="009113F4">
        <w:t xml:space="preserve"> to reflect the lived experience of discrimination.</w:t>
      </w:r>
      <w:r>
        <w:t xml:space="preserve"> It </w:t>
      </w:r>
      <w:r w:rsidR="0012044C" w:rsidRPr="00CC45A3">
        <w:t xml:space="preserve">does not consider the accumulated disadvantage associated with disability, such as lower educational and employment outcomes and higher rates of poverty and social </w:t>
      </w:r>
      <w:r w:rsidR="0012044C" w:rsidRPr="00C039BE">
        <w:t xml:space="preserve">exclusion. </w:t>
      </w:r>
      <w:r w:rsidR="00092CF7">
        <w:t xml:space="preserve">It also fails to </w:t>
      </w:r>
      <w:r w:rsidR="002E461B" w:rsidRPr="00E307E7">
        <w:t>address systemic or structural discrimination where policies or practices inherently disadvantage certain groups</w:t>
      </w:r>
      <w:r w:rsidR="001355C7">
        <w:rPr>
          <w:rStyle w:val="FootnoteReference"/>
        </w:rPr>
        <w:footnoteReference w:id="8"/>
      </w:r>
      <w:r w:rsidR="002E461B" w:rsidRPr="00E307E7">
        <w:t>.</w:t>
      </w:r>
      <w:r w:rsidR="00C84A7A">
        <w:t xml:space="preserve"> </w:t>
      </w:r>
      <w:r w:rsidR="002263FE">
        <w:t xml:space="preserve">For example, </w:t>
      </w:r>
      <w:r w:rsidR="00C84A7A" w:rsidRPr="00493888">
        <w:t>inaccessible facilities</w:t>
      </w:r>
      <w:r w:rsidR="00C84A7A">
        <w:t>, goods and services</w:t>
      </w:r>
      <w:r w:rsidR="00C84A7A" w:rsidRPr="00493888">
        <w:t xml:space="preserve"> or policies </w:t>
      </w:r>
      <w:r w:rsidR="002263FE">
        <w:t xml:space="preserve">which </w:t>
      </w:r>
      <w:r w:rsidR="00C84A7A" w:rsidRPr="00493888">
        <w:t>disproportionately affect people</w:t>
      </w:r>
      <w:r w:rsidR="00C84A7A">
        <w:t xml:space="preserve"> who are blind or vision impaired</w:t>
      </w:r>
      <w:r w:rsidR="00C84A7A" w:rsidRPr="00493888">
        <w:t>.</w:t>
      </w:r>
      <w:r w:rsidR="00CA289B">
        <w:t xml:space="preserve"> </w:t>
      </w:r>
    </w:p>
    <w:p w14:paraId="62A11525" w14:textId="1CD8F134" w:rsidR="007B53CA" w:rsidRDefault="0012044C" w:rsidP="006D1DEA">
      <w:pPr>
        <w:pStyle w:val="FirstDotPoint"/>
      </w:pPr>
      <w:r>
        <w:t>The AHRC</w:t>
      </w:r>
      <w:r w:rsidR="001A7F1E">
        <w:rPr>
          <w:rStyle w:val="FootnoteReference"/>
        </w:rPr>
        <w:footnoteReference w:id="9"/>
      </w:r>
      <w:r>
        <w:t xml:space="preserve"> identifies reforms to simplify the test of discrimination by removing the requirement for a comparator in favour of a detriment test, and the </w:t>
      </w:r>
      <w:r w:rsidR="001B70CC">
        <w:rPr>
          <w:iCs/>
        </w:rPr>
        <w:t>DRC</w:t>
      </w:r>
      <w:r w:rsidRPr="0012044C">
        <w:rPr>
          <w:iCs/>
        </w:rPr>
        <w:t xml:space="preserve"> Final Report</w:t>
      </w:r>
      <w:r w:rsidR="00BE17F6">
        <w:rPr>
          <w:rStyle w:val="FootnoteReference"/>
        </w:rPr>
        <w:footnoteReference w:id="10"/>
      </w:r>
      <w:r>
        <w:t xml:space="preserve"> recommends </w:t>
      </w:r>
      <w:r w:rsidRPr="009113F4">
        <w:t>adopt</w:t>
      </w:r>
      <w:r w:rsidR="00FC5FD1">
        <w:t>ion of</w:t>
      </w:r>
      <w:r w:rsidRPr="009113F4">
        <w:t xml:space="preserve"> </w:t>
      </w:r>
      <w:r>
        <w:t>an</w:t>
      </w:r>
      <w:r w:rsidRPr="009113F4">
        <w:t> unfavourable treatment approach</w:t>
      </w:r>
      <w:r>
        <w:t xml:space="preserve"> - </w:t>
      </w:r>
      <w:r w:rsidRPr="009113F4">
        <w:t xml:space="preserve">considered more appropriate and accessible for people with disability. </w:t>
      </w:r>
    </w:p>
    <w:p w14:paraId="3EC14A98" w14:textId="77777777" w:rsidR="005111FA" w:rsidRDefault="007E30C4" w:rsidP="006D1DEA">
      <w:pPr>
        <w:pStyle w:val="FirstDotPoint"/>
      </w:pPr>
      <w:r>
        <w:t>BCA</w:t>
      </w:r>
      <w:r w:rsidRPr="007E30C4">
        <w:t xml:space="preserve"> support</w:t>
      </w:r>
      <w:r>
        <w:t>s</w:t>
      </w:r>
      <w:r w:rsidRPr="007E30C4">
        <w:t xml:space="preserve"> </w:t>
      </w:r>
      <w:r w:rsidR="00132517">
        <w:t xml:space="preserve">use of an </w:t>
      </w:r>
      <w:r w:rsidRPr="007E30C4">
        <w:t>unfavourable treatment approa</w:t>
      </w:r>
      <w:r w:rsidRPr="002F6FEE">
        <w:t>ch as it applies in the</w:t>
      </w:r>
      <w:r w:rsidR="002F6FEE" w:rsidRPr="002F6FEE">
        <w:t xml:space="preserve"> </w:t>
      </w:r>
      <w:r w:rsidRPr="002F6FEE">
        <w:t>E</w:t>
      </w:r>
      <w:r w:rsidR="00797F06" w:rsidRPr="002F6FEE">
        <w:t xml:space="preserve">qual </w:t>
      </w:r>
      <w:r w:rsidRPr="002F6FEE">
        <w:t>O</w:t>
      </w:r>
      <w:r w:rsidR="00797F06" w:rsidRPr="002F6FEE">
        <w:t xml:space="preserve">pportunity </w:t>
      </w:r>
      <w:r w:rsidRPr="002F6FEE">
        <w:t>A</w:t>
      </w:r>
      <w:r w:rsidR="00797F06" w:rsidRPr="002F6FEE">
        <w:t>ct</w:t>
      </w:r>
      <w:r w:rsidR="00F11F21">
        <w:t xml:space="preserve"> 2010</w:t>
      </w:r>
      <w:r w:rsidR="002F6FEE">
        <w:t xml:space="preserve"> (Vic)</w:t>
      </w:r>
      <w:r w:rsidRPr="002F6FEE">
        <w:t xml:space="preserve"> and the Discrimination Act 1991 (ACT)</w:t>
      </w:r>
      <w:r w:rsidRPr="00797F06">
        <w:t xml:space="preserve">.  </w:t>
      </w:r>
    </w:p>
    <w:p w14:paraId="230D1644" w14:textId="6556672E" w:rsidR="006F5294" w:rsidRDefault="000D28C7" w:rsidP="006D1DEA">
      <w:pPr>
        <w:pStyle w:val="FirstDotPoint"/>
      </w:pPr>
      <w:r>
        <w:lastRenderedPageBreak/>
        <w:t>A</w:t>
      </w:r>
      <w:r w:rsidR="00E703E0" w:rsidRPr="00E307E7">
        <w:t xml:space="preserve">n unfavourable treatment </w:t>
      </w:r>
      <w:r w:rsidR="00797F06">
        <w:t>approach</w:t>
      </w:r>
      <w:r w:rsidR="00E703E0" w:rsidRPr="00E307E7">
        <w:t xml:space="preserve"> shifts the focus from comparing the complainant to a hypothetical person to evaluating whether the treatment they received was inherently disadvantageous or detrimental due to their protected </w:t>
      </w:r>
      <w:r w:rsidR="00E703E0">
        <w:t>attribute</w:t>
      </w:r>
      <w:r w:rsidR="00E703E0" w:rsidRPr="00E307E7">
        <w:t>.</w:t>
      </w:r>
      <w:r w:rsidR="00E703E0">
        <w:t xml:space="preserve"> </w:t>
      </w:r>
      <w:r w:rsidR="006F5294">
        <w:t xml:space="preserve">It </w:t>
      </w:r>
      <w:r w:rsidR="00E703E0" w:rsidRPr="00E307E7">
        <w:t>assesses whether a person has suffered a disadvantage, harm, or negative impact because of the treatment</w:t>
      </w:r>
      <w:r w:rsidR="00020A0D">
        <w:t xml:space="preserve">. </w:t>
      </w:r>
      <w:r w:rsidR="00E00DCA" w:rsidRPr="005A6D17">
        <w:t>For example, a person who is blind and uses screen reader software is</w:t>
      </w:r>
      <w:r w:rsidR="00455012">
        <w:t xml:space="preserve"> treated unfavourably when they are</w:t>
      </w:r>
      <w:r w:rsidR="00E00DCA" w:rsidRPr="005A6D17">
        <w:t xml:space="preserve"> unable to use online banking services due to inaccessible design and cannot complete transactions independently.</w:t>
      </w:r>
    </w:p>
    <w:p w14:paraId="76822E66" w14:textId="247C71EA" w:rsidR="00FC5FD1" w:rsidRDefault="00020A0D" w:rsidP="006D1DEA">
      <w:pPr>
        <w:pStyle w:val="FirstDotPoint"/>
      </w:pPr>
      <w:r>
        <w:t xml:space="preserve">This </w:t>
      </w:r>
      <w:r w:rsidR="00C76D7D">
        <w:t xml:space="preserve">approach </w:t>
      </w:r>
      <w:r w:rsidR="00FC5FD1">
        <w:t xml:space="preserve">aligns more closely with the CRPD's definition of discrimination and </w:t>
      </w:r>
      <w:r w:rsidR="00FC5FD1" w:rsidRPr="00086D7D">
        <w:t>whether a person’s human rights can be recognised, enjoyed and exercised, on an equal basis with others</w:t>
      </w:r>
      <w:r w:rsidR="00FC5FD1" w:rsidRPr="00D653CC">
        <w:t>.</w:t>
      </w:r>
    </w:p>
    <w:p w14:paraId="68CEAE94" w14:textId="61E65C03" w:rsidR="00426FF8" w:rsidRPr="002A1967" w:rsidRDefault="00426FF8" w:rsidP="00426FF8">
      <w:pPr>
        <w:pStyle w:val="ListNumber"/>
        <w:rPr>
          <w:rFonts w:ascii="Arial" w:hAnsi="Arial" w:cs="Arial"/>
          <w:b/>
          <w:bCs/>
          <w:sz w:val="24"/>
          <w:szCs w:val="24"/>
        </w:rPr>
      </w:pPr>
      <w:r w:rsidRPr="002A1967">
        <w:rPr>
          <w:rFonts w:ascii="Arial" w:hAnsi="Arial" w:cs="Arial"/>
          <w:b/>
          <w:bCs/>
          <w:sz w:val="24"/>
          <w:szCs w:val="24"/>
        </w:rPr>
        <w:t>Could any other changes be made to the Disability Discrimination Act to recognise and provide protection for people with disability who have intersecting identities, or addressing compounding discrimination?</w:t>
      </w:r>
    </w:p>
    <w:p w14:paraId="78DA467A" w14:textId="1CFC243F" w:rsidR="00426FF8" w:rsidRPr="00216172" w:rsidRDefault="00EC5DFD" w:rsidP="00426FF8">
      <w:pPr>
        <w:pStyle w:val="NormalWeb"/>
        <w:rPr>
          <w:rFonts w:ascii="Arial" w:hAnsi="Arial" w:cs="Arial"/>
        </w:rPr>
      </w:pPr>
      <w:r w:rsidRPr="00216172">
        <w:rPr>
          <w:rFonts w:ascii="Arial" w:hAnsi="Arial" w:cs="Arial"/>
        </w:rPr>
        <w:t>No further comment</w:t>
      </w:r>
    </w:p>
    <w:p w14:paraId="557B31FC" w14:textId="77777777" w:rsidR="001D1131" w:rsidRDefault="001D1131" w:rsidP="007350B7">
      <w:pPr>
        <w:pStyle w:val="Heading2"/>
      </w:pPr>
      <w:bookmarkStart w:id="31" w:name="_Toc212204003"/>
      <w:r>
        <w:t>Burden of proof</w:t>
      </w:r>
      <w:bookmarkEnd w:id="31"/>
    </w:p>
    <w:p w14:paraId="2239EC8A" w14:textId="77777777" w:rsidR="001D1131" w:rsidRPr="00686361" w:rsidRDefault="001D1131" w:rsidP="001D1131">
      <w:pPr>
        <w:pStyle w:val="ListNumber"/>
        <w:rPr>
          <w:rFonts w:ascii="Arial" w:hAnsi="Arial" w:cs="Arial"/>
          <w:b/>
          <w:bCs/>
          <w:sz w:val="24"/>
          <w:szCs w:val="24"/>
        </w:rPr>
      </w:pPr>
      <w:r w:rsidRPr="00686361">
        <w:rPr>
          <w:rFonts w:ascii="Arial" w:hAnsi="Arial" w:cs="Arial"/>
          <w:b/>
          <w:bCs/>
          <w:sz w:val="24"/>
          <w:szCs w:val="24"/>
        </w:rPr>
        <w:t>How should the burden of proof be addressed in the Disability Discrimination Act?</w:t>
      </w:r>
    </w:p>
    <w:p w14:paraId="26180507" w14:textId="69B46F55" w:rsidR="001D1131" w:rsidRDefault="00CB289D" w:rsidP="002A1967">
      <w:r>
        <w:t xml:space="preserve">Recommendation: </w:t>
      </w:r>
      <w:r w:rsidR="001D1131" w:rsidRPr="0014368E">
        <w:t xml:space="preserve">Shift the burden of proof </w:t>
      </w:r>
      <w:r w:rsidR="00F85512">
        <w:t xml:space="preserve">to </w:t>
      </w:r>
      <w:r w:rsidR="001D1131" w:rsidRPr="0014368E">
        <w:t>the respondent</w:t>
      </w:r>
      <w:r w:rsidR="00F85512">
        <w:t>, requiring the respondent to</w:t>
      </w:r>
      <w:r w:rsidR="001D1131" w:rsidRPr="0014368E">
        <w:t xml:space="preserve"> prove that the reason for their treatment of the person with disability was not because of the person’s disability.</w:t>
      </w:r>
      <w:r w:rsidR="001D1131">
        <w:t xml:space="preserve"> </w:t>
      </w:r>
    </w:p>
    <w:p w14:paraId="5A0CFE51" w14:textId="77777777" w:rsidR="00042E65" w:rsidRDefault="00A639D8" w:rsidP="006D1DEA">
      <w:pPr>
        <w:pStyle w:val="FirstDotPoint"/>
      </w:pPr>
      <w:r w:rsidRPr="006C0280">
        <w:t>For people with disability who experience discrimination, collecting evidence and meeting the burden of proof requirements can be difficult and can deter people from progressing with a complaint of discrimination.</w:t>
      </w:r>
      <w:r w:rsidR="00C97F75">
        <w:t xml:space="preserve"> </w:t>
      </w:r>
    </w:p>
    <w:p w14:paraId="0B204562" w14:textId="6A315B28" w:rsidR="007803C1" w:rsidRDefault="005D75F9" w:rsidP="006D1DEA">
      <w:pPr>
        <w:pStyle w:val="FirstDotPoint"/>
      </w:pPr>
      <w:r>
        <w:t xml:space="preserve">Adopt </w:t>
      </w:r>
      <w:r w:rsidRPr="006C0280">
        <w:t xml:space="preserve">a burden of proof for direct discrimination in the DDA that is similar to the burden of proof requirements in </w:t>
      </w:r>
      <w:r>
        <w:t xml:space="preserve">the </w:t>
      </w:r>
      <w:r w:rsidRPr="008B67C5">
        <w:t>Fair Work Act 2009 (Cth)</w:t>
      </w:r>
      <w:r>
        <w:t xml:space="preserve"> </w:t>
      </w:r>
      <w:r w:rsidRPr="006C0280">
        <w:t xml:space="preserve">where the applicant must prove that the treatment occurred and the respondent must prove that the treatment was not </w:t>
      </w:r>
      <w:r w:rsidR="00577BC0" w:rsidRPr="006C0280">
        <w:t>based on</w:t>
      </w:r>
      <w:r w:rsidRPr="006C0280">
        <w:t xml:space="preserve"> the person’s disability.</w:t>
      </w:r>
      <w:r w:rsidR="00B34733">
        <w:t xml:space="preserve"> </w:t>
      </w:r>
      <w:r w:rsidR="007803C1">
        <w:t xml:space="preserve">For example, an employment </w:t>
      </w:r>
      <w:r w:rsidR="007803C1" w:rsidRPr="00A34D51">
        <w:t xml:space="preserve">application process requires submitting a resume through an online portal </w:t>
      </w:r>
      <w:r w:rsidR="00042E65">
        <w:t>in</w:t>
      </w:r>
      <w:r w:rsidR="007803C1" w:rsidRPr="00A34D51">
        <w:t>compatible with screen-reader software (e.g</w:t>
      </w:r>
      <w:r w:rsidR="00435B46">
        <w:t>.</w:t>
      </w:r>
      <w:r w:rsidR="007803C1">
        <w:t xml:space="preserve"> it uses</w:t>
      </w:r>
      <w:r w:rsidR="007803C1" w:rsidRPr="00A34D51">
        <w:t xml:space="preserve"> CAPTCHA without audio alternatives).</w:t>
      </w:r>
      <w:r w:rsidR="007803C1">
        <w:t xml:space="preserve"> When the applicant asks the recruiter for an alternative method of </w:t>
      </w:r>
      <w:r w:rsidR="00435B46">
        <w:t>submission,</w:t>
      </w:r>
      <w:r w:rsidR="007803C1">
        <w:t xml:space="preserve"> the</w:t>
      </w:r>
      <w:r w:rsidR="00511E2C">
        <w:t xml:space="preserve"> recruiter</w:t>
      </w:r>
      <w:r w:rsidR="007803C1">
        <w:t xml:space="preserve"> refuse</w:t>
      </w:r>
      <w:r w:rsidR="00511E2C">
        <w:t>s</w:t>
      </w:r>
      <w:r w:rsidR="007803C1">
        <w:t xml:space="preserve"> on the basis that the recruitment method is standardised for efficiency. This situation could constitute unfavourable treatment and in the event of a claim, the burden would be on</w:t>
      </w:r>
      <w:r w:rsidR="007803C1" w:rsidRPr="0008747E">
        <w:t xml:space="preserve"> the company</w:t>
      </w:r>
      <w:r w:rsidR="00511E2C">
        <w:t xml:space="preserve"> recruiting for </w:t>
      </w:r>
      <w:r w:rsidR="00AC27F4">
        <w:t>a job vacancy</w:t>
      </w:r>
      <w:r w:rsidR="007803C1" w:rsidRPr="0008747E">
        <w:t xml:space="preserve"> to justify </w:t>
      </w:r>
      <w:r w:rsidR="007803C1" w:rsidRPr="0008747E">
        <w:lastRenderedPageBreak/>
        <w:t>their actions, such as proving that providing an alternative (e.g. email submission) would impose unjustifiable hardship</w:t>
      </w:r>
      <w:r w:rsidR="007803C1">
        <w:t>.</w:t>
      </w:r>
    </w:p>
    <w:p w14:paraId="2BBC0544" w14:textId="6A529F11" w:rsidR="003D79EB" w:rsidRPr="00F30F27" w:rsidRDefault="003D79EB" w:rsidP="00AA3A1E">
      <w:pPr>
        <w:pStyle w:val="IntenseQuote"/>
        <w:rPr>
          <w:b/>
          <w:bCs/>
        </w:rPr>
      </w:pPr>
      <w:r w:rsidRPr="00F30F27">
        <w:rPr>
          <w:b/>
          <w:bCs/>
        </w:rPr>
        <w:t>“I very much endorse an approach to reducing the burden of complaint on individuals and making compliance a greater focus. This could be particularly relevant where a dog guide refusal has occurred. Fines issued more readily by police would greatly assist in addressing this systemic issue.”</w:t>
      </w:r>
      <w:r w:rsidR="00EC3632" w:rsidRPr="00F30F27">
        <w:rPr>
          <w:rStyle w:val="FootnoteReference"/>
          <w:b/>
          <w:bCs/>
        </w:rPr>
        <w:footnoteReference w:id="11"/>
      </w:r>
      <w:r w:rsidRPr="00F30F27">
        <w:rPr>
          <w:b/>
          <w:bCs/>
        </w:rPr>
        <w:t xml:space="preserve"> </w:t>
      </w:r>
    </w:p>
    <w:p w14:paraId="00826F58" w14:textId="77777777" w:rsidR="001D1131" w:rsidRPr="00CD7A7A" w:rsidRDefault="001D1131" w:rsidP="007350B7">
      <w:pPr>
        <w:pStyle w:val="Heading2"/>
      </w:pPr>
      <w:bookmarkStart w:id="32" w:name="_Toc212204004"/>
      <w:r>
        <w:t>D</w:t>
      </w:r>
      <w:r w:rsidRPr="00CD7A7A">
        <w:t>efinition of indirect discrimination</w:t>
      </w:r>
      <w:bookmarkEnd w:id="32"/>
    </w:p>
    <w:p w14:paraId="26F634DF" w14:textId="77777777" w:rsidR="001D1131" w:rsidRDefault="001D1131" w:rsidP="001D1131">
      <w:pPr>
        <w:pStyle w:val="ListNumber"/>
        <w:rPr>
          <w:rFonts w:ascii="Arial" w:hAnsi="Arial" w:cs="Arial"/>
          <w:b/>
          <w:bCs/>
          <w:sz w:val="24"/>
          <w:szCs w:val="24"/>
        </w:rPr>
      </w:pPr>
      <w:r w:rsidRPr="00EC5DFD">
        <w:rPr>
          <w:rFonts w:ascii="Arial" w:hAnsi="Arial" w:cs="Arial"/>
          <w:b/>
          <w:bCs/>
          <w:sz w:val="24"/>
          <w:szCs w:val="24"/>
        </w:rPr>
        <w:t>How could the definition of indirect discrimination be amended to ensure that it is easy to understand and implement for people with disability and duty holders?</w:t>
      </w:r>
    </w:p>
    <w:p w14:paraId="596100A9" w14:textId="42EB248A" w:rsidR="009011CC" w:rsidRDefault="00CB289D" w:rsidP="00671FC6">
      <w:r>
        <w:t xml:space="preserve">Recommendation: </w:t>
      </w:r>
      <w:r w:rsidR="009011CC">
        <w:t>Narrow and simplify the d</w:t>
      </w:r>
      <w:r w:rsidR="009011CC" w:rsidRPr="00637582">
        <w:t>efinition of indirect discrimination</w:t>
      </w:r>
      <w:r w:rsidR="009011CC">
        <w:t xml:space="preserve"> by removing the defence of reasonableness and inability to comply </w:t>
      </w:r>
      <w:r w:rsidR="009011CC" w:rsidRPr="00C04188">
        <w:t>and focus only</w:t>
      </w:r>
      <w:r w:rsidR="009011CC">
        <w:t xml:space="preserve"> on</w:t>
      </w:r>
      <w:r w:rsidR="009011CC" w:rsidRPr="00C04188">
        <w:t xml:space="preserve"> the exception of unjustifiable hardship.</w:t>
      </w:r>
    </w:p>
    <w:p w14:paraId="1F59F6E2" w14:textId="77777777" w:rsidR="009011CC" w:rsidRPr="00EC5DFD" w:rsidRDefault="009011CC" w:rsidP="002379D1">
      <w:pPr>
        <w:pStyle w:val="ListNumber"/>
        <w:numPr>
          <w:ilvl w:val="0"/>
          <w:numId w:val="0"/>
        </w:numPr>
        <w:ind w:left="360" w:hanging="360"/>
        <w:rPr>
          <w:rFonts w:ascii="Arial" w:hAnsi="Arial" w:cs="Arial"/>
          <w:b/>
          <w:bCs/>
          <w:sz w:val="24"/>
          <w:szCs w:val="24"/>
        </w:rPr>
      </w:pPr>
    </w:p>
    <w:p w14:paraId="075D56B2" w14:textId="77777777" w:rsidR="00252CDD" w:rsidRDefault="00252CDD" w:rsidP="00252CDD">
      <w:pPr>
        <w:pStyle w:val="ListNumber"/>
        <w:rPr>
          <w:rFonts w:ascii="Arial" w:hAnsi="Arial" w:cs="Arial"/>
          <w:b/>
          <w:bCs/>
          <w:sz w:val="24"/>
          <w:szCs w:val="24"/>
        </w:rPr>
      </w:pPr>
      <w:r w:rsidRPr="00EC5DFD">
        <w:rPr>
          <w:rFonts w:ascii="Arial" w:hAnsi="Arial" w:cs="Arial"/>
          <w:b/>
          <w:bCs/>
          <w:sz w:val="24"/>
          <w:szCs w:val="24"/>
        </w:rPr>
        <w:t>Should the reasonableness element in the definition of indirect discrimination be:</w:t>
      </w:r>
      <w:r w:rsidRPr="00EC5DFD">
        <w:rPr>
          <w:rFonts w:ascii="Arial" w:hAnsi="Arial" w:cs="Arial"/>
          <w:b/>
          <w:bCs/>
          <w:sz w:val="24"/>
          <w:szCs w:val="24"/>
        </w:rPr>
        <w:br/>
        <w:t>a. removed - YES</w:t>
      </w:r>
      <w:r w:rsidRPr="00EC5DFD">
        <w:rPr>
          <w:rFonts w:ascii="Arial" w:hAnsi="Arial" w:cs="Arial"/>
          <w:b/>
          <w:bCs/>
          <w:sz w:val="24"/>
          <w:szCs w:val="24"/>
        </w:rPr>
        <w:br/>
        <w:t>b. retained and supplemented with a list of factors to consider</w:t>
      </w:r>
      <w:r w:rsidRPr="00EC5DFD">
        <w:rPr>
          <w:rFonts w:ascii="Arial" w:hAnsi="Arial" w:cs="Arial"/>
          <w:b/>
          <w:bCs/>
          <w:sz w:val="24"/>
          <w:szCs w:val="24"/>
        </w:rPr>
        <w:br/>
        <w:t>c. replaced by a legitimate and proportionate test</w:t>
      </w:r>
      <w:r w:rsidRPr="00EC5DFD">
        <w:rPr>
          <w:rFonts w:ascii="Arial" w:hAnsi="Arial" w:cs="Arial"/>
          <w:b/>
          <w:bCs/>
          <w:sz w:val="24"/>
          <w:szCs w:val="24"/>
        </w:rPr>
        <w:br/>
        <w:t>d. other (please expand)</w:t>
      </w:r>
    </w:p>
    <w:p w14:paraId="7CEDF0E4" w14:textId="3E87BA31" w:rsidR="00040454" w:rsidRDefault="0026330B" w:rsidP="00A60521">
      <w:r w:rsidRPr="00040454">
        <w:t xml:space="preserve">Yes. </w:t>
      </w:r>
      <w:r w:rsidR="00040454" w:rsidRPr="00040454">
        <w:t xml:space="preserve">The reasonableness element in the definition of indirect discrimination should be removed. </w:t>
      </w:r>
    </w:p>
    <w:p w14:paraId="6B902095" w14:textId="04000DD2" w:rsidR="0026330B" w:rsidRPr="003E2046" w:rsidRDefault="0071735F" w:rsidP="006D1DEA">
      <w:pPr>
        <w:pStyle w:val="FirstDotPoint"/>
      </w:pPr>
      <w:r>
        <w:t>Reasonableness is subjective and t</w:t>
      </w:r>
      <w:r w:rsidR="0026330B" w:rsidRPr="003E2046">
        <w:t xml:space="preserve">he inclusion of reasonableness can dilute obligations and cause confusion between reasonableness and reasonable adjustment (positive duty). </w:t>
      </w:r>
    </w:p>
    <w:p w14:paraId="133EDA7C" w14:textId="2D561D7D" w:rsidR="0026330B" w:rsidRPr="003E2046" w:rsidRDefault="0026330B" w:rsidP="006D1DEA">
      <w:pPr>
        <w:pStyle w:val="FirstDotPoint"/>
      </w:pPr>
      <w:r w:rsidRPr="003E2046">
        <w:t xml:space="preserve">In its submission to </w:t>
      </w:r>
      <w:r w:rsidRPr="00635D75">
        <w:t>the Productivity Commission Inquiry into the Disability Discrimination Act</w:t>
      </w:r>
      <w:r>
        <w:rPr>
          <w:rStyle w:val="FootnoteReference"/>
        </w:rPr>
        <w:footnoteReference w:id="12"/>
      </w:r>
      <w:r w:rsidRPr="003E2046">
        <w:t xml:space="preserve"> BCA note</w:t>
      </w:r>
      <w:r w:rsidR="002758DB">
        <w:t>d</w:t>
      </w:r>
      <w:r w:rsidRPr="003E2046">
        <w:t xml:space="preserve"> the confusion between direct and indirect discrimination, and that many respondents argue that unjustifiable hardship is made out in cases involving indirect discrimination in which the test is reasonableness. It is not clear in the legislation how the indirect discrimination provisions interact with discrimination in specific areas such as employment and goods and services which more easily accommodate allegations regarding </w:t>
      </w:r>
      <w:r w:rsidRPr="003E2046">
        <w:lastRenderedPageBreak/>
        <w:t>direct discrimination.</w:t>
      </w:r>
    </w:p>
    <w:p w14:paraId="2BF97290" w14:textId="7A86E6D3" w:rsidR="00432001" w:rsidRDefault="00432001" w:rsidP="006D1DEA">
      <w:pPr>
        <w:pStyle w:val="FirstDotPoint"/>
      </w:pPr>
      <w:r w:rsidRPr="003E2046">
        <w:t xml:space="preserve">It should be explicit in the legislation that there is an obligation to provide adjustments to the point of unjustifiable hardship. This will assist in addressing issues of systemic discrimination (e.g. inaccessible policies or procedures). </w:t>
      </w:r>
    </w:p>
    <w:p w14:paraId="16A3F76C" w14:textId="5DFE8488" w:rsidR="00810071" w:rsidRPr="003E2046" w:rsidRDefault="00810071" w:rsidP="006D1DEA">
      <w:pPr>
        <w:pStyle w:val="FirstDotPoint"/>
      </w:pPr>
      <w:r>
        <w:t>Unjustifiable hardship is a broad enough defence to not warrant any further</w:t>
      </w:r>
      <w:r w:rsidR="00D8403D">
        <w:t xml:space="preserve"> excuses </w:t>
      </w:r>
      <w:r w:rsidR="00A1568D">
        <w:t xml:space="preserve">or </w:t>
      </w:r>
      <w:r w:rsidR="00D8403D">
        <w:t>opportunities for duty holders to avoid making adjustment.</w:t>
      </w:r>
    </w:p>
    <w:p w14:paraId="2C90135D" w14:textId="77777777" w:rsidR="007B14CA" w:rsidRPr="00EC5DFD" w:rsidRDefault="007B14CA" w:rsidP="007B14CA">
      <w:pPr>
        <w:pStyle w:val="ListNumber"/>
        <w:rPr>
          <w:rFonts w:ascii="Arial" w:hAnsi="Arial" w:cs="Arial"/>
          <w:b/>
          <w:bCs/>
          <w:sz w:val="24"/>
          <w:szCs w:val="24"/>
        </w:rPr>
      </w:pPr>
      <w:r w:rsidRPr="00EC5DFD">
        <w:rPr>
          <w:rFonts w:ascii="Arial" w:hAnsi="Arial" w:cs="Arial"/>
          <w:b/>
          <w:bCs/>
          <w:sz w:val="24"/>
          <w:szCs w:val="24"/>
        </w:rPr>
        <w:t>Should the language of ‘does not or would not comply, or is not able or would not be able to comply’ be removed from the definition of indirect discrimination?</w:t>
      </w:r>
    </w:p>
    <w:p w14:paraId="1ED39A7A" w14:textId="03B5EC3C" w:rsidR="00040454" w:rsidRDefault="00040454" w:rsidP="006D2818">
      <w:r>
        <w:t>Yes</w:t>
      </w:r>
      <w:r w:rsidR="003B4D43">
        <w:t xml:space="preserve">. Remove </w:t>
      </w:r>
      <w:r w:rsidR="003B4D43" w:rsidRPr="00EC5DFD">
        <w:rPr>
          <w:b/>
          <w:bCs/>
        </w:rPr>
        <w:t>‘</w:t>
      </w:r>
      <w:r w:rsidR="003B4D43" w:rsidRPr="003B4D43">
        <w:t>does not or would not comply, or is not able or would not be able to comply’</w:t>
      </w:r>
    </w:p>
    <w:p w14:paraId="2E8598E4" w14:textId="77777777" w:rsidR="007F4E1A" w:rsidRPr="007F4E1A" w:rsidRDefault="0077788C" w:rsidP="006D1DEA">
      <w:pPr>
        <w:pStyle w:val="ListParagraph"/>
        <w:rPr>
          <w:rStyle w:val="FirstDotPointChar"/>
          <w:b/>
          <w:bCs/>
          <w:szCs w:val="24"/>
        </w:rPr>
      </w:pPr>
      <w:r>
        <w:rPr>
          <w:rStyle w:val="FirstDotPointChar"/>
        </w:rPr>
        <w:t xml:space="preserve">As noted in the </w:t>
      </w:r>
      <w:r w:rsidR="008F587A">
        <w:rPr>
          <w:rStyle w:val="FirstDotPointChar"/>
        </w:rPr>
        <w:t>DDA Review Issues Paper, both t</w:t>
      </w:r>
      <w:r w:rsidR="007B538B" w:rsidRPr="006D2818">
        <w:rPr>
          <w:rStyle w:val="FirstDotPointChar"/>
        </w:rPr>
        <w:t xml:space="preserve">he </w:t>
      </w:r>
      <w:r w:rsidR="00BB75E6">
        <w:rPr>
          <w:rStyle w:val="FirstDotPointChar"/>
        </w:rPr>
        <w:t>AHRC</w:t>
      </w:r>
      <w:r w:rsidR="007B538B" w:rsidRPr="006D2818">
        <w:rPr>
          <w:rStyle w:val="FirstDotPointChar"/>
        </w:rPr>
        <w:t xml:space="preserve"> and Queensland Human Rights Commission </w:t>
      </w:r>
      <w:r w:rsidR="008F587A">
        <w:rPr>
          <w:rStyle w:val="FirstDotPointChar"/>
        </w:rPr>
        <w:t xml:space="preserve">believe </w:t>
      </w:r>
      <w:r w:rsidR="007B538B" w:rsidRPr="006D2818">
        <w:rPr>
          <w:rStyle w:val="FirstDotPointChar"/>
        </w:rPr>
        <w:t xml:space="preserve">the inability to comply requirement is unnecessary and confusing. </w:t>
      </w:r>
    </w:p>
    <w:p w14:paraId="7C28EF60" w14:textId="23543FCD" w:rsidR="004E206A" w:rsidRPr="002C3A4C" w:rsidRDefault="007B538B" w:rsidP="006D1DEA">
      <w:pPr>
        <w:pStyle w:val="ListParagraph"/>
        <w:rPr>
          <w:b/>
          <w:bCs/>
          <w:szCs w:val="24"/>
        </w:rPr>
      </w:pPr>
      <w:r w:rsidRPr="006D2818">
        <w:rPr>
          <w:rStyle w:val="FirstDotPointChar"/>
        </w:rPr>
        <w:t>The language should be removed, and the test should be the same as the Victorian Equal Opportunity Act</w:t>
      </w:r>
      <w:r w:rsidR="00AE1058">
        <w:rPr>
          <w:rStyle w:val="FirstDotPointChar"/>
        </w:rPr>
        <w:t xml:space="preserve"> 2010</w:t>
      </w:r>
      <w:r w:rsidRPr="006D2818">
        <w:rPr>
          <w:rStyle w:val="FirstDotPointChar"/>
        </w:rPr>
        <w:t>, that is, whether a requirement or condition disadvantages a person</w:t>
      </w:r>
      <w:r w:rsidRPr="003E2046">
        <w:t>.</w:t>
      </w:r>
      <w:r w:rsidR="003C143F">
        <w:t xml:space="preserve"> </w:t>
      </w:r>
    </w:p>
    <w:p w14:paraId="12BEA7DC" w14:textId="77777777" w:rsidR="001D1131" w:rsidRPr="00CD7A7A" w:rsidRDefault="001D1131" w:rsidP="007350B7">
      <w:pPr>
        <w:pStyle w:val="Heading2"/>
      </w:pPr>
      <w:bookmarkStart w:id="33" w:name="_Toc212204005"/>
      <w:r>
        <w:t>Convention on the rights of persons with disabilities</w:t>
      </w:r>
      <w:bookmarkEnd w:id="33"/>
    </w:p>
    <w:p w14:paraId="7CDABC7B"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Should the Disabilities Convention be included in the objects provision of the Disability Discrimination Act?</w:t>
      </w:r>
    </w:p>
    <w:p w14:paraId="55BAC596" w14:textId="77777777" w:rsidR="001D1131" w:rsidRDefault="001D1131" w:rsidP="001D1131">
      <w:pPr>
        <w:pStyle w:val="ListNumber"/>
        <w:numPr>
          <w:ilvl w:val="0"/>
          <w:numId w:val="0"/>
        </w:numPr>
        <w:ind w:left="360"/>
        <w:rPr>
          <w:rFonts w:ascii="Arial" w:hAnsi="Arial" w:cs="Arial"/>
          <w:sz w:val="24"/>
          <w:szCs w:val="24"/>
        </w:rPr>
      </w:pPr>
    </w:p>
    <w:p w14:paraId="1836E8A1" w14:textId="4856CCF0" w:rsidR="005F082D" w:rsidRDefault="001D1131" w:rsidP="005F082D">
      <w:pPr>
        <w:pStyle w:val="ListNumber"/>
        <w:numPr>
          <w:ilvl w:val="0"/>
          <w:numId w:val="0"/>
        </w:numPr>
        <w:ind w:left="360" w:hanging="360"/>
        <w:rPr>
          <w:rFonts w:ascii="Arial" w:hAnsi="Arial" w:cs="Arial"/>
          <w:sz w:val="24"/>
          <w:szCs w:val="24"/>
        </w:rPr>
      </w:pPr>
      <w:r>
        <w:rPr>
          <w:rFonts w:ascii="Arial" w:hAnsi="Arial" w:cs="Arial"/>
          <w:sz w:val="24"/>
          <w:szCs w:val="24"/>
        </w:rPr>
        <w:t xml:space="preserve"> Yes</w:t>
      </w:r>
      <w:r w:rsidR="00736FA5">
        <w:rPr>
          <w:rFonts w:ascii="Arial" w:hAnsi="Arial" w:cs="Arial"/>
          <w:sz w:val="24"/>
          <w:szCs w:val="24"/>
        </w:rPr>
        <w:t>.</w:t>
      </w:r>
      <w:r w:rsidR="00231156">
        <w:rPr>
          <w:rFonts w:ascii="Arial" w:hAnsi="Arial" w:cs="Arial"/>
          <w:sz w:val="24"/>
          <w:szCs w:val="24"/>
        </w:rPr>
        <w:t xml:space="preserve"> </w:t>
      </w:r>
      <w:r w:rsidR="00D13AAC">
        <w:rPr>
          <w:rFonts w:ascii="Arial" w:hAnsi="Arial" w:cs="Arial"/>
          <w:sz w:val="24"/>
          <w:szCs w:val="24"/>
        </w:rPr>
        <w:t xml:space="preserve">Recommendation: </w:t>
      </w:r>
      <w:r w:rsidR="00231156">
        <w:rPr>
          <w:rFonts w:ascii="Arial" w:hAnsi="Arial" w:cs="Arial"/>
          <w:sz w:val="24"/>
          <w:szCs w:val="24"/>
        </w:rPr>
        <w:t xml:space="preserve">Align the </w:t>
      </w:r>
      <w:r w:rsidR="004277AE">
        <w:rPr>
          <w:rFonts w:ascii="Arial" w:hAnsi="Arial" w:cs="Arial"/>
          <w:sz w:val="24"/>
          <w:szCs w:val="24"/>
        </w:rPr>
        <w:t xml:space="preserve">DDA </w:t>
      </w:r>
      <w:r w:rsidR="00231156">
        <w:rPr>
          <w:rFonts w:ascii="Arial" w:hAnsi="Arial" w:cs="Arial"/>
          <w:sz w:val="24"/>
          <w:szCs w:val="24"/>
        </w:rPr>
        <w:t>with the Convention on the Rights of Persons with Disabilities</w:t>
      </w:r>
      <w:r w:rsidR="007837DE">
        <w:rPr>
          <w:rFonts w:ascii="Arial" w:hAnsi="Arial" w:cs="Arial"/>
          <w:sz w:val="24"/>
          <w:szCs w:val="24"/>
        </w:rPr>
        <w:t>.</w:t>
      </w:r>
      <w:r w:rsidR="008C3BC9">
        <w:rPr>
          <w:rFonts w:ascii="Arial" w:hAnsi="Arial" w:cs="Arial"/>
          <w:sz w:val="24"/>
          <w:szCs w:val="24"/>
        </w:rPr>
        <w:t xml:space="preserve"> </w:t>
      </w:r>
    </w:p>
    <w:p w14:paraId="61F8807C" w14:textId="02ADD47C" w:rsidR="0041143E" w:rsidRPr="0041143E" w:rsidRDefault="007D3C3E" w:rsidP="006D1DEA">
      <w:pPr>
        <w:pStyle w:val="ListParagraph"/>
        <w:numPr>
          <w:ilvl w:val="0"/>
          <w:numId w:val="8"/>
        </w:numPr>
      </w:pPr>
      <w:r w:rsidRPr="005E50CA">
        <w:t xml:space="preserve">The </w:t>
      </w:r>
      <w:r>
        <w:t>DDA</w:t>
      </w:r>
      <w:r w:rsidRPr="005E50CA">
        <w:t xml:space="preserve"> is a key piece of legislation through which the </w:t>
      </w:r>
      <w:r>
        <w:t>Australian G</w:t>
      </w:r>
      <w:r w:rsidRPr="005E50CA">
        <w:t xml:space="preserve">overnment fulfils its obligations </w:t>
      </w:r>
      <w:r>
        <w:t xml:space="preserve">as a signatory to the CRPD. As </w:t>
      </w:r>
      <w:r w:rsidRPr="005E50CA">
        <w:t xml:space="preserve">the </w:t>
      </w:r>
      <w:r>
        <w:t>DDA</w:t>
      </w:r>
      <w:r w:rsidRPr="005E50CA">
        <w:t xml:space="preserve"> predates the </w:t>
      </w:r>
      <w:r>
        <w:t xml:space="preserve">CRPD </w:t>
      </w:r>
      <w:r w:rsidRPr="005E50CA">
        <w:t>it</w:t>
      </w:r>
      <w:r>
        <w:t xml:space="preserve"> doesn’t </w:t>
      </w:r>
      <w:r w:rsidRPr="005E50CA">
        <w:t xml:space="preserve">refer to </w:t>
      </w:r>
      <w:r>
        <w:t xml:space="preserve">it </w:t>
      </w:r>
      <w:r w:rsidRPr="005E50CA">
        <w:t>in its objects and interpretation sections</w:t>
      </w:r>
      <w:r>
        <w:t xml:space="preserve"> which should </w:t>
      </w:r>
      <w:r w:rsidRPr="005E50CA">
        <w:t xml:space="preserve">be rectified. </w:t>
      </w:r>
    </w:p>
    <w:p w14:paraId="68C8D194" w14:textId="4536E879" w:rsidR="002F1AAD" w:rsidRDefault="00082179" w:rsidP="006D1DEA">
      <w:pPr>
        <w:pStyle w:val="ListParagraph"/>
        <w:numPr>
          <w:ilvl w:val="0"/>
          <w:numId w:val="8"/>
        </w:numPr>
      </w:pPr>
      <w:r>
        <w:t>Explicit alignment with the CRPD i</w:t>
      </w:r>
      <w:r w:rsidRPr="00554BAA">
        <w:t>s critical to strengthen protections, ensure compliance with international human rights obligations, and address gaps in the current legal framework</w:t>
      </w:r>
      <w:r>
        <w:t xml:space="preserve"> </w:t>
      </w:r>
      <w:r w:rsidRPr="003D5221">
        <w:t>for people with disability.</w:t>
      </w:r>
      <w:r>
        <w:t xml:space="preserve"> </w:t>
      </w:r>
      <w:r w:rsidR="002F1AAD" w:rsidRPr="006945C8">
        <w:t xml:space="preserve">The CRPD </w:t>
      </w:r>
      <w:r w:rsidR="002F1AAD" w:rsidRPr="008E10EB">
        <w:t>explicitly addresses systemic issues</w:t>
      </w:r>
      <w:r w:rsidR="002F1AAD">
        <w:t xml:space="preserve"> (</w:t>
      </w:r>
      <w:r w:rsidR="00425B99">
        <w:t>e.g.</w:t>
      </w:r>
      <w:r w:rsidR="002F1AAD">
        <w:t xml:space="preserve"> education and employment</w:t>
      </w:r>
      <w:r w:rsidR="00577BC0">
        <w:t>)</w:t>
      </w:r>
      <w:r w:rsidR="00577BC0" w:rsidRPr="008E10EB">
        <w:t xml:space="preserve"> and</w:t>
      </w:r>
      <w:r w:rsidR="00507098">
        <w:t xml:space="preserve"> </w:t>
      </w:r>
      <w:r w:rsidR="002F1AAD" w:rsidRPr="006945C8">
        <w:t>requires duty-holders (</w:t>
      </w:r>
      <w:r w:rsidR="00425B99">
        <w:t xml:space="preserve">e.g. </w:t>
      </w:r>
      <w:r w:rsidR="002F1AAD" w:rsidRPr="006945C8">
        <w:t>employers</w:t>
      </w:r>
      <w:r w:rsidR="002F1AAD">
        <w:t xml:space="preserve"> and</w:t>
      </w:r>
      <w:r w:rsidR="002F1AAD" w:rsidRPr="006945C8">
        <w:t xml:space="preserve"> service providers) to take proactive steps to eliminate barriers. </w:t>
      </w:r>
    </w:p>
    <w:p w14:paraId="69D77D3B" w14:textId="22270D1E" w:rsidR="009B7B13" w:rsidRDefault="009B7B13" w:rsidP="006D1DEA">
      <w:pPr>
        <w:pStyle w:val="ListParagraph"/>
        <w:numPr>
          <w:ilvl w:val="0"/>
          <w:numId w:val="8"/>
        </w:numPr>
      </w:pPr>
      <w:r>
        <w:t xml:space="preserve">Alignment of the DDA with the CRPD would </w:t>
      </w:r>
      <w:r w:rsidR="002A232F">
        <w:t xml:space="preserve">embed a </w:t>
      </w:r>
      <w:r w:rsidR="00BC26AF">
        <w:t xml:space="preserve">human </w:t>
      </w:r>
      <w:r w:rsidR="002A232F">
        <w:t xml:space="preserve">rights based approach, </w:t>
      </w:r>
      <w:r>
        <w:t xml:space="preserve">assist Australia’s reporting obligations to the UN and </w:t>
      </w:r>
      <w:r w:rsidR="004B661E">
        <w:t>implementat</w:t>
      </w:r>
      <w:r w:rsidR="00790CE3">
        <w:t>i</w:t>
      </w:r>
      <w:r w:rsidR="004B661E">
        <w:t>on of</w:t>
      </w:r>
      <w:r>
        <w:t xml:space="preserve"> Australia’s Disability Strategy.</w:t>
      </w:r>
    </w:p>
    <w:p w14:paraId="5072B664" w14:textId="1E0513AB" w:rsidR="001D1131" w:rsidRDefault="001D1131" w:rsidP="007350B7">
      <w:pPr>
        <w:pStyle w:val="Heading2"/>
      </w:pPr>
      <w:bookmarkStart w:id="34" w:name="_Toc212204006"/>
      <w:r>
        <w:lastRenderedPageBreak/>
        <w:t>Human rights treaties</w:t>
      </w:r>
      <w:bookmarkEnd w:id="34"/>
    </w:p>
    <w:p w14:paraId="5BCC04A6" w14:textId="77777777" w:rsidR="001D1131" w:rsidRPr="00DE26EE" w:rsidRDefault="001D1131" w:rsidP="001D1131">
      <w:pPr>
        <w:pStyle w:val="ListNumber"/>
        <w:rPr>
          <w:rFonts w:ascii="Arial" w:hAnsi="Arial" w:cs="Arial"/>
          <w:b/>
          <w:bCs/>
          <w:sz w:val="24"/>
          <w:szCs w:val="24"/>
        </w:rPr>
      </w:pPr>
      <w:r w:rsidRPr="00DE26EE">
        <w:rPr>
          <w:rFonts w:ascii="Arial" w:hAnsi="Arial" w:cs="Arial"/>
          <w:b/>
          <w:bCs/>
          <w:sz w:val="24"/>
          <w:szCs w:val="24"/>
        </w:rPr>
        <w:t>Should the Disability Discrimination Act be expressly required to be interpreted in a way that is beneficial to people with disability, in line with human rights treaties?</w:t>
      </w:r>
    </w:p>
    <w:p w14:paraId="43D30195" w14:textId="1E6A3BCF" w:rsidR="001D1131" w:rsidRPr="00B56414" w:rsidRDefault="001D1131" w:rsidP="001D1131">
      <w:pPr>
        <w:pStyle w:val="NormalWeb"/>
        <w:rPr>
          <w:rFonts w:ascii="Arial" w:eastAsiaTheme="minorEastAsia" w:hAnsi="Arial" w:cs="Arial"/>
          <w:lang w:eastAsia="en-US"/>
        </w:rPr>
      </w:pPr>
      <w:r>
        <w:rPr>
          <w:rFonts w:ascii="Arial" w:hAnsi="Arial" w:cs="Arial"/>
        </w:rPr>
        <w:t xml:space="preserve">Yes. </w:t>
      </w:r>
      <w:r w:rsidR="003C142B">
        <w:rPr>
          <w:rFonts w:ascii="Arial" w:hAnsi="Arial" w:cs="Arial"/>
        </w:rPr>
        <w:t xml:space="preserve">Recommendation: </w:t>
      </w:r>
      <w:r>
        <w:rPr>
          <w:rFonts w:ascii="Arial" w:hAnsi="Arial" w:cs="Arial"/>
        </w:rPr>
        <w:t>E</w:t>
      </w:r>
      <w:r w:rsidRPr="00006AAC">
        <w:rPr>
          <w:rFonts w:ascii="Arial" w:eastAsiaTheme="minorEastAsia" w:hAnsi="Arial" w:cs="Arial"/>
          <w:lang w:eastAsia="en-US"/>
        </w:rPr>
        <w:t>nsure courts</w:t>
      </w:r>
      <w:r>
        <w:rPr>
          <w:rFonts w:ascii="Arial" w:eastAsiaTheme="minorEastAsia" w:hAnsi="Arial" w:cs="Arial"/>
          <w:lang w:eastAsia="en-US"/>
        </w:rPr>
        <w:t xml:space="preserve"> can</w:t>
      </w:r>
      <w:r w:rsidRPr="00006AAC">
        <w:rPr>
          <w:rFonts w:ascii="Arial" w:eastAsiaTheme="minorEastAsia" w:hAnsi="Arial" w:cs="Arial"/>
          <w:lang w:eastAsia="en-US"/>
        </w:rPr>
        <w:t xml:space="preserve"> interpret and apply the</w:t>
      </w:r>
      <w:r w:rsidR="00CC2D79">
        <w:rPr>
          <w:rFonts w:ascii="Arial" w:eastAsiaTheme="minorEastAsia" w:hAnsi="Arial" w:cs="Arial"/>
          <w:lang w:eastAsia="en-US"/>
        </w:rPr>
        <w:t xml:space="preserve"> DDA </w:t>
      </w:r>
      <w:r>
        <w:rPr>
          <w:rFonts w:ascii="Arial" w:eastAsiaTheme="minorEastAsia" w:hAnsi="Arial" w:cs="Arial"/>
          <w:lang w:eastAsia="en-US"/>
        </w:rPr>
        <w:t xml:space="preserve">in a manner that is </w:t>
      </w:r>
      <w:r w:rsidRPr="00006AAC">
        <w:rPr>
          <w:rFonts w:ascii="Arial" w:eastAsiaTheme="minorEastAsia" w:hAnsi="Arial" w:cs="Arial"/>
          <w:lang w:eastAsia="en-US"/>
        </w:rPr>
        <w:t xml:space="preserve">consistent with Australia’s international human rights obligations </w:t>
      </w:r>
      <w:r w:rsidR="007371CA">
        <w:rPr>
          <w:rFonts w:ascii="Arial" w:eastAsiaTheme="minorEastAsia" w:hAnsi="Arial" w:cs="Arial"/>
          <w:lang w:eastAsia="en-US"/>
        </w:rPr>
        <w:t xml:space="preserve">and is beneficial to people </w:t>
      </w:r>
      <w:r w:rsidRPr="00006AAC">
        <w:rPr>
          <w:rFonts w:ascii="Arial" w:eastAsiaTheme="minorEastAsia" w:hAnsi="Arial" w:cs="Arial"/>
          <w:lang w:eastAsia="en-US"/>
        </w:rPr>
        <w:t>with disability.</w:t>
      </w:r>
    </w:p>
    <w:p w14:paraId="7D6AE1B7" w14:textId="774804B0" w:rsidR="00B05A8D" w:rsidRDefault="001D1131" w:rsidP="006D1DEA">
      <w:pPr>
        <w:pStyle w:val="FirstDotPoint"/>
      </w:pPr>
      <w:r w:rsidRPr="00F90C3E">
        <w:t>The CRPD obliges Australia to ensure its laws promote the rights of people with disabilities. An express requirement to interpret the DDA beneficially</w:t>
      </w:r>
      <w:r w:rsidR="00494249" w:rsidRPr="00F90C3E">
        <w:t xml:space="preserve"> (in favour of people with disability where ambiguity exists)</w:t>
      </w:r>
      <w:r w:rsidR="005403D4" w:rsidRPr="00F90C3E">
        <w:t xml:space="preserve"> would promote substantive equality</w:t>
      </w:r>
      <w:r w:rsidR="00D7775E">
        <w:t xml:space="preserve"> and</w:t>
      </w:r>
      <w:r w:rsidR="005403D4" w:rsidRPr="00F90C3E">
        <w:t xml:space="preserve"> align with Australia's international obligations</w:t>
      </w:r>
      <w:r w:rsidR="00C2516C">
        <w:t>.</w:t>
      </w:r>
      <w:r w:rsidR="009054C8">
        <w:rPr>
          <w:rStyle w:val="FootnoteReference"/>
        </w:rPr>
        <w:footnoteReference w:id="13"/>
      </w:r>
    </w:p>
    <w:p w14:paraId="0EF31F76" w14:textId="77F94B90" w:rsidR="00BB3CB8" w:rsidRPr="00F90C3E" w:rsidRDefault="00BB3CB8" w:rsidP="006D1DEA">
      <w:pPr>
        <w:pStyle w:val="FirstDotPoint"/>
      </w:pPr>
      <w:r w:rsidRPr="00F90C3E">
        <w:t>Without th</w:t>
      </w:r>
      <w:r w:rsidR="00F90C3E">
        <w:t>e requirement</w:t>
      </w:r>
      <w:r w:rsidRPr="00F90C3E">
        <w:t>, interpretations may favo</w:t>
      </w:r>
      <w:r w:rsidR="00F90C3E">
        <w:t>u</w:t>
      </w:r>
      <w:r w:rsidRPr="00F90C3E">
        <w:t>r duty holders (e.g. employers claiming unjustifiable hardship), as seen in critiques of the DDA's reactive model</w:t>
      </w:r>
      <w:r w:rsidR="00CC0771">
        <w:t>.</w:t>
      </w:r>
      <w:r w:rsidR="00EB065B">
        <w:rPr>
          <w:rStyle w:val="FootnoteReference"/>
          <w:lang w:eastAsia="en-US"/>
        </w:rPr>
        <w:footnoteReference w:id="14"/>
      </w:r>
    </w:p>
    <w:p w14:paraId="29A6FAAA" w14:textId="1D695E0F" w:rsidR="00572948" w:rsidRPr="001A3932" w:rsidRDefault="001D1131" w:rsidP="006D1DEA">
      <w:pPr>
        <w:pStyle w:val="FirstDotPoint"/>
      </w:pPr>
      <w:r w:rsidRPr="001A3932">
        <w:t>A beneficial interpretation would encourage courts to address structural barriers and promote universal design, aligning with the CRPD’s emphasis on systemic change.</w:t>
      </w:r>
      <w:r w:rsidR="00572948" w:rsidRPr="001A3932">
        <w:t xml:space="preserve"> For </w:t>
      </w:r>
      <w:r w:rsidR="001927C5" w:rsidRPr="001A3932">
        <w:t xml:space="preserve">people who are </w:t>
      </w:r>
      <w:r w:rsidR="00572948" w:rsidRPr="001A3932">
        <w:t>blind</w:t>
      </w:r>
      <w:r w:rsidR="001927C5" w:rsidRPr="001A3932">
        <w:t xml:space="preserve"> or</w:t>
      </w:r>
      <w:r w:rsidR="00572948" w:rsidRPr="001A3932">
        <w:t xml:space="preserve"> vision </w:t>
      </w:r>
      <w:r w:rsidR="001927C5" w:rsidRPr="001A3932">
        <w:t>impaired</w:t>
      </w:r>
      <w:r w:rsidR="00572948" w:rsidRPr="001A3932">
        <w:t xml:space="preserve">, this </w:t>
      </w:r>
      <w:r w:rsidR="00467D60" w:rsidRPr="001A3932">
        <w:t xml:space="preserve">could </w:t>
      </w:r>
      <w:r w:rsidR="006126C2" w:rsidRPr="001A3932">
        <w:t xml:space="preserve">mean </w:t>
      </w:r>
      <w:r w:rsidR="00467D60" w:rsidRPr="001A3932">
        <w:t xml:space="preserve">more </w:t>
      </w:r>
      <w:r w:rsidR="00572948" w:rsidRPr="001A3932">
        <w:t xml:space="preserve">proactive digital accessibility, reducing exclusion from </w:t>
      </w:r>
      <w:r w:rsidR="0087521A">
        <w:t xml:space="preserve">digital goods and </w:t>
      </w:r>
      <w:r w:rsidR="00572948" w:rsidRPr="001A3932">
        <w:t>services</w:t>
      </w:r>
      <w:r w:rsidR="00096205" w:rsidRPr="001A3932">
        <w:t>.</w:t>
      </w:r>
      <w:r w:rsidR="00572948" w:rsidRPr="001A3932">
        <w:t xml:space="preserve"> </w:t>
      </w:r>
    </w:p>
    <w:p w14:paraId="3898143B" w14:textId="6E616D12" w:rsidR="001D1131" w:rsidRDefault="001D1131" w:rsidP="007350B7">
      <w:pPr>
        <w:pStyle w:val="Heading2"/>
      </w:pPr>
      <w:bookmarkStart w:id="35" w:name="_Toc212204007"/>
      <w:r w:rsidRPr="00DC351B">
        <w:t>Positive duty to eliminate discrimination</w:t>
      </w:r>
      <w:bookmarkEnd w:id="35"/>
    </w:p>
    <w:p w14:paraId="4C02D4C2"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If there was a positive duty in the Disability Discrimination Act, who should it apply to?</w:t>
      </w:r>
    </w:p>
    <w:p w14:paraId="30CD5B0A" w14:textId="61AB2D1C" w:rsidR="008449B2" w:rsidRDefault="00AA4772" w:rsidP="007E57E4">
      <w:r>
        <w:rPr>
          <w:szCs w:val="24"/>
        </w:rPr>
        <w:t xml:space="preserve">BCA </w:t>
      </w:r>
      <w:r w:rsidR="008E430B">
        <w:rPr>
          <w:szCs w:val="24"/>
        </w:rPr>
        <w:t xml:space="preserve">members </w:t>
      </w:r>
      <w:r w:rsidR="00E93228">
        <w:rPr>
          <w:szCs w:val="24"/>
        </w:rPr>
        <w:t>strongly</w:t>
      </w:r>
      <w:r>
        <w:rPr>
          <w:szCs w:val="24"/>
        </w:rPr>
        <w:t xml:space="preserve"> </w:t>
      </w:r>
      <w:r w:rsidR="00B101AE">
        <w:rPr>
          <w:szCs w:val="24"/>
        </w:rPr>
        <w:t>agree</w:t>
      </w:r>
      <w:r w:rsidR="007E57E4">
        <w:rPr>
          <w:szCs w:val="24"/>
        </w:rPr>
        <w:t>d t</w:t>
      </w:r>
      <w:r w:rsidR="005572B9" w:rsidRPr="002F0E42">
        <w:t xml:space="preserve">o </w:t>
      </w:r>
      <w:r w:rsidR="006A03E3" w:rsidRPr="002F0E42">
        <w:t xml:space="preserve">the incorporation of </w:t>
      </w:r>
      <w:r w:rsidR="008F463A">
        <w:t xml:space="preserve">a </w:t>
      </w:r>
      <w:r w:rsidR="006A03E3" w:rsidRPr="002F0E42">
        <w:t>clear and enforceable positive</w:t>
      </w:r>
      <w:r w:rsidR="002E0032">
        <w:t xml:space="preserve"> (inclusive)</w:t>
      </w:r>
      <w:r w:rsidR="006A03E3" w:rsidRPr="002F0E42">
        <w:t xml:space="preserve"> dut</w:t>
      </w:r>
      <w:r w:rsidR="008F463A">
        <w:t>y</w:t>
      </w:r>
      <w:r w:rsidR="00B169F6">
        <w:t xml:space="preserve"> for all duty holders</w:t>
      </w:r>
      <w:r w:rsidR="006A03E3" w:rsidRPr="002F0E42">
        <w:t xml:space="preserve">.  </w:t>
      </w:r>
    </w:p>
    <w:p w14:paraId="4BF3C277" w14:textId="1C280EDF" w:rsidR="00951FDD" w:rsidRDefault="00F02AC2" w:rsidP="006D1DEA">
      <w:pPr>
        <w:pStyle w:val="FirstDotPoint"/>
      </w:pPr>
      <w:r w:rsidRPr="00892279">
        <w:t xml:space="preserve">To ensure comprehensive coverage duty holders should comprise public and private entities including but not limited to: </w:t>
      </w:r>
      <w:r w:rsidRPr="00D36320">
        <w:t>Federal, state, and local government agencies, departments, and public authorities; businesses, corporations, and organisations employing staff; entities providing goods, services or facilities</w:t>
      </w:r>
      <w:r w:rsidR="00AE37B7">
        <w:t xml:space="preserve"> (inclusive of digital goods and services)</w:t>
      </w:r>
      <w:r w:rsidRPr="00D36320">
        <w:t>; owners, operators or managers of premises, including commercial, residential, and public spaces; and education providers including schools, universities, and vocational training institutions.</w:t>
      </w:r>
      <w:bookmarkStart w:id="36" w:name="_Toc208589111"/>
    </w:p>
    <w:bookmarkEnd w:id="36"/>
    <w:p w14:paraId="3EDE8778" w14:textId="341852DD" w:rsidR="00E9088C" w:rsidRDefault="00E9088C" w:rsidP="006D1DEA">
      <w:pPr>
        <w:pStyle w:val="FirstDotPoint"/>
      </w:pPr>
      <w:r w:rsidRPr="00CE3325">
        <w:t xml:space="preserve">Duty holders must be required to proactively consider the needs of people with disability and </w:t>
      </w:r>
      <w:r w:rsidRPr="00CE3325">
        <w:lastRenderedPageBreak/>
        <w:t xml:space="preserve">remove any </w:t>
      </w:r>
      <w:r>
        <w:t>notion</w:t>
      </w:r>
      <w:r w:rsidRPr="00CE3325">
        <w:t xml:space="preserve"> that duty holders don’t have to comply</w:t>
      </w:r>
      <w:r w:rsidR="00CD3E29">
        <w:t xml:space="preserve"> with the DDA</w:t>
      </w:r>
      <w:r w:rsidRPr="00CE3325">
        <w:t xml:space="preserve"> because people with disability don’t use their services or aren’t employed in their organisation</w:t>
      </w:r>
      <w:r>
        <w:t>. For example:</w:t>
      </w:r>
      <w:r w:rsidRPr="00CE3325">
        <w:t xml:space="preserve"> </w:t>
      </w:r>
      <w:r>
        <w:t xml:space="preserve">the </w:t>
      </w:r>
      <w:r w:rsidRPr="00CE3325">
        <w:t>failure</w:t>
      </w:r>
      <w:r>
        <w:t xml:space="preserve"> of financial institutions</w:t>
      </w:r>
      <w:r w:rsidRPr="00CE3325">
        <w:t xml:space="preserve"> to provide mortgage documents in formats that can be accessed by someone who is blind or vision impaired</w:t>
      </w:r>
      <w:r>
        <w:t>; or</w:t>
      </w:r>
      <w:r w:rsidR="005B37F6">
        <w:t xml:space="preserve"> a </w:t>
      </w:r>
      <w:r w:rsidR="005B37F6" w:rsidRPr="005B37F6">
        <w:t>workplace that requires staff to use a proprietary intranet system that is not accessible or useable for someone who is blind or vision impaired.</w:t>
      </w:r>
      <w:r w:rsidRPr="00CE3325">
        <w:t xml:space="preserve">  </w:t>
      </w:r>
    </w:p>
    <w:p w14:paraId="6FE57005" w14:textId="504A6914" w:rsidR="00F33522" w:rsidRPr="00C7424E" w:rsidRDefault="009847A6" w:rsidP="00C7424E">
      <w:pPr>
        <w:pStyle w:val="IntenseQuote"/>
        <w:rPr>
          <w:b/>
          <w:bCs/>
        </w:rPr>
      </w:pPr>
      <w:r>
        <w:rPr>
          <w:b/>
          <w:bCs/>
        </w:rPr>
        <w:t>“</w:t>
      </w:r>
      <w:r w:rsidR="00F33522" w:rsidRPr="00C7424E">
        <w:rPr>
          <w:b/>
          <w:bCs/>
        </w:rPr>
        <w:t>I'm absolutely in favo</w:t>
      </w:r>
      <w:r w:rsidR="00C438F8">
        <w:rPr>
          <w:b/>
          <w:bCs/>
        </w:rPr>
        <w:t>u</w:t>
      </w:r>
      <w:r w:rsidR="00F33522" w:rsidRPr="00C7424E">
        <w:rPr>
          <w:b/>
          <w:bCs/>
        </w:rPr>
        <w:t>r of the introduction of a positive duty provision. I think it's far too easy</w:t>
      </w:r>
      <w:r w:rsidR="00E71891">
        <w:rPr>
          <w:b/>
          <w:bCs/>
        </w:rPr>
        <w:t>,</w:t>
      </w:r>
      <w:r w:rsidR="00F33522" w:rsidRPr="00C7424E">
        <w:rPr>
          <w:b/>
          <w:bCs/>
        </w:rPr>
        <w:t xml:space="preserve"> particular</w:t>
      </w:r>
      <w:r w:rsidR="00E71891">
        <w:rPr>
          <w:b/>
          <w:bCs/>
        </w:rPr>
        <w:t>ly for</w:t>
      </w:r>
      <w:r w:rsidR="00F33522" w:rsidRPr="00C7424E">
        <w:rPr>
          <w:b/>
          <w:bCs/>
        </w:rPr>
        <w:t xml:space="preserve"> smaller businesses</w:t>
      </w:r>
      <w:r w:rsidR="00E71891">
        <w:rPr>
          <w:b/>
          <w:bCs/>
        </w:rPr>
        <w:t>,</w:t>
      </w:r>
      <w:r w:rsidR="00F33522" w:rsidRPr="00C7424E">
        <w:rPr>
          <w:b/>
          <w:bCs/>
        </w:rPr>
        <w:t xml:space="preserve"> to say, </w:t>
      </w:r>
      <w:r w:rsidR="00AC5E8D">
        <w:rPr>
          <w:b/>
          <w:bCs/>
        </w:rPr>
        <w:t>‘</w:t>
      </w:r>
      <w:r w:rsidR="00F33522" w:rsidRPr="00C7424E">
        <w:rPr>
          <w:b/>
          <w:bCs/>
        </w:rPr>
        <w:t>oh, we're too small, we can't do that</w:t>
      </w:r>
      <w:r>
        <w:rPr>
          <w:b/>
          <w:bCs/>
        </w:rPr>
        <w:t>’</w:t>
      </w:r>
      <w:r w:rsidR="00F33522" w:rsidRPr="00C7424E">
        <w:rPr>
          <w:b/>
          <w:bCs/>
        </w:rPr>
        <w:t xml:space="preserve"> for the most simplest thing like providing an accessible document.</w:t>
      </w:r>
      <w:r>
        <w:rPr>
          <w:b/>
          <w:bCs/>
        </w:rPr>
        <w:t>”</w:t>
      </w:r>
      <w:r w:rsidR="00E45957">
        <w:rPr>
          <w:rStyle w:val="FootnoteReference"/>
          <w:b/>
          <w:bCs/>
        </w:rPr>
        <w:footnoteReference w:id="15"/>
      </w:r>
    </w:p>
    <w:p w14:paraId="7BCBD475" w14:textId="77777777" w:rsidR="00EC36CE" w:rsidRPr="000F48E1" w:rsidRDefault="00EC36CE" w:rsidP="00EC36CE">
      <w:r>
        <w:t xml:space="preserve">Recommendation: </w:t>
      </w:r>
      <w:r w:rsidRPr="000F48E1">
        <w:t>Introduce an enforceable positive (inclusive) duty that requires all duty holders to take proactive steps to prevent discrimination</w:t>
      </w:r>
      <w:r>
        <w:t xml:space="preserve"> and </w:t>
      </w:r>
      <w:r w:rsidRPr="000F48E1">
        <w:t>report</w:t>
      </w:r>
      <w:r>
        <w:t xml:space="preserve"> annually on their actions</w:t>
      </w:r>
      <w:r w:rsidRPr="000F48E1">
        <w:t xml:space="preserve">. </w:t>
      </w:r>
    </w:p>
    <w:p w14:paraId="2228F924" w14:textId="25D71E70" w:rsidR="008765BE" w:rsidRDefault="008765BE" w:rsidP="006D1DEA">
      <w:pPr>
        <w:pStyle w:val="FirstDotPoint"/>
      </w:pPr>
      <w:r w:rsidRPr="00C07ECF">
        <w:t xml:space="preserve">Without </w:t>
      </w:r>
      <w:r>
        <w:t>an enforceable positive duty</w:t>
      </w:r>
      <w:r w:rsidRPr="00C07ECF">
        <w:t>, the system remains reactionary, focused on compensation and redress.</w:t>
      </w:r>
      <w:r>
        <w:t xml:space="preserve"> </w:t>
      </w:r>
      <w:r w:rsidRPr="00146E8C">
        <w:t xml:space="preserve">A complaint-driven discrimination model alone is insufficient. It does not incentivise inclusive practices and poses significant barriers for </w:t>
      </w:r>
      <w:r>
        <w:t>people with disability to pursue a complaint</w:t>
      </w:r>
      <w:r w:rsidRPr="00146E8C">
        <w:t xml:space="preserve"> due to its complexity, power imbalance, cost, and the uncertainty of achieving a satisfactory outcome. </w:t>
      </w:r>
    </w:p>
    <w:p w14:paraId="437A0419" w14:textId="68DEF79C" w:rsidR="00866A55" w:rsidRPr="006C6D85" w:rsidRDefault="00836395" w:rsidP="006D1DEA">
      <w:pPr>
        <w:pStyle w:val="FirstDotPoint"/>
      </w:pPr>
      <w:r>
        <w:t>M</w:t>
      </w:r>
      <w:r w:rsidRPr="00146E8C">
        <w:t>echanisms for enforcement, reporting, monitoring and compliance with</w:t>
      </w:r>
      <w:r w:rsidR="001A725B">
        <w:t xml:space="preserve"> </w:t>
      </w:r>
      <w:r w:rsidRPr="00146E8C">
        <w:t>requirements, including</w:t>
      </w:r>
      <w:r>
        <w:t xml:space="preserve"> minimum standards and</w:t>
      </w:r>
      <w:r w:rsidRPr="00146E8C">
        <w:t xml:space="preserve"> tangible consequences for non-compliance</w:t>
      </w:r>
      <w:r>
        <w:t>,</w:t>
      </w:r>
      <w:r w:rsidRPr="00146E8C">
        <w:t xml:space="preserve"> </w:t>
      </w:r>
      <w:r>
        <w:t xml:space="preserve">must </w:t>
      </w:r>
      <w:r w:rsidRPr="00146E8C">
        <w:t xml:space="preserve">be </w:t>
      </w:r>
      <w:r>
        <w:t xml:space="preserve">part of the </w:t>
      </w:r>
      <w:r w:rsidRPr="00146E8C">
        <w:t>legal framework</w:t>
      </w:r>
      <w:r>
        <w:t xml:space="preserve"> for </w:t>
      </w:r>
      <w:r w:rsidR="00E9088C">
        <w:t xml:space="preserve">a </w:t>
      </w:r>
      <w:r>
        <w:t>positive duty</w:t>
      </w:r>
      <w:r w:rsidRPr="00146E8C">
        <w:t xml:space="preserve">. </w:t>
      </w:r>
      <w:r w:rsidR="00866A55">
        <w:t xml:space="preserve">In recognition of their positive duty, </w:t>
      </w:r>
      <w:r w:rsidR="00CC5AF8">
        <w:t xml:space="preserve">duty holders </w:t>
      </w:r>
      <w:r w:rsidR="00866A55" w:rsidRPr="006C6D85">
        <w:t>should be required to</w:t>
      </w:r>
      <w:r w:rsidR="00B17E20">
        <w:t xml:space="preserve"> publicly </w:t>
      </w:r>
      <w:r w:rsidR="00866A55" w:rsidRPr="006C6D85">
        <w:t xml:space="preserve">record in their annual reports the steps they are taking to eliminate disability discrimination. </w:t>
      </w:r>
    </w:p>
    <w:p w14:paraId="76E712E2" w14:textId="773D70B0" w:rsidR="00836395" w:rsidRPr="003E0D09" w:rsidRDefault="00836395" w:rsidP="006D1DEA">
      <w:pPr>
        <w:pStyle w:val="FirstDotPoint"/>
      </w:pPr>
      <w:r>
        <w:t xml:space="preserve">Introduction of </w:t>
      </w:r>
      <w:r w:rsidR="00E9088C">
        <w:t xml:space="preserve">a </w:t>
      </w:r>
      <w:r>
        <w:t xml:space="preserve">positive duty that is </w:t>
      </w:r>
      <w:r w:rsidRPr="00C07ECF">
        <w:t xml:space="preserve">unenforceable </w:t>
      </w:r>
      <w:r>
        <w:t>would</w:t>
      </w:r>
      <w:r w:rsidRPr="00C07ECF">
        <w:t xml:space="preserve"> severely limit practical effectiveness</w:t>
      </w:r>
      <w:r>
        <w:t xml:space="preserve"> as </w:t>
      </w:r>
      <w:r w:rsidR="008A288D">
        <w:t>was</w:t>
      </w:r>
      <w:r>
        <w:t xml:space="preserve"> evident with the </w:t>
      </w:r>
      <w:r w:rsidRPr="1D6A8C68">
        <w:t xml:space="preserve">Equal Opportunity Act 2010 (Vic) which </w:t>
      </w:r>
      <w:r w:rsidR="000D1582">
        <w:t>w</w:t>
      </w:r>
      <w:r w:rsidRPr="1D6A8C68">
        <w:t xml:space="preserve">as </w:t>
      </w:r>
      <w:r w:rsidRPr="003E0D09">
        <w:t>criticis</w:t>
      </w:r>
      <w:r>
        <w:t>ed</w:t>
      </w:r>
      <w:r w:rsidRPr="003E0D09">
        <w:t xml:space="preserve"> for lacking enforceability, rendering it symbolic rather than effective</w:t>
      </w:r>
      <w:r>
        <w:t>.</w:t>
      </w:r>
      <w:r>
        <w:rPr>
          <w:rStyle w:val="FootnoteReference"/>
        </w:rPr>
        <w:footnoteReference w:id="16"/>
      </w:r>
    </w:p>
    <w:p w14:paraId="22D28392" w14:textId="7E861C8F" w:rsidR="00176ABA" w:rsidRPr="00176ABA" w:rsidRDefault="00704241" w:rsidP="00176ABA">
      <w:pPr>
        <w:pStyle w:val="IntenseQuote"/>
        <w:rPr>
          <w:b/>
          <w:bCs/>
        </w:rPr>
      </w:pPr>
      <w:r>
        <w:rPr>
          <w:b/>
          <w:bCs/>
        </w:rPr>
        <w:lastRenderedPageBreak/>
        <w:t>“</w:t>
      </w:r>
      <w:r w:rsidR="00176ABA" w:rsidRPr="00176ABA">
        <w:rPr>
          <w:b/>
          <w:bCs/>
        </w:rPr>
        <w:t xml:space="preserve">Service providers should not be able to wriggle out of </w:t>
      </w:r>
      <w:r w:rsidR="00483973">
        <w:rPr>
          <w:b/>
          <w:bCs/>
        </w:rPr>
        <w:t>[obligations]</w:t>
      </w:r>
      <w:r w:rsidR="00176ABA" w:rsidRPr="00176ABA">
        <w:rPr>
          <w:b/>
          <w:bCs/>
        </w:rPr>
        <w:t>. When I was trying to get a pedestrian crossing where I needed to get to a bus stop the [council] told me,</w:t>
      </w:r>
      <w:r w:rsidR="00834B5F">
        <w:rPr>
          <w:b/>
          <w:bCs/>
        </w:rPr>
        <w:t xml:space="preserve"> </w:t>
      </w:r>
      <w:r w:rsidR="00176ABA" w:rsidRPr="00176ABA">
        <w:rPr>
          <w:b/>
          <w:bCs/>
        </w:rPr>
        <w:t>‘</w:t>
      </w:r>
      <w:r w:rsidR="0013377F">
        <w:rPr>
          <w:b/>
          <w:bCs/>
        </w:rPr>
        <w:t>O</w:t>
      </w:r>
      <w:r w:rsidR="00176ABA" w:rsidRPr="00176ABA">
        <w:rPr>
          <w:b/>
          <w:bCs/>
        </w:rPr>
        <w:t>h, most vision-impaired people would have a helper, or a support worker to help them with that’. Basically, they were trying to get out of putting in</w:t>
      </w:r>
      <w:r w:rsidR="00B07706">
        <w:rPr>
          <w:b/>
          <w:bCs/>
        </w:rPr>
        <w:t xml:space="preserve"> [a pedestrian crossing</w:t>
      </w:r>
      <w:r w:rsidR="00F84DB7">
        <w:rPr>
          <w:b/>
          <w:bCs/>
        </w:rPr>
        <w:t>]</w:t>
      </w:r>
      <w:r w:rsidR="00176ABA" w:rsidRPr="00176ABA">
        <w:rPr>
          <w:b/>
          <w:bCs/>
        </w:rPr>
        <w:t xml:space="preserve"> because there's not enough pedestrians using it in the first place. Well, the reason there were not enough pedestrians is they've created a situation where there's too much traffic, it’s dangerous and there's no audible crossing signal.”</w:t>
      </w:r>
      <w:r w:rsidR="00E45957">
        <w:rPr>
          <w:rStyle w:val="FootnoteReference"/>
          <w:b/>
          <w:bCs/>
        </w:rPr>
        <w:footnoteReference w:id="17"/>
      </w:r>
    </w:p>
    <w:p w14:paraId="699D4991" w14:textId="78C17141" w:rsidR="0051622C" w:rsidRDefault="0051622C" w:rsidP="006D1DEA">
      <w:pPr>
        <w:pStyle w:val="FirstDotPoint"/>
        <w:numPr>
          <w:ilvl w:val="0"/>
          <w:numId w:val="0"/>
        </w:numPr>
      </w:pPr>
      <w:r>
        <w:t xml:space="preserve">Recommendation: </w:t>
      </w:r>
      <w:r w:rsidR="001A03C3">
        <w:t xml:space="preserve">Ensure </w:t>
      </w:r>
      <w:r w:rsidR="005E58F2">
        <w:t xml:space="preserve">a </w:t>
      </w:r>
      <w:r w:rsidR="001A03C3">
        <w:t>p</w:t>
      </w:r>
      <w:r w:rsidR="002F4450">
        <w:t>ositive duty requirement</w:t>
      </w:r>
      <w:r w:rsidR="005E58F2">
        <w:t xml:space="preserve"> is</w:t>
      </w:r>
      <w:r w:rsidR="002F4450">
        <w:t xml:space="preserve"> practical, meaningful and easy to understand</w:t>
      </w:r>
      <w:r w:rsidR="001A03C3">
        <w:t xml:space="preserve"> and t</w:t>
      </w:r>
      <w:r>
        <w:t xml:space="preserve">ake appropriate </w:t>
      </w:r>
      <w:r w:rsidR="00202330">
        <w:t>steps</w:t>
      </w:r>
      <w:r>
        <w:t xml:space="preserve"> to ensure duty holders understand obligations and are supported </w:t>
      </w:r>
      <w:r w:rsidR="005D70C8">
        <w:t xml:space="preserve">through the </w:t>
      </w:r>
      <w:r>
        <w:t>transition</w:t>
      </w:r>
      <w:r w:rsidR="005D70C8">
        <w:t xml:space="preserve"> to new legislative requirements</w:t>
      </w:r>
      <w:r>
        <w:t xml:space="preserve">. </w:t>
      </w:r>
    </w:p>
    <w:p w14:paraId="15788DBE" w14:textId="174776D8" w:rsidR="000B0B61" w:rsidRDefault="009018CB" w:rsidP="006D1DEA">
      <w:pPr>
        <w:pStyle w:val="FirstDotPoint"/>
      </w:pPr>
      <w:r w:rsidRPr="00480179">
        <w:t>Introduction of positive duties requires careful management and socialization to change the culture</w:t>
      </w:r>
      <w:r w:rsidR="00FB69A4">
        <w:t>.</w:t>
      </w:r>
      <w:r w:rsidRPr="00480179">
        <w:t xml:space="preserve"> </w:t>
      </w:r>
      <w:r w:rsidR="00FB69A4">
        <w:t>O</w:t>
      </w:r>
      <w:r w:rsidR="002D4A9B">
        <w:t>r</w:t>
      </w:r>
      <w:r w:rsidRPr="00480179">
        <w:t>ganisations</w:t>
      </w:r>
      <w:r w:rsidR="002D4A9B">
        <w:t xml:space="preserve"> need to be informed and assured</w:t>
      </w:r>
      <w:r w:rsidRPr="00480179">
        <w:t xml:space="preserve"> that meeting accessibility requirements does not have to be cost prohibitive.</w:t>
      </w:r>
      <w:r w:rsidR="001C054D">
        <w:t xml:space="preserve"> </w:t>
      </w:r>
      <w:r w:rsidR="000B0B61">
        <w:t>T</w:t>
      </w:r>
      <w:r w:rsidR="000B0B61" w:rsidRPr="00146E8C">
        <w:t xml:space="preserve">he size of a duty holder’s business or operations, and resources, </w:t>
      </w:r>
      <w:r w:rsidR="000B0B61">
        <w:t xml:space="preserve">should </w:t>
      </w:r>
      <w:r w:rsidR="000B0B61" w:rsidRPr="00146E8C">
        <w:t xml:space="preserve">be considered in determining whether a measure </w:t>
      </w:r>
      <w:r w:rsidR="000B0B61">
        <w:t xml:space="preserve">under a positive duty obligation </w:t>
      </w:r>
      <w:r w:rsidR="000B0B61" w:rsidRPr="00146E8C">
        <w:t>is proportionate</w:t>
      </w:r>
      <w:r w:rsidR="00CA6615">
        <w:t xml:space="preserve"> but they should not be exempt</w:t>
      </w:r>
      <w:r w:rsidR="00FB4602">
        <w:t xml:space="preserve"> from action</w:t>
      </w:r>
      <w:r w:rsidR="000B0B61" w:rsidRPr="00146E8C">
        <w:t xml:space="preserve">. </w:t>
      </w:r>
    </w:p>
    <w:p w14:paraId="45F990C4" w14:textId="1956276B" w:rsidR="005E2D8A" w:rsidRDefault="005E2D8A" w:rsidP="006D1DEA">
      <w:pPr>
        <w:pStyle w:val="FirstDotPoint"/>
      </w:pPr>
      <w:r w:rsidRPr="00E61FDB">
        <w:t xml:space="preserve">Overly onerous, unwieldy or complex requirements on duty holders without appropriate supporting mechanisms could lead to public criticism, resistance, delays and negative attitudes towards people with disability. </w:t>
      </w:r>
      <w:r w:rsidR="00246D7B">
        <w:t>T</w:t>
      </w:r>
      <w:r w:rsidRPr="00CE3325">
        <w:t xml:space="preserve">he 2025 updates to the National Construction Code (NCC) </w:t>
      </w:r>
      <w:r w:rsidR="00D65EC1">
        <w:t xml:space="preserve">– which is crucial to ensuring accessibility </w:t>
      </w:r>
      <w:r w:rsidR="004D1A46">
        <w:t xml:space="preserve">for people with disability - </w:t>
      </w:r>
      <w:r w:rsidR="004B2FAA">
        <w:t>received criticism</w:t>
      </w:r>
      <w:r w:rsidR="00BB1AD8">
        <w:t xml:space="preserve"> for being </w:t>
      </w:r>
      <w:r w:rsidRPr="00CE3325">
        <w:t xml:space="preserve">too complex and burdensome for the construction industry and progress on accessibility has </w:t>
      </w:r>
      <w:r w:rsidR="00C117B4">
        <w:t>stalled.</w:t>
      </w:r>
      <w:r w:rsidR="00E276DB">
        <w:rPr>
          <w:rStyle w:val="FootnoteReference"/>
        </w:rPr>
        <w:footnoteReference w:id="18"/>
      </w:r>
    </w:p>
    <w:p w14:paraId="1EE13F1E" w14:textId="2B9729EF" w:rsidR="000056C3" w:rsidRPr="00E45230" w:rsidRDefault="009725FA" w:rsidP="006D1DEA">
      <w:pPr>
        <w:pStyle w:val="FirstDotPoint"/>
        <w:rPr>
          <w:i/>
          <w:iCs/>
        </w:rPr>
      </w:pPr>
      <w:r>
        <w:t>S</w:t>
      </w:r>
      <w:r w:rsidR="003C628A" w:rsidRPr="00892861">
        <w:t>tandards</w:t>
      </w:r>
      <w:r w:rsidR="00286AAD">
        <w:t xml:space="preserve"> </w:t>
      </w:r>
      <w:r w:rsidR="00C30024">
        <w:t xml:space="preserve">can </w:t>
      </w:r>
      <w:r w:rsidR="003C628A" w:rsidRPr="00892861">
        <w:t>play a critical role in clarifying positive duties to prevent discrimination</w:t>
      </w:r>
      <w:r w:rsidR="00174828">
        <w:t xml:space="preserve"> by providing </w:t>
      </w:r>
      <w:r w:rsidR="003C628A" w:rsidRPr="00892861">
        <w:t>specific, actionable guidelines that translate broad anti-discrimination principles into practical obligations and measurable requirements for duty holders</w:t>
      </w:r>
      <w:r w:rsidR="007B3967">
        <w:t>.</w:t>
      </w:r>
      <w:r w:rsidR="003C628A" w:rsidRPr="00892861">
        <w:t xml:space="preserve"> For example, the Disability Standards for Accessible Public Transport 2002 require transport providers to use tactile paving and audio announcements (among other things) to provide accessibility for</w:t>
      </w:r>
      <w:r w:rsidR="007B3967">
        <w:t xml:space="preserve"> people who are</w:t>
      </w:r>
      <w:r w:rsidR="003C628A" w:rsidRPr="00892861">
        <w:t xml:space="preserve"> blind </w:t>
      </w:r>
      <w:r w:rsidR="007B3967">
        <w:t>or</w:t>
      </w:r>
      <w:r w:rsidR="003C628A" w:rsidRPr="00892861">
        <w:t xml:space="preserve"> vision impaired.</w:t>
      </w:r>
      <w:r w:rsidR="00105377">
        <w:t xml:space="preserve"> </w:t>
      </w:r>
      <w:r w:rsidR="00EC6159">
        <w:t>However, a</w:t>
      </w:r>
      <w:r w:rsidR="00105377">
        <w:t xml:space="preserve"> </w:t>
      </w:r>
      <w:r w:rsidR="00755FD2">
        <w:t xml:space="preserve">criticism of the existing </w:t>
      </w:r>
      <w:r w:rsidR="00366FD5">
        <w:t xml:space="preserve">Disability </w:t>
      </w:r>
      <w:r w:rsidR="00D65072">
        <w:t>Standards</w:t>
      </w:r>
      <w:r w:rsidR="004906BD">
        <w:t xml:space="preserve"> </w:t>
      </w:r>
      <w:r w:rsidR="00755FD2">
        <w:t xml:space="preserve">is that </w:t>
      </w:r>
      <w:r w:rsidR="00755FD2">
        <w:lastRenderedPageBreak/>
        <w:t>m</w:t>
      </w:r>
      <w:r w:rsidR="003C628A" w:rsidRPr="00E4795F">
        <w:t>echanisms for</w:t>
      </w:r>
      <w:r w:rsidR="003C628A">
        <w:t xml:space="preserve"> enforcement,</w:t>
      </w:r>
      <w:r w:rsidR="003C628A" w:rsidRPr="00E4795F">
        <w:t xml:space="preserve"> reporting, monitoring and compliance</w:t>
      </w:r>
      <w:r w:rsidR="000056C3">
        <w:t xml:space="preserve"> are lacking</w:t>
      </w:r>
      <w:r w:rsidR="003C628A" w:rsidRPr="00E4795F">
        <w:t>,</w:t>
      </w:r>
      <w:r w:rsidR="00050F5C">
        <w:t xml:space="preserve"> as are</w:t>
      </w:r>
      <w:r w:rsidR="003C628A" w:rsidRPr="00E4795F">
        <w:t xml:space="preserve"> tangible consequences for no</w:t>
      </w:r>
      <w:r w:rsidR="003C628A">
        <w:t>n-compliance</w:t>
      </w:r>
      <w:r w:rsidR="006F7EF7">
        <w:t>.</w:t>
      </w:r>
      <w:r w:rsidR="003C628A" w:rsidRPr="00E4795F">
        <w:t xml:space="preserve"> </w:t>
      </w:r>
      <w:r w:rsidR="004251EF">
        <w:t>This must be rectified as part of the DDA reforms.</w:t>
      </w:r>
    </w:p>
    <w:p w14:paraId="3E5453BF" w14:textId="77777777" w:rsidR="00A5200F" w:rsidRDefault="00A5200F" w:rsidP="006D1DEA">
      <w:pPr>
        <w:pStyle w:val="FirstDotPoint"/>
        <w:numPr>
          <w:ilvl w:val="0"/>
          <w:numId w:val="0"/>
        </w:numPr>
        <w:ind w:left="720"/>
      </w:pPr>
    </w:p>
    <w:p w14:paraId="28CD4E5F" w14:textId="708E1E7B" w:rsidR="00A5200F" w:rsidRPr="003A79E5" w:rsidRDefault="00A5200F" w:rsidP="006D1DEA">
      <w:pPr>
        <w:pStyle w:val="FirstDotPoint"/>
        <w:numPr>
          <w:ilvl w:val="0"/>
          <w:numId w:val="0"/>
        </w:numPr>
      </w:pPr>
      <w:r>
        <w:t xml:space="preserve">Recommendation: Consider </w:t>
      </w:r>
      <w:r w:rsidR="001C5A12">
        <w:t xml:space="preserve">using </w:t>
      </w:r>
      <w:r>
        <w:t xml:space="preserve">the term </w:t>
      </w:r>
      <w:r w:rsidR="004C3D7D">
        <w:t>‘</w:t>
      </w:r>
      <w:r>
        <w:t>inclusive</w:t>
      </w:r>
      <w:r w:rsidR="004C3D7D">
        <w:t>’</w:t>
      </w:r>
      <w:r>
        <w:t xml:space="preserve"> duty in place of </w:t>
      </w:r>
      <w:r w:rsidR="004C3D7D">
        <w:t>‘</w:t>
      </w:r>
      <w:r>
        <w:t>positive</w:t>
      </w:r>
      <w:r w:rsidR="004C3D7D">
        <w:t>’</w:t>
      </w:r>
      <w:r>
        <w:t xml:space="preserve"> duty</w:t>
      </w:r>
      <w:r w:rsidR="00B969AA">
        <w:t xml:space="preserve"> to prevent discrimination</w:t>
      </w:r>
      <w:r>
        <w:t xml:space="preserve">.   </w:t>
      </w:r>
    </w:p>
    <w:p w14:paraId="004299FB" w14:textId="7D7455C4" w:rsidR="00DB673B" w:rsidRDefault="00B0723E" w:rsidP="006D1DEA">
      <w:pPr>
        <w:pStyle w:val="FirstDotPoint"/>
      </w:pPr>
      <w:r>
        <w:t xml:space="preserve">Consultation with our </w:t>
      </w:r>
      <w:r w:rsidR="00582386">
        <w:t>members</w:t>
      </w:r>
      <w:r>
        <w:t xml:space="preserve"> indicate</w:t>
      </w:r>
      <w:r w:rsidR="001C5A12">
        <w:t xml:space="preserve">d </w:t>
      </w:r>
      <w:r>
        <w:t>the</w:t>
      </w:r>
      <w:r w:rsidR="005E2D8A">
        <w:t xml:space="preserve"> term </w:t>
      </w:r>
      <w:r w:rsidR="004C3D7D">
        <w:t>‘</w:t>
      </w:r>
      <w:r w:rsidR="005E2D8A">
        <w:t>positive</w:t>
      </w:r>
      <w:r w:rsidR="004C3D7D">
        <w:t>’</w:t>
      </w:r>
      <w:r w:rsidR="005E2D8A">
        <w:t xml:space="preserve"> duty </w:t>
      </w:r>
      <w:r w:rsidR="00582386">
        <w:t>could be</w:t>
      </w:r>
      <w:r w:rsidR="005E2D8A">
        <w:t xml:space="preserve"> misunderstood by some duty holders. For example</w:t>
      </w:r>
      <w:r w:rsidR="00A5200F">
        <w:t>,</w:t>
      </w:r>
      <w:r w:rsidR="00582386">
        <w:t xml:space="preserve"> in the case of ongoing challenges with dog guide refusals, </w:t>
      </w:r>
      <w:r w:rsidR="005E2D8A">
        <w:t>a duty holder may see dog guide refusal</w:t>
      </w:r>
      <w:r w:rsidR="00DC3D95">
        <w:t xml:space="preserve"> from their restaurant </w:t>
      </w:r>
      <w:r w:rsidR="005E2D8A">
        <w:t xml:space="preserve">as a </w:t>
      </w:r>
      <w:r w:rsidR="00B969AA">
        <w:t>‘</w:t>
      </w:r>
      <w:r w:rsidR="005E2D8A">
        <w:t>positive</w:t>
      </w:r>
      <w:r w:rsidR="00B969AA">
        <w:t>’</w:t>
      </w:r>
      <w:r w:rsidR="005E2D8A">
        <w:t xml:space="preserve"> outcome for their business</w:t>
      </w:r>
      <w:r w:rsidR="00DC3D95">
        <w:t xml:space="preserve"> and patrons</w:t>
      </w:r>
      <w:r w:rsidR="005E2D8A">
        <w:t xml:space="preserve">. </w:t>
      </w:r>
    </w:p>
    <w:p w14:paraId="50DE0D35" w14:textId="6C4C6B9A" w:rsidR="004C2C79" w:rsidRDefault="00767F47" w:rsidP="006D1DEA">
      <w:pPr>
        <w:pStyle w:val="FirstDotPoint"/>
      </w:pPr>
      <w:r>
        <w:t>‘</w:t>
      </w:r>
      <w:r w:rsidR="00FD2714">
        <w:t>P</w:t>
      </w:r>
      <w:r w:rsidR="000030A0">
        <w:t>ositive</w:t>
      </w:r>
      <w:r>
        <w:t>’</w:t>
      </w:r>
      <w:r w:rsidR="000030A0">
        <w:t xml:space="preserve"> is</w:t>
      </w:r>
      <w:r w:rsidR="008F5773">
        <w:t xml:space="preserve"> a term </w:t>
      </w:r>
      <w:r w:rsidR="00DB673B">
        <w:t xml:space="preserve">often </w:t>
      </w:r>
      <w:r w:rsidR="008F5773">
        <w:t xml:space="preserve">used to describe something optimistic </w:t>
      </w:r>
      <w:r w:rsidR="00C20B61">
        <w:t>and conveys a sense of goodness</w:t>
      </w:r>
      <w:r w:rsidR="00E139FB">
        <w:t xml:space="preserve"> </w:t>
      </w:r>
      <w:r w:rsidR="0071322F">
        <w:t xml:space="preserve">or favourability </w:t>
      </w:r>
      <w:r w:rsidR="00715966">
        <w:t>e.g.</w:t>
      </w:r>
      <w:r w:rsidR="00E139FB">
        <w:t xml:space="preserve"> she has a positive attitude</w:t>
      </w:r>
      <w:r w:rsidR="00DB673B">
        <w:t xml:space="preserve">. </w:t>
      </w:r>
    </w:p>
    <w:p w14:paraId="7FC70761" w14:textId="24E73FC9" w:rsidR="00F106EC" w:rsidRDefault="00C20B61" w:rsidP="006D1DEA">
      <w:pPr>
        <w:pStyle w:val="FirstDotPoint"/>
      </w:pPr>
      <w:r>
        <w:t>In contrast,</w:t>
      </w:r>
      <w:r w:rsidR="00384349">
        <w:t xml:space="preserve"> terminology </w:t>
      </w:r>
      <w:r w:rsidR="00497D3F">
        <w:t>like</w:t>
      </w:r>
      <w:r w:rsidR="00384349">
        <w:t xml:space="preserve"> </w:t>
      </w:r>
      <w:r w:rsidR="002F63C8">
        <w:t>‘</w:t>
      </w:r>
      <w:r w:rsidR="0071322F">
        <w:t>inclusive</w:t>
      </w:r>
      <w:r w:rsidR="002F63C8">
        <w:t>’</w:t>
      </w:r>
      <w:r w:rsidR="0071322F">
        <w:t xml:space="preserve"> refers to the act of including or embracing all relevant people</w:t>
      </w:r>
      <w:r w:rsidR="00602A08">
        <w:t>, groups or elements</w:t>
      </w:r>
      <w:r w:rsidR="002F63C8">
        <w:t>,</w:t>
      </w:r>
      <w:r w:rsidR="00602A08">
        <w:t xml:space="preserve"> often with an emphasis on diversity, equality or accessibility. </w:t>
      </w:r>
      <w:r w:rsidR="00AA65BC">
        <w:t xml:space="preserve">It </w:t>
      </w:r>
      <w:r w:rsidR="00F27F7A">
        <w:t xml:space="preserve">implies fairness, openness and ethical consideration and is already heavily associated with </w:t>
      </w:r>
      <w:r w:rsidR="008267C0">
        <w:t>social justice.</w:t>
      </w:r>
      <w:r w:rsidR="00CF189C">
        <w:t xml:space="preserve"> It is less about optimism and more about fairness.</w:t>
      </w:r>
    </w:p>
    <w:p w14:paraId="1B31B67B" w14:textId="6E9ED95A" w:rsidR="001A7B34" w:rsidRPr="001A7B34" w:rsidRDefault="000260E5" w:rsidP="006D1DEA">
      <w:pPr>
        <w:pStyle w:val="FirstDotPoint"/>
        <w:rPr>
          <w:i/>
          <w:iCs/>
        </w:rPr>
      </w:pPr>
      <w:r w:rsidRPr="00F106EC">
        <w:t xml:space="preserve">BCA acknowledges that </w:t>
      </w:r>
      <w:r w:rsidR="00FF235E">
        <w:t>‘</w:t>
      </w:r>
      <w:r w:rsidR="001657CC" w:rsidRPr="00F106EC">
        <w:t>positive</w:t>
      </w:r>
      <w:r w:rsidR="00FF235E">
        <w:t>’</w:t>
      </w:r>
      <w:r w:rsidR="001657CC" w:rsidRPr="00F106EC">
        <w:t xml:space="preserve"> duty is a</w:t>
      </w:r>
      <w:r w:rsidR="00FF235E">
        <w:t xml:space="preserve">n </w:t>
      </w:r>
      <w:r w:rsidR="001657CC" w:rsidRPr="00F106EC">
        <w:t xml:space="preserve">accepted aspect of </w:t>
      </w:r>
      <w:r w:rsidR="00FF235E">
        <w:t xml:space="preserve">existing legislative </w:t>
      </w:r>
      <w:r w:rsidR="001657CC" w:rsidRPr="00F106EC">
        <w:t>frameworks</w:t>
      </w:r>
      <w:r w:rsidR="00FF235E">
        <w:t xml:space="preserve"> however from </w:t>
      </w:r>
      <w:r w:rsidR="005A67C0" w:rsidRPr="00F106EC">
        <w:t>an advocacy perspective</w:t>
      </w:r>
      <w:r w:rsidR="00210F2B">
        <w:t xml:space="preserve">, BCA believes ‘inclusive’ </w:t>
      </w:r>
      <w:r w:rsidR="002040A4">
        <w:t>is likely</w:t>
      </w:r>
      <w:r w:rsidR="00241FD8">
        <w:t xml:space="preserve"> to </w:t>
      </w:r>
      <w:r w:rsidR="00D66A1D">
        <w:t>convey</w:t>
      </w:r>
      <w:r w:rsidR="00EB09C2">
        <w:t xml:space="preserve"> the</w:t>
      </w:r>
      <w:r w:rsidR="00D66A1D">
        <w:t xml:space="preserve"> requirement</w:t>
      </w:r>
      <w:r w:rsidR="00EB09C2">
        <w:t xml:space="preserve"> in a manner that is more easily understood by duty holders. </w:t>
      </w:r>
      <w:r w:rsidR="007171A7">
        <w:t>S</w:t>
      </w:r>
      <w:r w:rsidR="00933F53">
        <w:t xml:space="preserve">ome BCA members </w:t>
      </w:r>
      <w:r w:rsidR="007171A7">
        <w:t xml:space="preserve">also indicated that they did not think the </w:t>
      </w:r>
      <w:r w:rsidR="00756828">
        <w:t>term</w:t>
      </w:r>
      <w:r w:rsidR="0072021E">
        <w:t xml:space="preserve"> </w:t>
      </w:r>
      <w:r w:rsidR="00756828">
        <w:t>‘</w:t>
      </w:r>
      <w:r w:rsidR="0072021E">
        <w:t>duty</w:t>
      </w:r>
      <w:r w:rsidR="00756828">
        <w:t xml:space="preserve">’ adequately </w:t>
      </w:r>
      <w:r w:rsidR="00D560B7">
        <w:t>encompass</w:t>
      </w:r>
      <w:r w:rsidR="00756828">
        <w:t>ed</w:t>
      </w:r>
      <w:r w:rsidR="00D560B7">
        <w:t xml:space="preserve"> the</w:t>
      </w:r>
      <w:r w:rsidR="002E1C73">
        <w:t xml:space="preserve"> obligation to take</w:t>
      </w:r>
      <w:r w:rsidR="00756828">
        <w:t xml:space="preserve"> action</w:t>
      </w:r>
      <w:r w:rsidR="0072021E">
        <w:t>.</w:t>
      </w:r>
      <w:r w:rsidR="00933F53">
        <w:t xml:space="preserve"> </w:t>
      </w:r>
    </w:p>
    <w:p w14:paraId="7B2EC2AF" w14:textId="54DE13BE" w:rsidR="00F36688" w:rsidRDefault="00722C88" w:rsidP="007350B7">
      <w:pPr>
        <w:pStyle w:val="Heading2"/>
      </w:pPr>
      <w:bookmarkStart w:id="37" w:name="_Toc212204008"/>
      <w:r>
        <w:t>Duty holder</w:t>
      </w:r>
      <w:r w:rsidR="009F3D75">
        <w:t xml:space="preserve"> </w:t>
      </w:r>
      <w:r>
        <w:t>accountability</w:t>
      </w:r>
      <w:bookmarkEnd w:id="37"/>
      <w:r>
        <w:t xml:space="preserve"> </w:t>
      </w:r>
    </w:p>
    <w:p w14:paraId="31077DE8" w14:textId="055CC3F4" w:rsidR="00290C6C" w:rsidRDefault="00290C6C" w:rsidP="006D1DEA">
      <w:pPr>
        <w:pStyle w:val="FirstDotPoint"/>
        <w:numPr>
          <w:ilvl w:val="0"/>
          <w:numId w:val="0"/>
        </w:numPr>
      </w:pPr>
      <w:r>
        <w:t>Recommendation: Clarify accountability</w:t>
      </w:r>
      <w:r w:rsidR="005966A5">
        <w:t xml:space="preserve"> of</w:t>
      </w:r>
      <w:r>
        <w:t xml:space="preserve"> duty holders in contracting arrangements</w:t>
      </w:r>
      <w:r w:rsidR="00B12B97">
        <w:t>.</w:t>
      </w:r>
    </w:p>
    <w:p w14:paraId="78B33866" w14:textId="77777777" w:rsidR="00B12B97" w:rsidRDefault="00B12B97" w:rsidP="006D1DEA">
      <w:pPr>
        <w:pStyle w:val="FirstDotPoint"/>
        <w:numPr>
          <w:ilvl w:val="0"/>
          <w:numId w:val="0"/>
        </w:numPr>
      </w:pPr>
    </w:p>
    <w:p w14:paraId="2E6E34F2" w14:textId="497870D9" w:rsidR="003538A2" w:rsidRDefault="00852449" w:rsidP="006D1DEA">
      <w:pPr>
        <w:pStyle w:val="FirstDotPoint"/>
      </w:pPr>
      <w:r w:rsidRPr="00F845E4">
        <w:t xml:space="preserve">A frequent concern </w:t>
      </w:r>
      <w:r w:rsidR="005636D0">
        <w:t xml:space="preserve">of BCA members </w:t>
      </w:r>
      <w:r w:rsidR="0030778A" w:rsidRPr="00F845E4">
        <w:t xml:space="preserve">is holding </w:t>
      </w:r>
      <w:r w:rsidR="0024016F" w:rsidRPr="00F845E4">
        <w:t>point to point transport providers</w:t>
      </w:r>
      <w:r w:rsidR="00D14D16">
        <w:t xml:space="preserve"> </w:t>
      </w:r>
      <w:r w:rsidR="00D14D16" w:rsidRPr="00F845E4">
        <w:t xml:space="preserve">(e.g. taxis, Uber) </w:t>
      </w:r>
      <w:r w:rsidR="0024016F" w:rsidRPr="00F845E4">
        <w:t>to account</w:t>
      </w:r>
      <w:r w:rsidR="00D14D16">
        <w:t xml:space="preserve"> for discriminatory practice</w:t>
      </w:r>
      <w:r w:rsidR="0024016F" w:rsidRPr="00F845E4">
        <w:t>.</w:t>
      </w:r>
      <w:r w:rsidR="00D14D16">
        <w:t xml:space="preserve"> </w:t>
      </w:r>
      <w:r w:rsidR="004339FF" w:rsidRPr="00F845E4">
        <w:t>For blind and vision-impaired individuals, the primary issue is refusal of service due to dog</w:t>
      </w:r>
      <w:r w:rsidR="009364A1">
        <w:t xml:space="preserve"> guides</w:t>
      </w:r>
      <w:r w:rsidR="004339FF" w:rsidRPr="00F845E4">
        <w:t>, but broader concerns include wheelchair inaccessibility</w:t>
      </w:r>
      <w:r w:rsidR="00DD0E42">
        <w:t xml:space="preserve"> and poor</w:t>
      </w:r>
      <w:r w:rsidR="004339FF" w:rsidRPr="00F845E4">
        <w:t xml:space="preserve"> </w:t>
      </w:r>
      <w:r w:rsidR="00DD0E42">
        <w:t>access to information</w:t>
      </w:r>
      <w:r w:rsidR="004339FF" w:rsidRPr="00F845E4">
        <w:t>.</w:t>
      </w:r>
      <w:r w:rsidR="003F53DB" w:rsidRPr="00F845E4">
        <w:t xml:space="preserve"> </w:t>
      </w:r>
    </w:p>
    <w:p w14:paraId="06C13371" w14:textId="6E32F870" w:rsidR="007119BF" w:rsidRDefault="003F53DB" w:rsidP="006D1DEA">
      <w:pPr>
        <w:pStyle w:val="FirstDotPoint"/>
      </w:pPr>
      <w:r w:rsidRPr="00F845E4">
        <w:t>DDA Section 24 (services) applies</w:t>
      </w:r>
      <w:r w:rsidR="00EB4377">
        <w:t xml:space="preserve"> but lack of clarity and </w:t>
      </w:r>
      <w:r w:rsidR="007A0C2E">
        <w:t>gaps in enforcement allow evasion</w:t>
      </w:r>
      <w:r w:rsidR="007A0C2E" w:rsidRPr="00F845E4">
        <w:t>.</w:t>
      </w:r>
      <w:r w:rsidR="007A0C2E">
        <w:t xml:space="preserve"> </w:t>
      </w:r>
      <w:r w:rsidR="004F5FE6">
        <w:t>R</w:t>
      </w:r>
      <w:r w:rsidR="00F547EA">
        <w:t>ide share</w:t>
      </w:r>
      <w:r w:rsidR="009174AB">
        <w:t xml:space="preserve"> </w:t>
      </w:r>
      <w:r w:rsidRPr="00F845E4">
        <w:t xml:space="preserve">platforms argue they are not </w:t>
      </w:r>
      <w:r w:rsidR="007A4180">
        <w:t>‘</w:t>
      </w:r>
      <w:r w:rsidRPr="00F845E4">
        <w:t>providers</w:t>
      </w:r>
      <w:r w:rsidR="007A4180">
        <w:t>’</w:t>
      </w:r>
      <w:r w:rsidR="002103D7">
        <w:t xml:space="preserve"> and </w:t>
      </w:r>
      <w:r w:rsidR="0004711A">
        <w:t xml:space="preserve">rideshare </w:t>
      </w:r>
      <w:r w:rsidR="0029651E" w:rsidRPr="00F845E4">
        <w:t>drivers are independent contractors</w:t>
      </w:r>
      <w:r w:rsidR="0004711A">
        <w:t xml:space="preserve">, </w:t>
      </w:r>
      <w:r w:rsidR="0029651E" w:rsidRPr="00F845E4">
        <w:t>shift</w:t>
      </w:r>
      <w:r w:rsidR="0004711A">
        <w:t>ing</w:t>
      </w:r>
      <w:r w:rsidR="00B3149B" w:rsidRPr="00F845E4">
        <w:t xml:space="preserve"> the </w:t>
      </w:r>
      <w:r w:rsidR="0029651E" w:rsidRPr="00F845E4">
        <w:t>blame</w:t>
      </w:r>
      <w:r w:rsidR="00E47E5A">
        <w:t xml:space="preserve"> </w:t>
      </w:r>
      <w:r w:rsidR="0004711A">
        <w:t xml:space="preserve">and making it </w:t>
      </w:r>
      <w:r w:rsidR="00FA7AD7">
        <w:t xml:space="preserve">difficult to hold duty holders to account. </w:t>
      </w:r>
    </w:p>
    <w:p w14:paraId="6D407055" w14:textId="7488CF18" w:rsidR="001D1131" w:rsidRDefault="009C3889" w:rsidP="006D1DEA">
      <w:pPr>
        <w:pStyle w:val="FirstDotPoint"/>
      </w:pPr>
      <w:r w:rsidRPr="00F845E4">
        <w:lastRenderedPageBreak/>
        <w:t>Complaints to AHRC or state bodies are resource-intensive,</w:t>
      </w:r>
      <w:r w:rsidR="00FE6CD5">
        <w:t xml:space="preserve"> </w:t>
      </w:r>
      <w:r w:rsidRPr="00F845E4">
        <w:t>with low success.</w:t>
      </w:r>
      <w:r w:rsidR="007119BF">
        <w:t xml:space="preserve"> For example, </w:t>
      </w:r>
      <w:r w:rsidR="003D28E2">
        <w:t xml:space="preserve">BCA Member Debra Simons </w:t>
      </w:r>
      <w:r w:rsidR="003D28E2" w:rsidRPr="003D28E2">
        <w:t xml:space="preserve">filed </w:t>
      </w:r>
      <w:r w:rsidR="003D28E2">
        <w:t xml:space="preserve">a </w:t>
      </w:r>
      <w:r w:rsidR="003D28E2" w:rsidRPr="003D28E2">
        <w:t>complaint against 13Cabs with</w:t>
      </w:r>
      <w:r w:rsidR="003D28E2">
        <w:t xml:space="preserve"> the </w:t>
      </w:r>
      <w:r w:rsidR="005F16CF">
        <w:t xml:space="preserve">AHRC </w:t>
      </w:r>
      <w:r w:rsidR="003D28E2" w:rsidRPr="003D28E2">
        <w:t xml:space="preserve">and was offered a $100 gift voucher after </w:t>
      </w:r>
      <w:r w:rsidR="002122EB">
        <w:t xml:space="preserve">the </w:t>
      </w:r>
      <w:r w:rsidR="003D28E2" w:rsidRPr="003D28E2">
        <w:t xml:space="preserve">company </w:t>
      </w:r>
      <w:r w:rsidR="00F0230C" w:rsidRPr="00F0230C">
        <w:t>claimed that while it made “all reasonable steps to combat breaches”, it was not liable for the conduct of the drivers, on the basis that it was a booking service and did not directly employ drivers.</w:t>
      </w:r>
      <w:r w:rsidR="005636D0">
        <w:rPr>
          <w:rStyle w:val="FootnoteReference"/>
        </w:rPr>
        <w:footnoteReference w:id="19"/>
      </w:r>
      <w:r w:rsidR="003D28E2">
        <w:t xml:space="preserve"> </w:t>
      </w:r>
    </w:p>
    <w:p w14:paraId="249F0266" w14:textId="0DEDE8F5" w:rsidR="008F71AB" w:rsidRDefault="00671388" w:rsidP="006D1DEA">
      <w:pPr>
        <w:pStyle w:val="FirstDotPoint"/>
      </w:pPr>
      <w:r w:rsidRPr="00671388">
        <w:t>Paula, a guide dog user, had 32 Uber trips cancelled in July 2025, leading to a Federal Court lawsuit alleging discrimination.</w:t>
      </w:r>
      <w:r w:rsidR="00EE6368" w:rsidRPr="1D6A8C68">
        <w:rPr>
          <w:rStyle w:val="FootnoteReference"/>
        </w:rPr>
        <w:footnoteReference w:id="20"/>
      </w:r>
      <w:r w:rsidR="00BA5239">
        <w:t xml:space="preserve"> </w:t>
      </w:r>
      <w:r w:rsidR="008F71AB" w:rsidRPr="008F71AB">
        <w:t>Paralympian Jeremy McClure was refused Uber rides three times in September 2025 because of his dog</w:t>
      </w:r>
      <w:r w:rsidR="00476CB3">
        <w:t xml:space="preserve"> guide</w:t>
      </w:r>
      <w:r w:rsidR="00210B94">
        <w:t>.</w:t>
      </w:r>
      <w:r w:rsidR="00210B94" w:rsidRPr="1D6A8C68">
        <w:rPr>
          <w:rStyle w:val="FootnoteReference"/>
        </w:rPr>
        <w:footnoteReference w:id="21"/>
      </w:r>
      <w:r w:rsidR="00476CB3">
        <w:t xml:space="preserve"> </w:t>
      </w:r>
    </w:p>
    <w:p w14:paraId="05A9A5AC" w14:textId="039BE4D9" w:rsidR="00590B72" w:rsidRDefault="00F80A89" w:rsidP="006D1DEA">
      <w:pPr>
        <w:pStyle w:val="FirstDotPoint"/>
      </w:pPr>
      <w:r>
        <w:t>R</w:t>
      </w:r>
      <w:r w:rsidR="00F56929">
        <w:t>eform is needed</w:t>
      </w:r>
      <w:r w:rsidR="002B74AD">
        <w:t xml:space="preserve"> to resolve the</w:t>
      </w:r>
      <w:r w:rsidR="005B0496">
        <w:t>se</w:t>
      </w:r>
      <w:r w:rsidR="002B74AD">
        <w:t xml:space="preserve"> </w:t>
      </w:r>
      <w:r w:rsidR="007D72D1">
        <w:t xml:space="preserve">persistent discrimination </w:t>
      </w:r>
      <w:r w:rsidR="002B74AD">
        <w:t>issues</w:t>
      </w:r>
      <w:r w:rsidR="005B0496">
        <w:t xml:space="preserve"> and careful consideration </w:t>
      </w:r>
      <w:r w:rsidR="00061470">
        <w:t xml:space="preserve">must </w:t>
      </w:r>
      <w:r w:rsidR="005B0496">
        <w:t xml:space="preserve">be given to the </w:t>
      </w:r>
      <w:r w:rsidR="00CB63C8">
        <w:t>legi</w:t>
      </w:r>
      <w:r w:rsidR="00E6544A">
        <w:t xml:space="preserve">slative </w:t>
      </w:r>
      <w:r w:rsidR="005B0496">
        <w:t xml:space="preserve">drafting </w:t>
      </w:r>
      <w:r w:rsidR="000E2310">
        <w:t>for</w:t>
      </w:r>
      <w:r w:rsidR="00061470">
        <w:t xml:space="preserve"> </w:t>
      </w:r>
      <w:r w:rsidR="00CB63C8">
        <w:t xml:space="preserve">duty holders and </w:t>
      </w:r>
      <w:r w:rsidR="00061470">
        <w:t xml:space="preserve">a positive duty </w:t>
      </w:r>
      <w:r w:rsidR="005B0496">
        <w:t>to prevent deflection</w:t>
      </w:r>
      <w:r w:rsidR="00CB63C8">
        <w:t xml:space="preserve"> and evasion </w:t>
      </w:r>
      <w:r w:rsidR="005B0496">
        <w:t>of accountability</w:t>
      </w:r>
      <w:r w:rsidR="00CB63C8">
        <w:t xml:space="preserve"> under the DDA</w:t>
      </w:r>
      <w:r w:rsidR="005B0496">
        <w:t>.</w:t>
      </w:r>
    </w:p>
    <w:p w14:paraId="723A6B5B" w14:textId="7779AC5A" w:rsidR="00E42BAF" w:rsidRPr="007824DD" w:rsidRDefault="0090111E" w:rsidP="007824DD">
      <w:pPr>
        <w:pStyle w:val="IntenseQuote"/>
        <w:rPr>
          <w:b/>
          <w:bCs/>
        </w:rPr>
      </w:pPr>
      <w:r>
        <w:rPr>
          <w:b/>
          <w:bCs/>
        </w:rPr>
        <w:t>“</w:t>
      </w:r>
      <w:r w:rsidR="007824DD" w:rsidRPr="007824DD">
        <w:rPr>
          <w:b/>
          <w:bCs/>
        </w:rPr>
        <w:t xml:space="preserve">Companies should realise that their </w:t>
      </w:r>
      <w:r w:rsidR="00E42BAF" w:rsidRPr="007824DD">
        <w:rPr>
          <w:b/>
          <w:bCs/>
        </w:rPr>
        <w:t xml:space="preserve">clientele would increase in the long run if they actually went to the trouble of including people with disabilities, both as customers </w:t>
      </w:r>
      <w:r w:rsidR="003870FA" w:rsidRPr="007824DD">
        <w:rPr>
          <w:b/>
          <w:bCs/>
        </w:rPr>
        <w:t>and</w:t>
      </w:r>
      <w:r w:rsidR="00E42BAF" w:rsidRPr="007824DD">
        <w:rPr>
          <w:b/>
          <w:bCs/>
        </w:rPr>
        <w:t xml:space="preserve"> as</w:t>
      </w:r>
      <w:r w:rsidR="007824DD" w:rsidRPr="007824DD">
        <w:rPr>
          <w:b/>
          <w:bCs/>
        </w:rPr>
        <w:t xml:space="preserve"> employees.</w:t>
      </w:r>
      <w:r>
        <w:rPr>
          <w:b/>
          <w:bCs/>
        </w:rPr>
        <w:t>”</w:t>
      </w:r>
      <w:r>
        <w:rPr>
          <w:rStyle w:val="FootnoteReference"/>
          <w:b/>
          <w:bCs/>
        </w:rPr>
        <w:footnoteReference w:id="22"/>
      </w:r>
      <w:r w:rsidR="007824DD" w:rsidRPr="007824DD">
        <w:rPr>
          <w:b/>
          <w:bCs/>
        </w:rPr>
        <w:t xml:space="preserve"> </w:t>
      </w:r>
    </w:p>
    <w:p w14:paraId="5C224D3C"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Are there lessons from the operation of the positive duty in the Sex Discrimination Act that could be incorporated into a positive duty in the Disability Discrimination Act?</w:t>
      </w:r>
    </w:p>
    <w:p w14:paraId="2DC48D83" w14:textId="388FF47D" w:rsidR="001016E9" w:rsidRDefault="001D1131" w:rsidP="00751403">
      <w:r w:rsidRPr="004D767B">
        <w:rPr>
          <w:szCs w:val="24"/>
        </w:rPr>
        <w:t xml:space="preserve">Yes. </w:t>
      </w:r>
      <w:r w:rsidR="001016E9" w:rsidRPr="004739E9">
        <w:t xml:space="preserve">Practical effectiveness of </w:t>
      </w:r>
      <w:r w:rsidR="001016E9">
        <w:t>a</w:t>
      </w:r>
      <w:r w:rsidR="001016E9" w:rsidRPr="004739E9">
        <w:t xml:space="preserve"> positive duty relies on the AHRC having requisite powers and resources to investigate, enforce and impose explicit penalties on duty holders who do not comply</w:t>
      </w:r>
      <w:r w:rsidR="009F59AC">
        <w:t xml:space="preserve"> with positive duty requirements</w:t>
      </w:r>
      <w:r w:rsidR="001016E9" w:rsidRPr="004739E9">
        <w:t>.</w:t>
      </w:r>
      <w:r w:rsidR="001016E9" w:rsidRPr="1D6A8C68">
        <w:rPr>
          <w:rStyle w:val="FootnoteReference"/>
        </w:rPr>
        <w:footnoteReference w:id="23"/>
      </w:r>
    </w:p>
    <w:p w14:paraId="270092CE" w14:textId="77777777" w:rsidR="008D7573" w:rsidRDefault="00DE4055" w:rsidP="008D7573">
      <w:pPr>
        <w:pStyle w:val="FirstDotPoint"/>
        <w:spacing w:after="0"/>
      </w:pPr>
      <w:r w:rsidRPr="001016E9">
        <w:t xml:space="preserve">BCA has heard from stakeholders that </w:t>
      </w:r>
      <w:r w:rsidR="008B2895" w:rsidRPr="001016E9">
        <w:t xml:space="preserve">despite the </w:t>
      </w:r>
      <w:r w:rsidR="009F59AC" w:rsidRPr="1D6A8C68">
        <w:t>Sex Discrimination Act</w:t>
      </w:r>
      <w:r w:rsidR="009F59AC" w:rsidRPr="005F1C49">
        <w:rPr>
          <w:i/>
        </w:rPr>
        <w:t xml:space="preserve"> (</w:t>
      </w:r>
      <w:r w:rsidR="008B2895" w:rsidRPr="001016E9">
        <w:t>SDA</w:t>
      </w:r>
      <w:r w:rsidR="009F59AC">
        <w:t>)</w:t>
      </w:r>
      <w:r w:rsidR="008B2895" w:rsidRPr="001016E9">
        <w:t xml:space="preserve"> including a positive duty, the SDA</w:t>
      </w:r>
      <w:r w:rsidR="00D87D8C">
        <w:t xml:space="preserve"> lacks regulation and enforcement </w:t>
      </w:r>
      <w:r w:rsidR="00FC6E8F">
        <w:t>of compliance and thus</w:t>
      </w:r>
      <w:r w:rsidR="008B2895" w:rsidRPr="001016E9">
        <w:t xml:space="preserve"> still relies on </w:t>
      </w:r>
      <w:r w:rsidR="004E05D7" w:rsidRPr="001016E9">
        <w:t>a complaint being made</w:t>
      </w:r>
      <w:r w:rsidR="00FC6E8F">
        <w:t>.</w:t>
      </w:r>
      <w:r w:rsidR="004E05D7" w:rsidRPr="001016E9">
        <w:t xml:space="preserve"> </w:t>
      </w:r>
    </w:p>
    <w:p w14:paraId="2FCA9392" w14:textId="19387C2D" w:rsidR="005E5569" w:rsidRPr="001016E9" w:rsidRDefault="0057774D" w:rsidP="008D7573">
      <w:pPr>
        <w:pStyle w:val="FirstDotPoint"/>
        <w:spacing w:after="0"/>
      </w:pPr>
      <w:r>
        <w:t>Anecdotally, BCA understands that g</w:t>
      </w:r>
      <w:r w:rsidR="004E05D7" w:rsidRPr="001016E9">
        <w:t>iven the l</w:t>
      </w:r>
      <w:r w:rsidR="005E5569" w:rsidRPr="001016E9">
        <w:t>ength of time</w:t>
      </w:r>
      <w:r w:rsidR="004E05D7" w:rsidRPr="001016E9">
        <w:t xml:space="preserve"> it takes for </w:t>
      </w:r>
      <w:r w:rsidR="00FC6E8F">
        <w:t xml:space="preserve">a </w:t>
      </w:r>
      <w:r w:rsidR="004E05D7" w:rsidRPr="001016E9">
        <w:t>complaint to be resolved under the SDA</w:t>
      </w:r>
      <w:r>
        <w:t>,</w:t>
      </w:r>
      <w:r w:rsidR="00DC033B" w:rsidRPr="001016E9">
        <w:t xml:space="preserve"> complain</w:t>
      </w:r>
      <w:r w:rsidR="00FC6E8F">
        <w:t>an</w:t>
      </w:r>
      <w:r w:rsidR="00DC033B" w:rsidRPr="001016E9">
        <w:t xml:space="preserve">ts have found it </w:t>
      </w:r>
      <w:r w:rsidR="005E5569" w:rsidRPr="001016E9">
        <w:t xml:space="preserve">quicker </w:t>
      </w:r>
      <w:r w:rsidR="00396F1C">
        <w:t xml:space="preserve">and more effective </w:t>
      </w:r>
      <w:r w:rsidR="005E5569" w:rsidRPr="001016E9">
        <w:t xml:space="preserve">to </w:t>
      </w:r>
      <w:r w:rsidR="00DC033B" w:rsidRPr="001016E9">
        <w:t xml:space="preserve">utilise </w:t>
      </w:r>
      <w:r w:rsidR="00DC033B" w:rsidRPr="001016E9">
        <w:lastRenderedPageBreak/>
        <w:t xml:space="preserve">protections </w:t>
      </w:r>
      <w:r w:rsidR="00396F1C">
        <w:t xml:space="preserve">under </w:t>
      </w:r>
      <w:r w:rsidR="00DC033B" w:rsidRPr="001016E9">
        <w:t>the F</w:t>
      </w:r>
      <w:r w:rsidR="005E5569" w:rsidRPr="001016E9">
        <w:t xml:space="preserve">air </w:t>
      </w:r>
      <w:r w:rsidR="00DC033B" w:rsidRPr="001016E9">
        <w:t>W</w:t>
      </w:r>
      <w:r w:rsidR="005E5569" w:rsidRPr="001016E9">
        <w:t>ork</w:t>
      </w:r>
      <w:r w:rsidR="00DC033B" w:rsidRPr="001016E9">
        <w:t xml:space="preserve"> Act</w:t>
      </w:r>
      <w:r w:rsidR="00756937" w:rsidRPr="001016E9">
        <w:t xml:space="preserve"> for complaints that are employment related.</w:t>
      </w:r>
      <w:r w:rsidR="00937BFE">
        <w:rPr>
          <w:rStyle w:val="FootnoteReference"/>
        </w:rPr>
        <w:footnoteReference w:id="24"/>
      </w:r>
      <w:r w:rsidR="00756937" w:rsidRPr="001016E9">
        <w:t xml:space="preserve"> </w:t>
      </w:r>
    </w:p>
    <w:p w14:paraId="69A91E35" w14:textId="15E5AAB9" w:rsidR="004739E9" w:rsidRPr="00152F36" w:rsidRDefault="009720DD" w:rsidP="008D7573">
      <w:pPr>
        <w:pStyle w:val="ListParagraph"/>
        <w:spacing w:after="0"/>
        <w:rPr>
          <w:rFonts w:eastAsia="MS Mincho"/>
          <w:lang w:eastAsia="ja-JP"/>
        </w:rPr>
      </w:pPr>
      <w:r w:rsidRPr="004739E9">
        <w:t xml:space="preserve">Adoption </w:t>
      </w:r>
      <w:r w:rsidR="006D671F">
        <w:t xml:space="preserve">and compliance </w:t>
      </w:r>
      <w:r w:rsidR="00E15A2A">
        <w:t xml:space="preserve">with </w:t>
      </w:r>
      <w:r w:rsidR="000B0593">
        <w:t>S</w:t>
      </w:r>
      <w:r w:rsidR="00E15A2A">
        <w:t>tandards</w:t>
      </w:r>
      <w:r w:rsidR="009F5978">
        <w:t xml:space="preserve"> under the SDA</w:t>
      </w:r>
      <w:r w:rsidR="00E15A2A">
        <w:t xml:space="preserve"> are</w:t>
      </w:r>
      <w:r w:rsidR="00F42EFF">
        <w:t xml:space="preserve"> hampered by </w:t>
      </w:r>
      <w:r w:rsidR="004243A1">
        <w:t xml:space="preserve">a </w:t>
      </w:r>
      <w:r w:rsidR="002F2EB2" w:rsidRPr="004739E9">
        <w:t>lack of awareness</w:t>
      </w:r>
      <w:r w:rsidR="004243A1">
        <w:t xml:space="preserve">, </w:t>
      </w:r>
      <w:r w:rsidR="002F2EB2" w:rsidRPr="004739E9">
        <w:t>training</w:t>
      </w:r>
      <w:r w:rsidR="004243A1">
        <w:t>,</w:t>
      </w:r>
      <w:r w:rsidR="002F2EB2" w:rsidRPr="004739E9">
        <w:t xml:space="preserve"> </w:t>
      </w:r>
      <w:r w:rsidR="00AD0C9A" w:rsidRPr="004739E9">
        <w:t xml:space="preserve">and a failure of duty holders to recognise the </w:t>
      </w:r>
      <w:r w:rsidR="005472CA">
        <w:t xml:space="preserve">positive duty </w:t>
      </w:r>
      <w:r w:rsidR="00AD0C9A" w:rsidRPr="004739E9">
        <w:t>requirement as a cultural change rather than a tick box exercise.</w:t>
      </w:r>
      <w:r w:rsidR="002A414B">
        <w:rPr>
          <w:rStyle w:val="FootnoteReference"/>
          <w:rFonts w:eastAsia="MS Mincho"/>
          <w:lang w:eastAsia="ja-JP"/>
        </w:rPr>
        <w:footnoteReference w:id="25"/>
      </w:r>
    </w:p>
    <w:p w14:paraId="4F3DCCCA" w14:textId="08200ECB" w:rsidR="001D1131" w:rsidRPr="00172DF3" w:rsidRDefault="00152F36" w:rsidP="006D1DEA">
      <w:pPr>
        <w:pStyle w:val="ListParagraph"/>
        <w:numPr>
          <w:ilvl w:val="0"/>
          <w:numId w:val="11"/>
        </w:numPr>
        <w:rPr>
          <w:i/>
          <w:iCs/>
        </w:rPr>
      </w:pPr>
      <w:r>
        <w:t xml:space="preserve">Introduction of a positive duty in the DDA must be accompanied by effective mechanism to </w:t>
      </w:r>
      <w:r w:rsidR="005C4DB2">
        <w:t xml:space="preserve">ensure duty holders, and the broader community, fully understand </w:t>
      </w:r>
      <w:r w:rsidR="000A5AD8">
        <w:t xml:space="preserve">and </w:t>
      </w:r>
      <w:r w:rsidR="008D7573">
        <w:t xml:space="preserve">are compelled to </w:t>
      </w:r>
      <w:r w:rsidR="000A5AD8">
        <w:t xml:space="preserve">take action to meet their </w:t>
      </w:r>
      <w:r w:rsidR="005C4DB2">
        <w:t xml:space="preserve">obligations. </w:t>
      </w:r>
      <w:r w:rsidR="00EF0CC5" w:rsidRPr="00172DF3">
        <w:rPr>
          <w:szCs w:val="24"/>
        </w:rPr>
        <w:t xml:space="preserve"> </w:t>
      </w:r>
      <w:r w:rsidR="002E2956" w:rsidRPr="00172DF3">
        <w:rPr>
          <w:szCs w:val="24"/>
        </w:rPr>
        <w:t xml:space="preserve"> </w:t>
      </w:r>
    </w:p>
    <w:p w14:paraId="6E7DA980"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p w14:paraId="6D803419" w14:textId="77777777" w:rsidR="001D1131" w:rsidRDefault="001D1131" w:rsidP="001D1131">
      <w:pPr>
        <w:pStyle w:val="ListNumber"/>
        <w:numPr>
          <w:ilvl w:val="0"/>
          <w:numId w:val="0"/>
        </w:numPr>
        <w:ind w:left="360"/>
        <w:rPr>
          <w:rFonts w:ascii="Arial" w:hAnsi="Arial" w:cs="Arial"/>
          <w:sz w:val="24"/>
          <w:szCs w:val="24"/>
        </w:rPr>
      </w:pPr>
    </w:p>
    <w:p w14:paraId="5C678107" w14:textId="1CF08B39" w:rsidR="008C089B" w:rsidRDefault="008C089B" w:rsidP="00207938">
      <w:pPr>
        <w:pStyle w:val="ListNumber"/>
        <w:numPr>
          <w:ilvl w:val="0"/>
          <w:numId w:val="0"/>
        </w:numPr>
        <w:rPr>
          <w:rFonts w:ascii="Arial" w:hAnsi="Arial" w:cs="Arial"/>
          <w:sz w:val="24"/>
          <w:szCs w:val="24"/>
        </w:rPr>
      </w:pPr>
      <w:r>
        <w:rPr>
          <w:rFonts w:ascii="Arial" w:hAnsi="Arial" w:cs="Arial"/>
          <w:sz w:val="24"/>
          <w:szCs w:val="24"/>
        </w:rPr>
        <w:t>No further comment.</w:t>
      </w:r>
    </w:p>
    <w:p w14:paraId="12D8E587" w14:textId="77777777" w:rsidR="001D1131" w:rsidRDefault="001D1131" w:rsidP="001D1131">
      <w:pPr>
        <w:pStyle w:val="ListNumber"/>
        <w:numPr>
          <w:ilvl w:val="0"/>
          <w:numId w:val="0"/>
        </w:numPr>
        <w:ind w:left="360"/>
        <w:rPr>
          <w:rFonts w:ascii="Arial" w:hAnsi="Arial" w:cs="Arial"/>
          <w:sz w:val="24"/>
          <w:szCs w:val="24"/>
        </w:rPr>
      </w:pPr>
    </w:p>
    <w:p w14:paraId="25EA19D3"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Should there be exceptions or limits to the application of a positive duty?</w:t>
      </w:r>
    </w:p>
    <w:p w14:paraId="5FBA32D3" w14:textId="77777777" w:rsidR="00A63B9C" w:rsidRDefault="001D1131" w:rsidP="00207938">
      <w:pPr>
        <w:ind w:left="360" w:hanging="360"/>
      </w:pPr>
      <w:r w:rsidRPr="00A63B9C">
        <w:rPr>
          <w:szCs w:val="24"/>
        </w:rPr>
        <w:t>No.</w:t>
      </w:r>
      <w:r w:rsidR="00CA5D2C" w:rsidRPr="00A63B9C">
        <w:rPr>
          <w:szCs w:val="24"/>
        </w:rPr>
        <w:t xml:space="preserve"> </w:t>
      </w:r>
      <w:r w:rsidR="00A63B9C">
        <w:t xml:space="preserve">Exceptions could create loopholes allowing systemic discrimination to persist. </w:t>
      </w:r>
    </w:p>
    <w:p w14:paraId="7A869D3C" w14:textId="5AD7BAC6" w:rsidR="001D1131" w:rsidRDefault="00854176" w:rsidP="006D1DEA">
      <w:pPr>
        <w:pStyle w:val="ListParagraph"/>
        <w:numPr>
          <w:ilvl w:val="0"/>
          <w:numId w:val="7"/>
        </w:numPr>
      </w:pPr>
      <w:r>
        <w:t>BCA</w:t>
      </w:r>
      <w:r w:rsidR="006E391A">
        <w:t xml:space="preserve"> members reported </w:t>
      </w:r>
      <w:r>
        <w:t xml:space="preserve">that a </w:t>
      </w:r>
      <w:r w:rsidR="008422EB">
        <w:t xml:space="preserve">defence </w:t>
      </w:r>
      <w:r w:rsidR="001D1131">
        <w:t xml:space="preserve">for unjustifiable hardship can be exploited to avoid or cause delays in duty holders </w:t>
      </w:r>
      <w:r w:rsidR="00577BC0">
        <w:t>acting</w:t>
      </w:r>
      <w:r w:rsidR="001D1131">
        <w:t xml:space="preserve"> e.g</w:t>
      </w:r>
      <w:r w:rsidR="00A63B9C">
        <w:t>.</w:t>
      </w:r>
      <w:r w:rsidR="001D1131">
        <w:t xml:space="preserve"> </w:t>
      </w:r>
      <w:r w:rsidR="00241BC2">
        <w:t xml:space="preserve">blind or vision impaired students </w:t>
      </w:r>
      <w:r w:rsidR="00E457C6">
        <w:t>gaining</w:t>
      </w:r>
      <w:r w:rsidR="001D1131">
        <w:t xml:space="preserve"> access to</w:t>
      </w:r>
      <w:r w:rsidR="008C28ED">
        <w:t xml:space="preserve"> adjustments in</w:t>
      </w:r>
      <w:r w:rsidR="001D1131">
        <w:t xml:space="preserve"> education and employment. </w:t>
      </w:r>
    </w:p>
    <w:p w14:paraId="194AF23F" w14:textId="1B208CC2" w:rsidR="001D1131" w:rsidRDefault="001D1131" w:rsidP="006D1DEA">
      <w:pPr>
        <w:pStyle w:val="ListParagraph"/>
        <w:numPr>
          <w:ilvl w:val="0"/>
          <w:numId w:val="7"/>
        </w:numPr>
      </w:pPr>
      <w:r>
        <w:t xml:space="preserve">A strong positive duty without exceptions </w:t>
      </w:r>
      <w:r w:rsidR="00C07BBB">
        <w:t xml:space="preserve">supports </w:t>
      </w:r>
      <w:r>
        <w:t>intersectional inclusion, ensuring systemic change</w:t>
      </w:r>
      <w:r w:rsidR="00616496">
        <w:t>s</w:t>
      </w:r>
      <w:r>
        <w:t xml:space="preserve"> that account for overlapping barriers and preventing duty holders from </w:t>
      </w:r>
      <w:r w:rsidR="002B3D3E">
        <w:t>‘</w:t>
      </w:r>
      <w:r>
        <w:t>cherry picking</w:t>
      </w:r>
      <w:r w:rsidR="002B3D3E">
        <w:t xml:space="preserve">’ </w:t>
      </w:r>
      <w:r w:rsidR="00616496">
        <w:t>actions or groups to include</w:t>
      </w:r>
      <w:r>
        <w:t xml:space="preserve">. </w:t>
      </w:r>
    </w:p>
    <w:p w14:paraId="150E7393" w14:textId="63BE19A9" w:rsidR="001D1131" w:rsidRDefault="005D0C12" w:rsidP="007350B7">
      <w:pPr>
        <w:pStyle w:val="Heading2"/>
      </w:pPr>
      <w:bookmarkStart w:id="38" w:name="_Toc212204009"/>
      <w:r>
        <w:t>D</w:t>
      </w:r>
      <w:r w:rsidRPr="00CD7A7A">
        <w:t>uty to provide adjustments</w:t>
      </w:r>
      <w:bookmarkEnd w:id="38"/>
      <w:r w:rsidRPr="00CD7A7A">
        <w:t xml:space="preserve"> </w:t>
      </w:r>
    </w:p>
    <w:p w14:paraId="66749C40" w14:textId="77777777" w:rsidR="001D1131" w:rsidRPr="00C165F7" w:rsidRDefault="001D1131" w:rsidP="001D1131">
      <w:pPr>
        <w:pStyle w:val="ListNumber"/>
        <w:rPr>
          <w:rFonts w:ascii="Arial" w:hAnsi="Arial" w:cs="Arial"/>
          <w:b/>
          <w:bCs/>
          <w:sz w:val="24"/>
          <w:szCs w:val="24"/>
        </w:rPr>
      </w:pPr>
      <w:r w:rsidRPr="00C165F7">
        <w:rPr>
          <w:rFonts w:ascii="Arial" w:hAnsi="Arial" w:cs="Arial"/>
          <w:b/>
          <w:bCs/>
          <w:sz w:val="24"/>
          <w:szCs w:val="24"/>
        </w:rPr>
        <w:t>Would the creation of a stand</w:t>
      </w:r>
      <w:r w:rsidRPr="00C165F7">
        <w:rPr>
          <w:rFonts w:ascii="Cambria Math" w:hAnsi="Cambria Math" w:cs="Cambria Math"/>
          <w:b/>
          <w:bCs/>
          <w:sz w:val="24"/>
          <w:szCs w:val="24"/>
        </w:rPr>
        <w:t>‑</w:t>
      </w:r>
      <w:r w:rsidRPr="00C165F7">
        <w:rPr>
          <w:rFonts w:ascii="Arial" w:hAnsi="Arial" w:cs="Arial"/>
          <w:b/>
          <w:bCs/>
          <w:sz w:val="24"/>
          <w:szCs w:val="24"/>
        </w:rPr>
        <w:t>alone duty to provide adjustments better assist people with disability and duty holders to understand their rights and obligations?</w:t>
      </w:r>
    </w:p>
    <w:p w14:paraId="229B38E4" w14:textId="77777777" w:rsidR="001D1131" w:rsidRDefault="001D1131" w:rsidP="001D1131">
      <w:pPr>
        <w:pStyle w:val="ListNumber"/>
        <w:numPr>
          <w:ilvl w:val="0"/>
          <w:numId w:val="0"/>
        </w:numPr>
        <w:ind w:left="360" w:hanging="360"/>
        <w:rPr>
          <w:rFonts w:ascii="Arial" w:hAnsi="Arial" w:cs="Arial"/>
          <w:sz w:val="24"/>
          <w:szCs w:val="24"/>
        </w:rPr>
      </w:pPr>
    </w:p>
    <w:p w14:paraId="37E23D0C" w14:textId="147B526D" w:rsidR="001D1131" w:rsidRPr="00944577" w:rsidRDefault="001D1131" w:rsidP="00C165F7">
      <w:pPr>
        <w:pStyle w:val="ListNumber"/>
        <w:numPr>
          <w:ilvl w:val="0"/>
          <w:numId w:val="0"/>
        </w:numPr>
        <w:ind w:left="360"/>
        <w:rPr>
          <w:rFonts w:ascii="Arial" w:hAnsi="Arial" w:cs="Arial"/>
          <w:i/>
          <w:iCs/>
          <w:sz w:val="24"/>
          <w:szCs w:val="24"/>
        </w:rPr>
      </w:pPr>
      <w:r>
        <w:rPr>
          <w:rFonts w:ascii="Arial" w:hAnsi="Arial" w:cs="Arial"/>
          <w:sz w:val="24"/>
          <w:szCs w:val="24"/>
        </w:rPr>
        <w:t xml:space="preserve">Yes. </w:t>
      </w:r>
      <w:r w:rsidR="001020B0">
        <w:rPr>
          <w:rFonts w:ascii="Arial" w:hAnsi="Arial" w:cs="Arial"/>
          <w:sz w:val="24"/>
          <w:szCs w:val="24"/>
        </w:rPr>
        <w:t xml:space="preserve">Recommendation: </w:t>
      </w:r>
      <w:r>
        <w:rPr>
          <w:rFonts w:ascii="Arial" w:hAnsi="Arial" w:cs="Arial"/>
          <w:sz w:val="24"/>
          <w:szCs w:val="24"/>
        </w:rPr>
        <w:t>C</w:t>
      </w:r>
      <w:r w:rsidRPr="00774FF2">
        <w:rPr>
          <w:rFonts w:ascii="Arial" w:hAnsi="Arial" w:cs="Arial"/>
          <w:sz w:val="24"/>
          <w:szCs w:val="24"/>
        </w:rPr>
        <w:t>reate a ‘stand-alone duty to provide adjustments’ to make it unlawful for a duty holder to fail or refuse to make an adjustment unless making the adjustment would impose unjustifiable hardship</w:t>
      </w:r>
      <w:r>
        <w:rPr>
          <w:rFonts w:ascii="Arial" w:hAnsi="Arial" w:cs="Arial"/>
          <w:sz w:val="24"/>
          <w:szCs w:val="24"/>
        </w:rPr>
        <w:t>.</w:t>
      </w:r>
    </w:p>
    <w:p w14:paraId="35F96527" w14:textId="54B8F134" w:rsidR="00D81770" w:rsidRPr="009453FF" w:rsidRDefault="00D81770" w:rsidP="006D1DEA">
      <w:pPr>
        <w:pStyle w:val="ListParagraph"/>
      </w:pPr>
      <w:r>
        <w:t>Complex</w:t>
      </w:r>
      <w:r w:rsidRPr="009453FF">
        <w:t xml:space="preserve"> interpretation and legal decisions </w:t>
      </w:r>
      <w:r w:rsidR="00783ADA">
        <w:t xml:space="preserve">have </w:t>
      </w:r>
      <w:r w:rsidRPr="009453FF">
        <w:t xml:space="preserve">fundamentally undermined the ability of the </w:t>
      </w:r>
      <w:r w:rsidRPr="009453FF">
        <w:lastRenderedPageBreak/>
        <w:t>DDA to secure the provision of reasonable adjustments for Australians with disability</w:t>
      </w:r>
      <w:r w:rsidR="001020B0">
        <w:t>.</w:t>
      </w:r>
      <w:r w:rsidR="000A0F1D">
        <w:rPr>
          <w:rStyle w:val="FootnoteReference"/>
        </w:rPr>
        <w:footnoteReference w:id="26"/>
      </w:r>
    </w:p>
    <w:p w14:paraId="3B236D73" w14:textId="0FDDB65C" w:rsidR="001D1131" w:rsidRDefault="001D1131" w:rsidP="00CA6A56">
      <w:pPr>
        <w:pStyle w:val="ListParagraph"/>
        <w:spacing w:after="0"/>
      </w:pPr>
      <w:r w:rsidRPr="00F4033C">
        <w:t>A stand-alone duty to provide adjustments</w:t>
      </w:r>
      <w:r>
        <w:t xml:space="preserve"> (reactive and individual focused)</w:t>
      </w:r>
      <w:r w:rsidRPr="00F4033C">
        <w:t xml:space="preserve"> would operate to clarify the obligations on duty holders and provide a specific ground for people with disability to make a discrimination complaint if a duty holder fails or refuses to make such adjustments. </w:t>
      </w:r>
    </w:p>
    <w:p w14:paraId="5758EFC0" w14:textId="69A5CB68" w:rsidR="00EF194F" w:rsidRDefault="00DC6EB6" w:rsidP="00CA6A56">
      <w:pPr>
        <w:pStyle w:val="FirstDotPoint"/>
        <w:spacing w:after="0"/>
      </w:pPr>
      <w:r>
        <w:t>For example, t</w:t>
      </w:r>
      <w:r w:rsidR="0040010B">
        <w:t xml:space="preserve">ertiary education providers continue to struggle to provide adjustments for staff and students who are blind or vision impaired (e.g. timely provision of assistive technology and accessible </w:t>
      </w:r>
      <w:r w:rsidR="00B3748C">
        <w:t>course</w:t>
      </w:r>
      <w:r w:rsidR="0040010B">
        <w:t xml:space="preserve"> materials).</w:t>
      </w:r>
      <w:r w:rsidR="00C57C94">
        <w:t xml:space="preserve"> </w:t>
      </w:r>
      <w:r w:rsidR="00EF194F" w:rsidRPr="00C333E5">
        <w:t>A BCA member</w:t>
      </w:r>
      <w:r w:rsidR="0051379A">
        <w:t xml:space="preserve"> who is vision impaired and </w:t>
      </w:r>
      <w:r w:rsidR="00EF194F" w:rsidRPr="00C333E5">
        <w:t xml:space="preserve">employed by a </w:t>
      </w:r>
      <w:r w:rsidR="00AE4790" w:rsidRPr="00C333E5">
        <w:t>university</w:t>
      </w:r>
      <w:r w:rsidR="00EF194F" w:rsidRPr="00C333E5">
        <w:t xml:space="preserve"> recounted their experience of being denied adjustment on the ground</w:t>
      </w:r>
      <w:r w:rsidR="00EF194F">
        <w:t>s</w:t>
      </w:r>
      <w:r w:rsidR="00EF194F" w:rsidRPr="00C333E5">
        <w:t xml:space="preserve"> that the </w:t>
      </w:r>
      <w:r w:rsidR="00F07D24">
        <w:t xml:space="preserve">small </w:t>
      </w:r>
      <w:r w:rsidR="00EF194F" w:rsidRPr="00C333E5">
        <w:t>department in which they worked did not have sufficient budget</w:t>
      </w:r>
      <w:r w:rsidR="00EF194F">
        <w:t xml:space="preserve"> (unjustifiable hardship)</w:t>
      </w:r>
      <w:r w:rsidR="00EF194F" w:rsidRPr="00C333E5">
        <w:t xml:space="preserve"> and </w:t>
      </w:r>
      <w:r w:rsidR="00D143BD">
        <w:t xml:space="preserve">that the duty holder </w:t>
      </w:r>
      <w:r w:rsidR="00EF194F" w:rsidRPr="00C333E5">
        <w:t xml:space="preserve">failed to acknowledge the </w:t>
      </w:r>
      <w:r w:rsidR="00EF194F">
        <w:t xml:space="preserve">significant </w:t>
      </w:r>
      <w:r w:rsidR="00EF194F" w:rsidRPr="00C333E5">
        <w:t xml:space="preserve">financial resources </w:t>
      </w:r>
      <w:r w:rsidR="00EF194F">
        <w:t>of the organisation</w:t>
      </w:r>
      <w:r w:rsidR="000C0A32">
        <w:t xml:space="preserve"> as a whole</w:t>
      </w:r>
      <w:r w:rsidR="00EF194F">
        <w:t xml:space="preserve"> (i.e. </w:t>
      </w:r>
      <w:r w:rsidR="00EF194F" w:rsidRPr="00C333E5">
        <w:t xml:space="preserve">the </w:t>
      </w:r>
      <w:r w:rsidR="00AE4790">
        <w:t>u</w:t>
      </w:r>
      <w:r w:rsidR="00EF194F" w:rsidRPr="00C333E5">
        <w:t>niversity</w:t>
      </w:r>
      <w:r w:rsidR="00EF194F">
        <w:t>)</w:t>
      </w:r>
      <w:r w:rsidR="00EF194F" w:rsidRPr="00C333E5">
        <w:t xml:space="preserve">. </w:t>
      </w:r>
    </w:p>
    <w:p w14:paraId="4F1B8D13" w14:textId="2F9FAA92" w:rsidR="00C57C94" w:rsidRDefault="00C57C94" w:rsidP="006D1DEA">
      <w:pPr>
        <w:pStyle w:val="FirstDotPoint"/>
      </w:pPr>
      <w:r w:rsidRPr="00F4033C">
        <w:t>Th</w:t>
      </w:r>
      <w:r w:rsidR="00AC62A8">
        <w:t>e standalone</w:t>
      </w:r>
      <w:r w:rsidRPr="00F4033C">
        <w:t xml:space="preserve"> duty </w:t>
      </w:r>
      <w:r w:rsidR="00AC62A8">
        <w:t xml:space="preserve">for adjustment </w:t>
      </w:r>
      <w:r>
        <w:t xml:space="preserve">is complementary and </w:t>
      </w:r>
      <w:r w:rsidRPr="00F4033C">
        <w:t xml:space="preserve">can coexist with </w:t>
      </w:r>
      <w:r>
        <w:t xml:space="preserve">a </w:t>
      </w:r>
      <w:r w:rsidRPr="00F4033C">
        <w:t>positive duty</w:t>
      </w:r>
      <w:r>
        <w:t xml:space="preserve"> to prevent discrimination</w:t>
      </w:r>
      <w:r w:rsidRPr="00F4033C">
        <w:t xml:space="preserve"> </w:t>
      </w:r>
      <w:r>
        <w:t>(proactive and systemic).</w:t>
      </w:r>
    </w:p>
    <w:p w14:paraId="142793F8"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Should the scope of the duty to provide adjustments apply only to the existing areas of public life covered by the Disability Discrimination Act, or extend to other contexts?</w:t>
      </w:r>
    </w:p>
    <w:p w14:paraId="4D645641" w14:textId="77777777" w:rsidR="001D1131" w:rsidRDefault="001D1131" w:rsidP="001D1131">
      <w:pPr>
        <w:pStyle w:val="ListNumber"/>
        <w:numPr>
          <w:ilvl w:val="0"/>
          <w:numId w:val="0"/>
        </w:numPr>
        <w:ind w:left="360"/>
        <w:rPr>
          <w:rFonts w:ascii="Arial" w:hAnsi="Arial" w:cs="Arial"/>
          <w:sz w:val="24"/>
          <w:szCs w:val="24"/>
        </w:rPr>
      </w:pPr>
    </w:p>
    <w:p w14:paraId="610B170C" w14:textId="1F1D0B6F" w:rsidR="004A7B74" w:rsidRPr="00A23CE1" w:rsidRDefault="00A23CE1" w:rsidP="00E50ED0">
      <w:pPr>
        <w:pStyle w:val="ListNumber"/>
        <w:numPr>
          <w:ilvl w:val="0"/>
          <w:numId w:val="0"/>
        </w:numPr>
        <w:rPr>
          <w:rFonts w:ascii="Arial" w:hAnsi="Arial" w:cs="Arial"/>
          <w:sz w:val="24"/>
          <w:szCs w:val="24"/>
          <w:lang w:val="en-AU"/>
        </w:rPr>
      </w:pPr>
      <w:r w:rsidRPr="00A23CE1">
        <w:rPr>
          <w:rFonts w:ascii="Arial" w:hAnsi="Arial" w:cs="Arial"/>
          <w:sz w:val="24"/>
          <w:szCs w:val="24"/>
          <w:lang w:val="en-AU"/>
        </w:rPr>
        <w:t>No further comment.</w:t>
      </w:r>
    </w:p>
    <w:p w14:paraId="1564924F" w14:textId="3F1CC705" w:rsidR="001D1131" w:rsidRDefault="00DB0792" w:rsidP="001D1131">
      <w:pPr>
        <w:pStyle w:val="ListNumber"/>
        <w:numPr>
          <w:ilvl w:val="0"/>
          <w:numId w:val="0"/>
        </w:numPr>
        <w:ind w:left="360"/>
        <w:rPr>
          <w:rFonts w:ascii="Arial" w:hAnsi="Arial" w:cs="Arial"/>
          <w:sz w:val="24"/>
          <w:szCs w:val="24"/>
        </w:rPr>
      </w:pPr>
      <w:r>
        <w:rPr>
          <w:rFonts w:ascii="Arial" w:hAnsi="Arial" w:cs="Arial"/>
          <w:sz w:val="24"/>
          <w:szCs w:val="24"/>
        </w:rPr>
        <w:t xml:space="preserve"> </w:t>
      </w:r>
    </w:p>
    <w:p w14:paraId="4E4D92FA" w14:textId="77777777"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Would removing the word ‘reasonable’ from the term ‘reasonable adjustments’ to align the language with the legal effect create any unintended consequences?</w:t>
      </w:r>
    </w:p>
    <w:p w14:paraId="7EB303F2" w14:textId="30F08A21" w:rsidR="000C2537" w:rsidRDefault="000C2537" w:rsidP="006E54A8">
      <w:r>
        <w:t xml:space="preserve">Recommendation: </w:t>
      </w:r>
      <w:r w:rsidR="001C380E" w:rsidRPr="001F1C41">
        <w:t>Replace references to ‘reasonable adjustments’ with ‘adjustments</w:t>
      </w:r>
      <w:r w:rsidR="001C380E">
        <w:t>’</w:t>
      </w:r>
      <w:r w:rsidR="008D3A96">
        <w:t xml:space="preserve"> and p</w:t>
      </w:r>
      <w:r w:rsidR="001C380E">
        <w:t>rovide a clear definition</w:t>
      </w:r>
      <w:r w:rsidR="00342AF2">
        <w:t xml:space="preserve"> of adjustment</w:t>
      </w:r>
      <w:r w:rsidR="008D3A96">
        <w:t>.</w:t>
      </w:r>
      <w:r w:rsidR="00342AF2">
        <w:t xml:space="preserve"> </w:t>
      </w:r>
    </w:p>
    <w:p w14:paraId="5037203E" w14:textId="2A9A5B73" w:rsidR="006E54A8" w:rsidRDefault="006E54A8" w:rsidP="006D1DEA">
      <w:pPr>
        <w:pStyle w:val="ListParagraph"/>
      </w:pPr>
      <w:r w:rsidRPr="001F1C41">
        <w:t>Remove any misconception that a ‘reasonable adjustment’ is an adjustment that is both reasonable and does not cause unjustifiable hardship.</w:t>
      </w:r>
      <w:r w:rsidRPr="001A63C5">
        <w:t xml:space="preserve"> </w:t>
      </w:r>
      <w:r>
        <w:t xml:space="preserve">Application of the </w:t>
      </w:r>
      <w:r w:rsidRPr="008A2406">
        <w:t xml:space="preserve">unjustifiable hardship test </w:t>
      </w:r>
      <w:r>
        <w:t>should</w:t>
      </w:r>
      <w:r w:rsidRPr="008A2406">
        <w:t xml:space="preserve"> provide protection for any acts or omissions that would not be seen to be reasonable.</w:t>
      </w:r>
    </w:p>
    <w:p w14:paraId="0B70A951" w14:textId="74F50D67" w:rsidR="002769CD" w:rsidRDefault="002769CD" w:rsidP="006D1DEA">
      <w:pPr>
        <w:pStyle w:val="ListParagraph"/>
      </w:pPr>
      <w:r>
        <w:t xml:space="preserve">Clearly define what is meant by adjustment to avoid ambiguity. </w:t>
      </w:r>
    </w:p>
    <w:p w14:paraId="4C9CDF7D" w14:textId="77777777" w:rsidR="000B410A" w:rsidRPr="00D273A1" w:rsidRDefault="000B410A" w:rsidP="000B410A">
      <w:r>
        <w:t xml:space="preserve">Recommendation: </w:t>
      </w:r>
      <w:r w:rsidRPr="00D273A1">
        <w:t xml:space="preserve">Work with disability stakeholders to develop guidelines or standards that articulate what constitutes adjustment (including the breadth and depth of options available) and provide clarity on what constitutes unjustifiable hardship.   </w:t>
      </w:r>
    </w:p>
    <w:p w14:paraId="2E5AEC89" w14:textId="77777777" w:rsidR="001D1131" w:rsidRDefault="001D1131" w:rsidP="007350B7">
      <w:pPr>
        <w:pStyle w:val="Heading2"/>
      </w:pPr>
      <w:bookmarkStart w:id="39" w:name="_Toc212204010"/>
      <w:r>
        <w:lastRenderedPageBreak/>
        <w:t>Unjustifiable hardship</w:t>
      </w:r>
      <w:bookmarkEnd w:id="39"/>
      <w:r>
        <w:t xml:space="preserve"> </w:t>
      </w:r>
    </w:p>
    <w:p w14:paraId="71310029" w14:textId="4DD95A5D" w:rsidR="001D1131" w:rsidRPr="00C1637C" w:rsidRDefault="001D1131" w:rsidP="001D1131">
      <w:pPr>
        <w:pStyle w:val="ListNumber"/>
        <w:rPr>
          <w:rFonts w:ascii="Arial" w:hAnsi="Arial" w:cs="Arial"/>
          <w:b/>
          <w:bCs/>
          <w:sz w:val="24"/>
          <w:szCs w:val="24"/>
        </w:rPr>
      </w:pPr>
      <w:r w:rsidRPr="1D6A8C68">
        <w:rPr>
          <w:rFonts w:ascii="Arial" w:hAnsi="Arial" w:cs="Arial"/>
          <w:b/>
          <w:sz w:val="24"/>
          <w:szCs w:val="24"/>
        </w:rPr>
        <w:t>What is your preferred approach to achieving greater fairness and transparency in claims of unjustifiable hardship:</w:t>
      </w:r>
      <w:r>
        <w:br/>
      </w:r>
      <w:r w:rsidRPr="1D6A8C68">
        <w:rPr>
          <w:rFonts w:ascii="Arial" w:hAnsi="Arial" w:cs="Arial"/>
          <w:b/>
          <w:sz w:val="24"/>
          <w:szCs w:val="24"/>
        </w:rPr>
        <w:t xml:space="preserve">a. the </w:t>
      </w:r>
      <w:r w:rsidR="001B70CC" w:rsidRPr="1D6A8C68">
        <w:rPr>
          <w:rFonts w:ascii="Arial" w:hAnsi="Arial" w:cs="Arial"/>
          <w:b/>
          <w:sz w:val="24"/>
          <w:szCs w:val="24"/>
        </w:rPr>
        <w:t>DRC</w:t>
      </w:r>
      <w:r w:rsidRPr="1D6A8C68">
        <w:rPr>
          <w:rFonts w:ascii="Arial" w:hAnsi="Arial" w:cs="Arial"/>
          <w:b/>
          <w:sz w:val="24"/>
          <w:szCs w:val="24"/>
        </w:rPr>
        <w:t xml:space="preserve"> amendment as proposed</w:t>
      </w:r>
      <w:r>
        <w:br/>
      </w:r>
      <w:r w:rsidRPr="1D6A8C68">
        <w:rPr>
          <w:rFonts w:ascii="Arial" w:hAnsi="Arial" w:cs="Arial"/>
          <w:b/>
          <w:sz w:val="24"/>
          <w:szCs w:val="24"/>
        </w:rPr>
        <w:t>b. a new definition of unjustifiable hardship</w:t>
      </w:r>
      <w:r>
        <w:br/>
      </w:r>
      <w:r w:rsidRPr="1D6A8C68">
        <w:rPr>
          <w:rFonts w:ascii="Arial" w:hAnsi="Arial" w:cs="Arial"/>
          <w:b/>
          <w:sz w:val="24"/>
          <w:szCs w:val="24"/>
        </w:rPr>
        <w:t>c. other (please expand)</w:t>
      </w:r>
    </w:p>
    <w:p w14:paraId="6A556C48" w14:textId="2DF1B7E6" w:rsidR="009C7D5A" w:rsidRDefault="00BB185F" w:rsidP="005B6184">
      <w:r w:rsidRPr="00D273A1">
        <w:t>Option A.</w:t>
      </w:r>
      <w:r>
        <w:t xml:space="preserve"> </w:t>
      </w:r>
      <w:r w:rsidR="005B6184" w:rsidRPr="005B6184">
        <w:t>Adopt the DRC amendment to unjustifiable hardship as proposed.</w:t>
      </w:r>
    </w:p>
    <w:p w14:paraId="6E83FC62" w14:textId="2882688D" w:rsidR="005B6184" w:rsidRPr="002E5A02" w:rsidRDefault="001B70CC" w:rsidP="000B410A">
      <w:r w:rsidRPr="005B6184">
        <w:rPr>
          <w:szCs w:val="24"/>
        </w:rPr>
        <w:t xml:space="preserve">Recommendation: </w:t>
      </w:r>
      <w:r w:rsidR="005B6184" w:rsidRPr="002E5A02">
        <w:t>Achieve greater fairness and transparency in claims of unjustifiable hardship by requiring duty holders to consult with people with disability and explore all available alternative measures to eliminate or reduce hardship.</w:t>
      </w:r>
      <w:r w:rsidR="005B6184" w:rsidRPr="002E5A02">
        <w:tab/>
      </w:r>
    </w:p>
    <w:p w14:paraId="2DCA2908" w14:textId="110DBB77" w:rsidR="001B70CC" w:rsidRDefault="00E47E23" w:rsidP="000B410A">
      <w:pPr>
        <w:rPr>
          <w:szCs w:val="24"/>
        </w:rPr>
      </w:pPr>
      <w:r>
        <w:rPr>
          <w:szCs w:val="24"/>
        </w:rPr>
        <w:t xml:space="preserve">Recommendation: </w:t>
      </w:r>
      <w:r w:rsidR="001C6DE3">
        <w:rPr>
          <w:szCs w:val="24"/>
        </w:rPr>
        <w:t>Include p</w:t>
      </w:r>
      <w:r w:rsidR="001C6DE3" w:rsidRPr="009C7D5A">
        <w:rPr>
          <w:szCs w:val="24"/>
        </w:rPr>
        <w:t>rovision for the involvement of disability advocates and</w:t>
      </w:r>
      <w:r w:rsidR="00210592">
        <w:rPr>
          <w:szCs w:val="24"/>
        </w:rPr>
        <w:t xml:space="preserve"> representatives</w:t>
      </w:r>
      <w:r w:rsidR="001C6DE3" w:rsidRPr="009C7D5A">
        <w:rPr>
          <w:szCs w:val="24"/>
        </w:rPr>
        <w:t xml:space="preserve"> where desired by the person with disability</w:t>
      </w:r>
      <w:r w:rsidR="009C7D5A" w:rsidRPr="009C7D5A">
        <w:rPr>
          <w:szCs w:val="24"/>
        </w:rPr>
        <w:t xml:space="preserve"> to support participation in consultation processes.</w:t>
      </w:r>
    </w:p>
    <w:p w14:paraId="5DBF3F98" w14:textId="4BF0712E" w:rsidR="008A0A42" w:rsidRDefault="00261709" w:rsidP="006D1DEA">
      <w:pPr>
        <w:pStyle w:val="FirstDotPoint"/>
      </w:pPr>
      <w:r w:rsidRPr="000263B4">
        <w:t>BCA members report challenges in obtaining adjustments</w:t>
      </w:r>
      <w:r w:rsidR="00197761" w:rsidRPr="000263B4">
        <w:t xml:space="preserve">, particularly in education and employment settings, with </w:t>
      </w:r>
      <w:r w:rsidR="000E10D8" w:rsidRPr="000263B4">
        <w:t xml:space="preserve">duty holders </w:t>
      </w:r>
      <w:r w:rsidR="00197761" w:rsidRPr="000263B4">
        <w:t>denying adjustments and p</w:t>
      </w:r>
      <w:r w:rsidR="000E10D8" w:rsidRPr="000263B4">
        <w:t>lead</w:t>
      </w:r>
      <w:r w:rsidR="00197761" w:rsidRPr="000263B4">
        <w:t>ing</w:t>
      </w:r>
      <w:r w:rsidR="000E10D8" w:rsidRPr="000263B4">
        <w:t xml:space="preserve"> unjustifiable hardship </w:t>
      </w:r>
      <w:r w:rsidR="006F719E" w:rsidRPr="000263B4">
        <w:t>without any due process being undertaken</w:t>
      </w:r>
      <w:r w:rsidR="008A0A42">
        <w:t>.</w:t>
      </w:r>
    </w:p>
    <w:p w14:paraId="6B7735C3" w14:textId="230C03EE" w:rsidR="00D16450" w:rsidRPr="008A0A42" w:rsidRDefault="00D16450" w:rsidP="006D1DEA">
      <w:pPr>
        <w:pStyle w:val="FirstDotPoint"/>
        <w:rPr>
          <w:szCs w:val="24"/>
        </w:rPr>
      </w:pPr>
      <w:r w:rsidRPr="000263B4">
        <w:t>BCA agree</w:t>
      </w:r>
      <w:r w:rsidR="009C695C" w:rsidRPr="000263B4">
        <w:t>s</w:t>
      </w:r>
      <w:r w:rsidRPr="000263B4">
        <w:t xml:space="preserve"> with the </w:t>
      </w:r>
      <w:r w:rsidR="00AB4382" w:rsidRPr="000263B4">
        <w:t xml:space="preserve">two </w:t>
      </w:r>
      <w:r w:rsidRPr="000263B4">
        <w:t xml:space="preserve">additional factors </w:t>
      </w:r>
      <w:r w:rsidR="002B20C4" w:rsidRPr="000263B4">
        <w:t>to</w:t>
      </w:r>
      <w:r w:rsidRPr="000263B4">
        <w:t xml:space="preserve"> be </w:t>
      </w:r>
      <w:r w:rsidR="002B20C4" w:rsidRPr="000263B4">
        <w:t>considered</w:t>
      </w:r>
      <w:r w:rsidR="00FE0402" w:rsidRPr="000263B4">
        <w:t xml:space="preserve"> when deciding whether a specific</w:t>
      </w:r>
      <w:r w:rsidR="007B1E10" w:rsidRPr="000263B4">
        <w:t xml:space="preserve"> </w:t>
      </w:r>
      <w:r w:rsidR="00FE0402" w:rsidRPr="008A0A42">
        <w:rPr>
          <w:szCs w:val="24"/>
        </w:rPr>
        <w:t>adjustment would impose unjustifiable hardship</w:t>
      </w:r>
      <w:r w:rsidR="00564B5D" w:rsidRPr="008A0A42">
        <w:rPr>
          <w:szCs w:val="24"/>
        </w:rPr>
        <w:t>:</w:t>
      </w:r>
      <w:r w:rsidRPr="008A0A42">
        <w:rPr>
          <w:szCs w:val="24"/>
        </w:rPr>
        <w:t xml:space="preserve"> </w:t>
      </w:r>
    </w:p>
    <w:p w14:paraId="63EEAFF2" w14:textId="7529C03D" w:rsidR="004539CB" w:rsidRDefault="00087091" w:rsidP="006D1DEA">
      <w:pPr>
        <w:pStyle w:val="ListParagraph"/>
        <w:numPr>
          <w:ilvl w:val="0"/>
          <w:numId w:val="13"/>
        </w:numPr>
      </w:pPr>
      <w:r>
        <w:t>H</w:t>
      </w:r>
      <w:r w:rsidR="004539CB">
        <w:t>ow much</w:t>
      </w:r>
      <w:r w:rsidR="004539CB" w:rsidRPr="003356A0">
        <w:t xml:space="preserve"> </w:t>
      </w:r>
      <w:r w:rsidR="004539CB">
        <w:t>the</w:t>
      </w:r>
      <w:r w:rsidR="004539CB" w:rsidRPr="003356A0">
        <w:t xml:space="preserve"> person with disability</w:t>
      </w:r>
      <w:r w:rsidR="004539CB">
        <w:t xml:space="preserve"> has been consulted</w:t>
      </w:r>
      <w:r w:rsidR="00F04252">
        <w:t>.</w:t>
      </w:r>
    </w:p>
    <w:p w14:paraId="242816FF" w14:textId="77777777" w:rsidR="00AC5F74" w:rsidRDefault="00AC5F74" w:rsidP="001C6AB8">
      <w:pPr>
        <w:pStyle w:val="NormalText"/>
        <w:numPr>
          <w:ilvl w:val="0"/>
          <w:numId w:val="12"/>
        </w:numPr>
        <w:rPr>
          <w:b w:val="0"/>
          <w:bCs w:val="0"/>
        </w:rPr>
      </w:pPr>
      <w:r w:rsidRPr="00131F3B">
        <w:rPr>
          <w:b w:val="0"/>
          <w:bCs w:val="0"/>
        </w:rPr>
        <w:t>A person with disability is uniquely able to discuss how they may personally complete work or use adjustments to thrive in a prospective or current role.</w:t>
      </w:r>
      <w:r>
        <w:rPr>
          <w:b w:val="0"/>
          <w:bCs w:val="0"/>
        </w:rPr>
        <w:t xml:space="preserve"> </w:t>
      </w:r>
    </w:p>
    <w:p w14:paraId="5EE4B6AB" w14:textId="55A488FC" w:rsidR="001C6AB8" w:rsidRPr="00131F3B" w:rsidRDefault="00D16450" w:rsidP="001158EF">
      <w:pPr>
        <w:pStyle w:val="NormalText"/>
        <w:numPr>
          <w:ilvl w:val="0"/>
          <w:numId w:val="12"/>
        </w:numPr>
        <w:rPr>
          <w:b w:val="0"/>
          <w:bCs w:val="0"/>
        </w:rPr>
      </w:pPr>
      <w:r w:rsidRPr="00131F3B">
        <w:rPr>
          <w:b w:val="0"/>
          <w:bCs w:val="0"/>
        </w:rPr>
        <w:t>Mandat</w:t>
      </w:r>
      <w:r w:rsidR="00F6798F" w:rsidRPr="00131F3B">
        <w:rPr>
          <w:b w:val="0"/>
          <w:bCs w:val="0"/>
        </w:rPr>
        <w:t>ing</w:t>
      </w:r>
      <w:r w:rsidRPr="00131F3B">
        <w:rPr>
          <w:b w:val="0"/>
          <w:bCs w:val="0"/>
        </w:rPr>
        <w:t xml:space="preserve"> engagement between duty holders and people with disability and ensur</w:t>
      </w:r>
      <w:r w:rsidR="00F6798F" w:rsidRPr="00131F3B">
        <w:rPr>
          <w:b w:val="0"/>
          <w:bCs w:val="0"/>
        </w:rPr>
        <w:t>ing</w:t>
      </w:r>
      <w:r w:rsidRPr="00131F3B">
        <w:rPr>
          <w:b w:val="0"/>
          <w:bCs w:val="0"/>
        </w:rPr>
        <w:t xml:space="preserve"> that any decisions are informed by accurate advice about the person’s situation and the </w:t>
      </w:r>
      <w:r w:rsidR="00577BC0" w:rsidRPr="00131F3B">
        <w:rPr>
          <w:b w:val="0"/>
          <w:bCs w:val="0"/>
        </w:rPr>
        <w:t>adjustment</w:t>
      </w:r>
      <w:r w:rsidRPr="00131F3B">
        <w:rPr>
          <w:b w:val="0"/>
          <w:bCs w:val="0"/>
        </w:rPr>
        <w:t xml:space="preserve"> they may require</w:t>
      </w:r>
      <w:r w:rsidR="00F6798F" w:rsidRPr="00131F3B">
        <w:rPr>
          <w:b w:val="0"/>
          <w:bCs w:val="0"/>
        </w:rPr>
        <w:t xml:space="preserve"> </w:t>
      </w:r>
      <w:r w:rsidRPr="00131F3B">
        <w:rPr>
          <w:b w:val="0"/>
          <w:bCs w:val="0"/>
        </w:rPr>
        <w:t>aligns with international human rights obligations to make practical and effective adjustments and reduce perceptions of hardship through collaborative problem solving.</w:t>
      </w:r>
      <w:r w:rsidR="002A20BC" w:rsidRPr="00131F3B">
        <w:rPr>
          <w:b w:val="0"/>
          <w:bCs w:val="0"/>
        </w:rPr>
        <w:t xml:space="preserve"> </w:t>
      </w:r>
    </w:p>
    <w:p w14:paraId="3BEBC741" w14:textId="77777777" w:rsidR="00A962DD" w:rsidRDefault="001158EF" w:rsidP="001158EF">
      <w:pPr>
        <w:pStyle w:val="NormalText"/>
        <w:numPr>
          <w:ilvl w:val="0"/>
          <w:numId w:val="12"/>
        </w:numPr>
        <w:rPr>
          <w:b w:val="0"/>
          <w:bCs w:val="0"/>
        </w:rPr>
      </w:pPr>
      <w:r w:rsidRPr="001158EF">
        <w:rPr>
          <w:b w:val="0"/>
          <w:bCs w:val="0"/>
        </w:rPr>
        <w:t xml:space="preserve">It’s </w:t>
      </w:r>
      <w:r w:rsidR="009D61FC" w:rsidRPr="001158EF">
        <w:rPr>
          <w:b w:val="0"/>
          <w:bCs w:val="0"/>
        </w:rPr>
        <w:t xml:space="preserve">critical to ensure that people with disability are </w:t>
      </w:r>
      <w:r w:rsidR="00B23CBA" w:rsidRPr="001158EF">
        <w:rPr>
          <w:b w:val="0"/>
          <w:bCs w:val="0"/>
        </w:rPr>
        <w:t xml:space="preserve">well </w:t>
      </w:r>
      <w:r w:rsidR="009D61FC" w:rsidRPr="001158EF">
        <w:rPr>
          <w:b w:val="0"/>
          <w:bCs w:val="0"/>
        </w:rPr>
        <w:t>equipped and/or adequately supported to participate meaningfully in engagement and consultation processes</w:t>
      </w:r>
      <w:r w:rsidR="009369DD" w:rsidRPr="001158EF">
        <w:rPr>
          <w:b w:val="0"/>
          <w:bCs w:val="0"/>
        </w:rPr>
        <w:t>.</w:t>
      </w:r>
      <w:r w:rsidR="003E3F62" w:rsidRPr="001158EF">
        <w:rPr>
          <w:b w:val="0"/>
          <w:bCs w:val="0"/>
        </w:rPr>
        <w:t xml:space="preserve"> </w:t>
      </w:r>
      <w:r w:rsidR="00DD68DC" w:rsidRPr="001158EF">
        <w:rPr>
          <w:b w:val="0"/>
          <w:bCs w:val="0"/>
        </w:rPr>
        <w:t>A</w:t>
      </w:r>
      <w:r w:rsidR="00315BBD" w:rsidRPr="001158EF">
        <w:rPr>
          <w:b w:val="0"/>
          <w:bCs w:val="0"/>
        </w:rPr>
        <w:t xml:space="preserve"> person with disability should have the right to include </w:t>
      </w:r>
      <w:r w:rsidR="00DD68DC" w:rsidRPr="001158EF">
        <w:rPr>
          <w:b w:val="0"/>
          <w:bCs w:val="0"/>
        </w:rPr>
        <w:t xml:space="preserve">an </w:t>
      </w:r>
      <w:r w:rsidR="009D61FC" w:rsidRPr="001158EF">
        <w:rPr>
          <w:b w:val="0"/>
          <w:bCs w:val="0"/>
        </w:rPr>
        <w:t>advocate</w:t>
      </w:r>
      <w:r w:rsidR="00DD68DC" w:rsidRPr="001158EF">
        <w:rPr>
          <w:b w:val="0"/>
          <w:bCs w:val="0"/>
        </w:rPr>
        <w:t xml:space="preserve"> or </w:t>
      </w:r>
      <w:r w:rsidR="00210592" w:rsidRPr="001158EF">
        <w:rPr>
          <w:b w:val="0"/>
          <w:bCs w:val="0"/>
        </w:rPr>
        <w:t>representative</w:t>
      </w:r>
      <w:r w:rsidR="006F71FD" w:rsidRPr="001158EF">
        <w:rPr>
          <w:b w:val="0"/>
          <w:bCs w:val="0"/>
        </w:rPr>
        <w:t xml:space="preserve"> </w:t>
      </w:r>
      <w:r w:rsidR="00254643" w:rsidRPr="001158EF">
        <w:rPr>
          <w:b w:val="0"/>
          <w:bCs w:val="0"/>
        </w:rPr>
        <w:t>where desired</w:t>
      </w:r>
      <w:r w:rsidR="00DD68DC" w:rsidRPr="001158EF">
        <w:rPr>
          <w:b w:val="0"/>
          <w:bCs w:val="0"/>
        </w:rPr>
        <w:t xml:space="preserve"> in consultation and engagement processes</w:t>
      </w:r>
      <w:r w:rsidR="009D61FC" w:rsidRPr="001158EF">
        <w:rPr>
          <w:b w:val="0"/>
          <w:bCs w:val="0"/>
        </w:rPr>
        <w:t>.</w:t>
      </w:r>
      <w:r w:rsidR="00602323" w:rsidRPr="001158EF">
        <w:rPr>
          <w:b w:val="0"/>
          <w:bCs w:val="0"/>
        </w:rPr>
        <w:t xml:space="preserve"> </w:t>
      </w:r>
    </w:p>
    <w:p w14:paraId="300622F5" w14:textId="07A2EE35" w:rsidR="002A20BC" w:rsidRDefault="00E35D8C" w:rsidP="001158EF">
      <w:pPr>
        <w:pStyle w:val="NormalText"/>
        <w:numPr>
          <w:ilvl w:val="0"/>
          <w:numId w:val="12"/>
        </w:numPr>
        <w:rPr>
          <w:b w:val="0"/>
          <w:bCs w:val="0"/>
        </w:rPr>
      </w:pPr>
      <w:r w:rsidRPr="001158EF">
        <w:rPr>
          <w:b w:val="0"/>
          <w:bCs w:val="0"/>
        </w:rPr>
        <w:lastRenderedPageBreak/>
        <w:t>What constitutes c</w:t>
      </w:r>
      <w:r w:rsidR="009E04A3" w:rsidRPr="001158EF">
        <w:rPr>
          <w:b w:val="0"/>
          <w:bCs w:val="0"/>
        </w:rPr>
        <w:t xml:space="preserve">onsultation should be clearly defined. </w:t>
      </w:r>
      <w:r w:rsidR="007F6F73" w:rsidRPr="001158EF">
        <w:rPr>
          <w:b w:val="0"/>
          <w:bCs w:val="0"/>
        </w:rPr>
        <w:t xml:space="preserve">People with disability must </w:t>
      </w:r>
      <w:r w:rsidR="002A20BC" w:rsidRPr="001158EF">
        <w:rPr>
          <w:b w:val="0"/>
          <w:bCs w:val="0"/>
        </w:rPr>
        <w:t>not only</w:t>
      </w:r>
      <w:r w:rsidR="00864949" w:rsidRPr="001158EF">
        <w:rPr>
          <w:b w:val="0"/>
          <w:bCs w:val="0"/>
        </w:rPr>
        <w:t xml:space="preserve"> be</w:t>
      </w:r>
      <w:r w:rsidR="002A20BC" w:rsidRPr="001158EF">
        <w:rPr>
          <w:b w:val="0"/>
          <w:bCs w:val="0"/>
        </w:rPr>
        <w:t xml:space="preserve"> heard as a mere formality, </w:t>
      </w:r>
      <w:r w:rsidR="009E6EE8" w:rsidRPr="001158EF">
        <w:rPr>
          <w:b w:val="0"/>
          <w:bCs w:val="0"/>
        </w:rPr>
        <w:t xml:space="preserve">but their views </w:t>
      </w:r>
      <w:r w:rsidR="002A20BC" w:rsidRPr="001158EF">
        <w:rPr>
          <w:b w:val="0"/>
          <w:bCs w:val="0"/>
        </w:rPr>
        <w:t xml:space="preserve">given due weight and </w:t>
      </w:r>
      <w:r w:rsidR="00887C5C">
        <w:rPr>
          <w:b w:val="0"/>
          <w:bCs w:val="0"/>
        </w:rPr>
        <w:t>documented.</w:t>
      </w:r>
      <w:r w:rsidR="002A20BC" w:rsidRPr="001158EF">
        <w:rPr>
          <w:b w:val="0"/>
          <w:bCs w:val="0"/>
        </w:rPr>
        <w:t xml:space="preserve"> </w:t>
      </w:r>
    </w:p>
    <w:p w14:paraId="4D9B84D8" w14:textId="77777777" w:rsidR="00BC43C5" w:rsidRPr="001158EF" w:rsidRDefault="00BC43C5" w:rsidP="00BC43C5">
      <w:pPr>
        <w:pStyle w:val="NormalText"/>
        <w:ind w:left="1080"/>
        <w:rPr>
          <w:b w:val="0"/>
          <w:bCs w:val="0"/>
        </w:rPr>
      </w:pPr>
    </w:p>
    <w:p w14:paraId="4E96A18A" w14:textId="6F131142" w:rsidR="009F5F2B" w:rsidRDefault="00BA496A" w:rsidP="006D1DEA">
      <w:pPr>
        <w:pStyle w:val="FirstDotPoint"/>
        <w:numPr>
          <w:ilvl w:val="0"/>
          <w:numId w:val="13"/>
        </w:numPr>
      </w:pPr>
      <w:r>
        <w:rPr>
          <w:rStyle w:val="FirstDotPointChar"/>
        </w:rPr>
        <w:t>W</w:t>
      </w:r>
      <w:r w:rsidR="009F5F2B" w:rsidRPr="00BA496A">
        <w:rPr>
          <w:rStyle w:val="FirstDotPointChar"/>
        </w:rPr>
        <w:t>hat alternative options were available to remove or reduce hardship</w:t>
      </w:r>
      <w:r w:rsidR="009F5F2B" w:rsidRPr="003356A0">
        <w:t>.</w:t>
      </w:r>
      <w:r w:rsidR="009F5F2B">
        <w:t xml:space="preserve"> </w:t>
      </w:r>
    </w:p>
    <w:p w14:paraId="1F471B39" w14:textId="4273718B" w:rsidR="00BD74D9" w:rsidRPr="00A843C5" w:rsidRDefault="00BD74D9" w:rsidP="0087044F">
      <w:pPr>
        <w:pStyle w:val="NormalText"/>
        <w:numPr>
          <w:ilvl w:val="0"/>
          <w:numId w:val="12"/>
        </w:numPr>
        <w:rPr>
          <w:b w:val="0"/>
          <w:bCs w:val="0"/>
        </w:rPr>
      </w:pPr>
      <w:r w:rsidRPr="00A843C5">
        <w:rPr>
          <w:b w:val="0"/>
          <w:bCs w:val="0"/>
        </w:rPr>
        <w:t xml:space="preserve">People with disability currently bear the onus to disprove a hardship claim. </w:t>
      </w:r>
      <w:r w:rsidR="00D62454" w:rsidRPr="00A843C5">
        <w:rPr>
          <w:b w:val="0"/>
          <w:bCs w:val="0"/>
        </w:rPr>
        <w:t>This inclusion will help s</w:t>
      </w:r>
      <w:r w:rsidRPr="00A843C5">
        <w:rPr>
          <w:b w:val="0"/>
          <w:bCs w:val="0"/>
        </w:rPr>
        <w:t>hift the burden of proof for fairness to the respondent (duty holder) and enhance transparency and accountability</w:t>
      </w:r>
      <w:r w:rsidR="006E4CE1" w:rsidRPr="00A843C5">
        <w:rPr>
          <w:b w:val="0"/>
          <w:bCs w:val="0"/>
        </w:rPr>
        <w:t>.</w:t>
      </w:r>
      <w:r w:rsidRPr="00A843C5">
        <w:rPr>
          <w:b w:val="0"/>
          <w:bCs w:val="0"/>
        </w:rPr>
        <w:t xml:space="preserve"> </w:t>
      </w:r>
    </w:p>
    <w:p w14:paraId="7DBFAFB7" w14:textId="703E6A61" w:rsidR="00675AC0" w:rsidRDefault="00607A2D" w:rsidP="0087044F">
      <w:pPr>
        <w:pStyle w:val="NormalText"/>
        <w:numPr>
          <w:ilvl w:val="0"/>
          <w:numId w:val="12"/>
        </w:numPr>
        <w:rPr>
          <w:b w:val="0"/>
          <w:bCs w:val="0"/>
        </w:rPr>
      </w:pPr>
      <w:r w:rsidRPr="00A843C5">
        <w:rPr>
          <w:b w:val="0"/>
          <w:bCs w:val="0"/>
        </w:rPr>
        <w:t xml:space="preserve">It </w:t>
      </w:r>
      <w:r w:rsidR="00675AC0" w:rsidRPr="00A843C5">
        <w:rPr>
          <w:b w:val="0"/>
          <w:bCs w:val="0"/>
        </w:rPr>
        <w:t>should be explicitly stated that unjustifiable hardship does not include the fact that a respondent might be inconvenienced, and nor should expenditure of resources, in and of themselves constitute unjustifiable hardship.</w:t>
      </w:r>
    </w:p>
    <w:p w14:paraId="070D81EE" w14:textId="52D29ABD" w:rsidR="009E6761" w:rsidRPr="00F30F27" w:rsidRDefault="009E6761" w:rsidP="00593D08">
      <w:pPr>
        <w:pStyle w:val="IntenseQuote"/>
        <w:ind w:left="1080"/>
        <w:rPr>
          <w:b/>
          <w:bCs/>
        </w:rPr>
      </w:pPr>
      <w:r w:rsidRPr="00F30F27">
        <w:rPr>
          <w:b/>
          <w:bCs/>
        </w:rPr>
        <w:t>“The data shows that many businesses believe they are not set up for people with a vision impairment. They see full sight as a requirement to doing the job, as that’s how they do their jobs – but that’s not necessarily how the job has to be done.”</w:t>
      </w:r>
      <w:r w:rsidRPr="00F30F27">
        <w:rPr>
          <w:rStyle w:val="FootnoteReference"/>
          <w:b/>
          <w:bCs/>
        </w:rPr>
        <w:footnoteReference w:id="27"/>
      </w:r>
    </w:p>
    <w:p w14:paraId="640938E7" w14:textId="3EEBFBD0" w:rsidR="001D1131" w:rsidRDefault="00116366" w:rsidP="007350B7">
      <w:pPr>
        <w:pStyle w:val="Heading2"/>
      </w:pPr>
      <w:bookmarkStart w:id="40" w:name="_Toc212204011"/>
      <w:r>
        <w:t>Adjustments and i</w:t>
      </w:r>
      <w:r w:rsidR="001D1131">
        <w:t>nherent requirements</w:t>
      </w:r>
      <w:r>
        <w:t xml:space="preserve"> in employment</w:t>
      </w:r>
      <w:bookmarkEnd w:id="40"/>
    </w:p>
    <w:p w14:paraId="31EA5BE8"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What are your views on amending the Disability Discrimination Act to consider the nature and extent of any adjustments made and encourage consultation between prospective or current employers and prospective or current employees before making employment decisions?</w:t>
      </w:r>
    </w:p>
    <w:p w14:paraId="02723E63" w14:textId="0985A60B" w:rsidR="005C29C9" w:rsidRDefault="00F03983" w:rsidP="005C29C9">
      <w:r>
        <w:t xml:space="preserve">Recommendation: </w:t>
      </w:r>
      <w:r w:rsidR="00C22349">
        <w:t>E</w:t>
      </w:r>
      <w:r w:rsidR="006C2A2A" w:rsidRPr="006C2A2A">
        <w:t xml:space="preserve">xpand the factors considered by employers when determining if an employee can carry out the inherent requirements of </w:t>
      </w:r>
      <w:r w:rsidR="00A34914">
        <w:t>a job role</w:t>
      </w:r>
      <w:r w:rsidR="005C29C9">
        <w:t>.</w:t>
      </w:r>
      <w:r w:rsidR="003634D3">
        <w:t xml:space="preserve"> </w:t>
      </w:r>
    </w:p>
    <w:p w14:paraId="35AF15F4" w14:textId="77777777" w:rsidR="00961063" w:rsidRPr="00A8551C" w:rsidRDefault="00961063" w:rsidP="006D1DEA">
      <w:pPr>
        <w:pStyle w:val="FirstDotPoint"/>
      </w:pPr>
      <w:r w:rsidRPr="00A8551C">
        <w:t xml:space="preserve">The institutional systematic barriers to employment for people who are blind or vision impaired remain unacceptably high. In 2021, a survey of 1,000 employers revealed that 92% of people involved in recruitment had concerns about hiring someone who was blind or vision impaired and 83% of Australian businesses lack confidence in hiring someone with a vision impairment. Only 30% of businesses in Australia are willing to adapt the job requirements to suit a person </w:t>
      </w:r>
      <w:r w:rsidRPr="00A8551C">
        <w:lastRenderedPageBreak/>
        <w:t>who is qualified for the role but has a vision impairment.</w:t>
      </w:r>
      <w:r w:rsidRPr="00B53C4E">
        <w:rPr>
          <w:rStyle w:val="FootnoteReference"/>
        </w:rPr>
        <w:footnoteReference w:id="28"/>
      </w:r>
      <w:r w:rsidRPr="00A8551C">
        <w:t xml:space="preserve"> </w:t>
      </w:r>
    </w:p>
    <w:p w14:paraId="18E9EF76" w14:textId="63D7927B" w:rsidR="00961063" w:rsidRPr="00A8551C" w:rsidRDefault="00961063" w:rsidP="006D1DEA">
      <w:pPr>
        <w:pStyle w:val="FirstDotPoint"/>
      </w:pPr>
      <w:r w:rsidRPr="00A8551C">
        <w:t xml:space="preserve">Employer misconceptions, negative attitudes, stereotypes, and systems and processes that are inaccessible prevent people who are blind or vision impaired from obtaining or retaining employment even when adjustments could enable them to perform the work effectively. </w:t>
      </w:r>
    </w:p>
    <w:p w14:paraId="1680A3A7" w14:textId="1A0FF396" w:rsidR="001678ED" w:rsidRDefault="001678ED" w:rsidP="006D1DEA">
      <w:pPr>
        <w:pStyle w:val="FirstDotPoint"/>
      </w:pPr>
      <w:r w:rsidRPr="00A8551C">
        <w:t>The lack of clarity around inherent requirements can discourage people with disability from applying for roles. Inherent requirements should clearly provide a reason as to why something must be done in a certain way and demonstrate why the requirement exists. For example</w:t>
      </w:r>
      <w:r>
        <w:t>,</w:t>
      </w:r>
      <w:r w:rsidRPr="00A8551C">
        <w:t xml:space="preserve"> the requirement to have a truck driver’s license can be substantiated if the vacancy is for a truck driver’s role. </w:t>
      </w:r>
      <w:r w:rsidR="0056494B">
        <w:t xml:space="preserve">However, a </w:t>
      </w:r>
      <w:r w:rsidR="0056494B" w:rsidRPr="00A8551C">
        <w:t xml:space="preserve">default job requirement for applicants to have a driver’s license overlooks the fact that for many roles, adjustment for other transport options is available and can be effectively utilised by people </w:t>
      </w:r>
      <w:r w:rsidR="00971561">
        <w:t xml:space="preserve">with disability who </w:t>
      </w:r>
      <w:r w:rsidR="003F6326">
        <w:t xml:space="preserve">may not </w:t>
      </w:r>
      <w:r w:rsidR="00971561">
        <w:t xml:space="preserve">have a license. </w:t>
      </w:r>
    </w:p>
    <w:p w14:paraId="60948172" w14:textId="77777777" w:rsidR="001678ED" w:rsidRDefault="001678ED" w:rsidP="006D1DEA">
      <w:pPr>
        <w:pStyle w:val="FirstDotPoint"/>
      </w:pPr>
      <w:r w:rsidRPr="00A8551C">
        <w:t xml:space="preserve">BCA agrees that creation of clear guidelines articulating the factors that might be considered when identifying inherent requirements could offer a practical and effective approach to support duty holders. </w:t>
      </w:r>
    </w:p>
    <w:p w14:paraId="1EEF01B3" w14:textId="77777777" w:rsidR="00314BE8" w:rsidRDefault="000A108A" w:rsidP="006D1DEA">
      <w:pPr>
        <w:pStyle w:val="FirstDotPoint"/>
      </w:pPr>
      <w:r w:rsidRPr="00A8551C">
        <w:t xml:space="preserve">A person with disability is uniquely able to discuss how they may personally complete work or use adjustments to thrive in a prospective or current role. Consultation before making employment decisions </w:t>
      </w:r>
      <w:r w:rsidR="00671868">
        <w:t xml:space="preserve">is key </w:t>
      </w:r>
      <w:r w:rsidRPr="00A8551C">
        <w:t xml:space="preserve">to avoid assumptions being made about core duties and adjustments. </w:t>
      </w:r>
    </w:p>
    <w:p w14:paraId="52414E9A" w14:textId="5615D73C" w:rsidR="00726AB6" w:rsidRPr="00A8551C" w:rsidRDefault="00282236" w:rsidP="006D1DEA">
      <w:pPr>
        <w:pStyle w:val="FirstDotPoint"/>
      </w:pPr>
      <w:r>
        <w:t>However, a</w:t>
      </w:r>
      <w:r w:rsidR="005C29C9" w:rsidRPr="00A8551C">
        <w:t xml:space="preserve">s noted in the Issues Paper, </w:t>
      </w:r>
      <w:r w:rsidR="00F74BD6" w:rsidRPr="00A8551C">
        <w:t>it must be recognised that s</w:t>
      </w:r>
      <w:r w:rsidR="00E26BD3" w:rsidRPr="00A8551C">
        <w:t>ome p</w:t>
      </w:r>
      <w:r w:rsidR="006D39F4" w:rsidRPr="00A8551C">
        <w:t>eople with disability will prefer not to disclose their disability either in the recruitment process or following appointment to the role. Amendments to the legislation should not unintentionally disadvantage a person with disability by creating a situation where an employer is permitted to discriminate because they “were not advised”</w:t>
      </w:r>
      <w:r w:rsidR="009E47BD" w:rsidRPr="00A8551C">
        <w:t>.</w:t>
      </w:r>
      <w:r w:rsidR="00F74BD6" w:rsidRPr="00A8551C">
        <w:t xml:space="preserve"> </w:t>
      </w:r>
    </w:p>
    <w:p w14:paraId="2EDCAE3B" w14:textId="3A6E2852" w:rsidR="007932B7" w:rsidRDefault="006D39F4" w:rsidP="006D1DEA">
      <w:pPr>
        <w:pStyle w:val="FirstDotPoint"/>
      </w:pPr>
      <w:r w:rsidRPr="00A8551C">
        <w:t xml:space="preserve">BCA </w:t>
      </w:r>
      <w:r w:rsidR="00314BE8">
        <w:t xml:space="preserve">often hears from members </w:t>
      </w:r>
      <w:r w:rsidRPr="00A8551C">
        <w:t xml:space="preserve">that disclosing a disability during </w:t>
      </w:r>
      <w:r w:rsidR="005F502D">
        <w:t xml:space="preserve">job </w:t>
      </w:r>
      <w:r w:rsidRPr="00A8551C">
        <w:t>applications leads to not securing interviews. Many applicants don’t disclose to avoid rejection, managing without adjustments, which can lead to underperformance or stress. Delays in installing necessary adjustments for people who are blind or vision impaired (e.g. screen readers, braille displays) can prevent employees from performing productively during initial employment periods, undermining job opportunities and reinforcing employer biases.</w:t>
      </w:r>
    </w:p>
    <w:p w14:paraId="7606475E" w14:textId="1F01794B" w:rsidR="003924A7" w:rsidRDefault="003924A7" w:rsidP="006D1DEA">
      <w:pPr>
        <w:pStyle w:val="FirstDotPoint"/>
      </w:pPr>
      <w:r w:rsidRPr="00AA1E9F">
        <w:t xml:space="preserve">Another factor that influences disclosure is lack of knowledge of the inherent requirements. </w:t>
      </w:r>
      <w:r w:rsidRPr="00AA1E9F">
        <w:lastRenderedPageBreak/>
        <w:t xml:space="preserve">People who are blind or </w:t>
      </w:r>
      <w:r w:rsidR="00A46078">
        <w:t>vision impaired</w:t>
      </w:r>
      <w:r w:rsidRPr="00AA1E9F">
        <w:t xml:space="preserve"> may not know what they will need by way of adjustments because prospective employers are not required to publicise the inherent requirements of a job</w:t>
      </w:r>
      <w:r w:rsidR="00A46078">
        <w:t>.</w:t>
      </w:r>
    </w:p>
    <w:p w14:paraId="1EC1E22C" w14:textId="77777777" w:rsidR="00A72CDE" w:rsidRPr="00F30F27" w:rsidRDefault="00A72CDE" w:rsidP="00A72CDE">
      <w:pPr>
        <w:pStyle w:val="IntenseQuote"/>
        <w:rPr>
          <w:b/>
          <w:bCs/>
        </w:rPr>
      </w:pPr>
      <w:r w:rsidRPr="00F30F27">
        <w:rPr>
          <w:b/>
          <w:bCs/>
        </w:rPr>
        <w:t>“My first experience of workplace harassment was directly attributable to my ‘unique qualities’ that are intrinsic to RP [Retinitis Pigmentosa]. Another incident occurred when I was transferred against my will to a work site that had no suitable access to public transport although it was common knowledge that I didn’t have a drivers’ licence."</w:t>
      </w:r>
      <w:r w:rsidRPr="00F30F27">
        <w:rPr>
          <w:rStyle w:val="FootnoteReference"/>
          <w:b/>
          <w:bCs/>
        </w:rPr>
        <w:footnoteReference w:id="29"/>
      </w:r>
    </w:p>
    <w:p w14:paraId="600CD250" w14:textId="381050E9" w:rsidR="00351560" w:rsidRPr="00C1637C" w:rsidRDefault="00351560" w:rsidP="00351560">
      <w:pPr>
        <w:pStyle w:val="ListNumber"/>
        <w:rPr>
          <w:rFonts w:ascii="Arial" w:hAnsi="Arial" w:cs="Arial"/>
          <w:b/>
          <w:bCs/>
          <w:sz w:val="24"/>
          <w:szCs w:val="24"/>
        </w:rPr>
      </w:pPr>
      <w:r w:rsidRPr="00C1637C">
        <w:rPr>
          <w:rFonts w:ascii="Arial" w:hAnsi="Arial" w:cs="Arial"/>
          <w:b/>
          <w:bCs/>
          <w:sz w:val="24"/>
          <w:szCs w:val="24"/>
        </w:rPr>
        <w:t>Are there other amendments to the Disability Discrimination Act that could support engagement between prospective or current employers and prospective or current employees to better understand the inherent requirements of a job?</w:t>
      </w:r>
    </w:p>
    <w:p w14:paraId="025582CB" w14:textId="77777777" w:rsidR="006B09ED" w:rsidRDefault="006B09ED" w:rsidP="006B09ED">
      <w:pPr>
        <w:pStyle w:val="ListNumber"/>
        <w:numPr>
          <w:ilvl w:val="0"/>
          <w:numId w:val="0"/>
        </w:numPr>
        <w:ind w:left="360" w:hanging="360"/>
        <w:rPr>
          <w:rFonts w:ascii="Arial" w:hAnsi="Arial" w:cs="Arial"/>
          <w:sz w:val="24"/>
          <w:szCs w:val="24"/>
        </w:rPr>
      </w:pPr>
    </w:p>
    <w:p w14:paraId="56149EC2" w14:textId="30B6C09E" w:rsidR="006B09ED" w:rsidRDefault="006D39F4" w:rsidP="006B09ED">
      <w:pPr>
        <w:pStyle w:val="ListNumber"/>
        <w:numPr>
          <w:ilvl w:val="0"/>
          <w:numId w:val="0"/>
        </w:numPr>
        <w:ind w:left="360" w:hanging="360"/>
        <w:rPr>
          <w:rFonts w:ascii="Arial" w:hAnsi="Arial" w:cs="Arial"/>
          <w:sz w:val="24"/>
          <w:szCs w:val="24"/>
        </w:rPr>
      </w:pPr>
      <w:r>
        <w:rPr>
          <w:rFonts w:ascii="Arial" w:hAnsi="Arial" w:cs="Arial"/>
          <w:sz w:val="24"/>
          <w:szCs w:val="24"/>
        </w:rPr>
        <w:t>No further comment</w:t>
      </w:r>
    </w:p>
    <w:p w14:paraId="4EF29114" w14:textId="0736B015" w:rsidR="00EC3F80" w:rsidRPr="00BB7400" w:rsidRDefault="00BB7400" w:rsidP="00BB7400">
      <w:pPr>
        <w:pStyle w:val="IntenseQuote"/>
        <w:rPr>
          <w:b/>
          <w:bCs/>
        </w:rPr>
      </w:pPr>
      <w:r w:rsidRPr="00BB7400">
        <w:rPr>
          <w:b/>
          <w:bCs/>
        </w:rPr>
        <w:t>“</w:t>
      </w:r>
      <w:r w:rsidR="00EC3F80" w:rsidRPr="00BB7400">
        <w:rPr>
          <w:b/>
          <w:bCs/>
        </w:rPr>
        <w:t>Protections around the recruitment of people with disability are a joke.</w:t>
      </w:r>
      <w:r w:rsidRPr="00BB7400">
        <w:rPr>
          <w:b/>
          <w:bCs/>
        </w:rPr>
        <w:t xml:space="preserve"> </w:t>
      </w:r>
      <w:r w:rsidR="00EC3F80" w:rsidRPr="00BB7400">
        <w:rPr>
          <w:b/>
          <w:bCs/>
        </w:rPr>
        <w:t>The employment of people with disability (especially those requiring adjustments) will not change until there is major reform.</w:t>
      </w:r>
      <w:r w:rsidRPr="00BB7400">
        <w:rPr>
          <w:b/>
          <w:bCs/>
        </w:rPr>
        <w:t>”</w:t>
      </w:r>
      <w:r w:rsidR="00D42E7D">
        <w:rPr>
          <w:rStyle w:val="FootnoteReference"/>
          <w:b/>
          <w:bCs/>
        </w:rPr>
        <w:footnoteReference w:id="30"/>
      </w:r>
    </w:p>
    <w:p w14:paraId="31EBD167" w14:textId="77777777" w:rsidR="00351560" w:rsidRPr="00C1637C" w:rsidRDefault="00351560" w:rsidP="00351560">
      <w:pPr>
        <w:pStyle w:val="ListNumber"/>
        <w:rPr>
          <w:rFonts w:ascii="Arial" w:hAnsi="Arial" w:cs="Arial"/>
          <w:b/>
          <w:bCs/>
          <w:sz w:val="24"/>
          <w:szCs w:val="24"/>
        </w:rPr>
      </w:pPr>
      <w:r w:rsidRPr="00C1637C">
        <w:rPr>
          <w:rFonts w:ascii="Arial" w:hAnsi="Arial" w:cs="Arial"/>
          <w:b/>
          <w:bCs/>
          <w:sz w:val="24"/>
          <w:szCs w:val="24"/>
        </w:rPr>
        <w:t>Should any other amendments be made to the definition of inherent requirements, including factors that should be considered when deciding whether a person could carry out the inherent requirements of a job?</w:t>
      </w:r>
    </w:p>
    <w:p w14:paraId="7DF34AC3" w14:textId="77777777" w:rsidR="00C77A3D" w:rsidRDefault="00C77A3D" w:rsidP="006D39F4">
      <w:pPr>
        <w:pStyle w:val="ListNumber"/>
        <w:numPr>
          <w:ilvl w:val="0"/>
          <w:numId w:val="0"/>
        </w:numPr>
        <w:ind w:left="360" w:hanging="360"/>
        <w:rPr>
          <w:rFonts w:ascii="Arial" w:hAnsi="Arial" w:cs="Arial"/>
          <w:sz w:val="24"/>
          <w:szCs w:val="24"/>
        </w:rPr>
      </w:pPr>
    </w:p>
    <w:p w14:paraId="4B0CCA16" w14:textId="3B3F141C" w:rsidR="006D39F4" w:rsidRPr="00CD7A7A" w:rsidRDefault="006D39F4" w:rsidP="006D39F4">
      <w:pPr>
        <w:pStyle w:val="ListNumber"/>
        <w:numPr>
          <w:ilvl w:val="0"/>
          <w:numId w:val="0"/>
        </w:numPr>
        <w:ind w:left="360" w:hanging="360"/>
        <w:rPr>
          <w:rFonts w:ascii="Arial" w:hAnsi="Arial" w:cs="Arial"/>
          <w:sz w:val="24"/>
          <w:szCs w:val="24"/>
        </w:rPr>
      </w:pPr>
      <w:r>
        <w:rPr>
          <w:rFonts w:ascii="Arial" w:hAnsi="Arial" w:cs="Arial"/>
          <w:sz w:val="24"/>
          <w:szCs w:val="24"/>
        </w:rPr>
        <w:t>No further comment</w:t>
      </w:r>
    </w:p>
    <w:p w14:paraId="6DF1B91F" w14:textId="64CA5279" w:rsidR="001D1131" w:rsidRDefault="001939CF" w:rsidP="007350B7">
      <w:pPr>
        <w:pStyle w:val="Heading2"/>
      </w:pPr>
      <w:bookmarkStart w:id="41" w:name="_Toc212204012"/>
      <w:r>
        <w:t>Volunteers and unpaid workers</w:t>
      </w:r>
      <w:bookmarkEnd w:id="41"/>
    </w:p>
    <w:p w14:paraId="55526606" w14:textId="6BCB6B1F" w:rsidR="00FB4D30" w:rsidRDefault="006405F5" w:rsidP="00C8048A">
      <w:r>
        <w:t>R</w:t>
      </w:r>
      <w:r w:rsidR="00FB4D30">
        <w:t xml:space="preserve">ecommendation: Ensure volunteers and unpaid workers are protected </w:t>
      </w:r>
      <w:r w:rsidR="0092223D">
        <w:t xml:space="preserve">from unlawful discrimination </w:t>
      </w:r>
      <w:r w:rsidR="00FB4D30">
        <w:t xml:space="preserve">in the </w:t>
      </w:r>
      <w:r w:rsidR="001B70CC">
        <w:t>Act</w:t>
      </w:r>
      <w:r>
        <w:t>.</w:t>
      </w:r>
      <w:r w:rsidR="00FB4D30">
        <w:t xml:space="preserve"> </w:t>
      </w:r>
    </w:p>
    <w:p w14:paraId="1F245799" w14:textId="10A838BC" w:rsidR="00071E9D" w:rsidRDefault="00EC6E99" w:rsidP="006D1DEA">
      <w:pPr>
        <w:pStyle w:val="ListParagraph"/>
      </w:pPr>
      <w:r w:rsidRPr="00EC6E99">
        <w:t xml:space="preserve">Volunteering can play an important role in the lives of people with disability, offering </w:t>
      </w:r>
      <w:r w:rsidRPr="00EC6E99">
        <w:lastRenderedPageBreak/>
        <w:t>opportunities for social, economic, and cultural inclusion</w:t>
      </w:r>
      <w:r>
        <w:t xml:space="preserve"> and m</w:t>
      </w:r>
      <w:r w:rsidR="005118DE" w:rsidRPr="009C78CC">
        <w:t>any people who are blind or vision impaired rely on volunteer work to build up the necessary skills and work experience to gain paid work.</w:t>
      </w:r>
      <w:r w:rsidR="005967D2">
        <w:rPr>
          <w:rStyle w:val="FootnoteReference"/>
        </w:rPr>
        <w:footnoteReference w:id="31"/>
      </w:r>
      <w:r w:rsidR="005118DE" w:rsidRPr="009C78CC">
        <w:t xml:space="preserve"> </w:t>
      </w:r>
    </w:p>
    <w:p w14:paraId="0EBD5ADF" w14:textId="735902A2" w:rsidR="005118DE" w:rsidRDefault="005118DE" w:rsidP="006D1DEA">
      <w:pPr>
        <w:pStyle w:val="ListParagraph"/>
      </w:pPr>
      <w:r w:rsidRPr="005F0D68">
        <w:t xml:space="preserve">BCA is </w:t>
      </w:r>
      <w:r w:rsidRPr="009C78CC">
        <w:t>aware of many instances where volunteering opportunities have been denied to a person who is blind or vision impaired due to perceived risks around occupational health and safety – despite research concluding that people with disability are significantly less likely to have a workplace accident</w:t>
      </w:r>
      <w:r w:rsidR="001C3C99">
        <w:rPr>
          <w:rStyle w:val="FootnoteReference"/>
        </w:rPr>
        <w:footnoteReference w:id="32"/>
      </w:r>
      <w:r w:rsidRPr="009C78CC">
        <w:t xml:space="preserve"> – or presumptions about how the volunteer will complete the tasks associated with a position.</w:t>
      </w:r>
      <w:r w:rsidR="00C76CE1">
        <w:rPr>
          <w:rStyle w:val="FootnoteReference"/>
        </w:rPr>
        <w:footnoteReference w:id="33"/>
      </w:r>
      <w:r w:rsidRPr="009C78CC">
        <w:t xml:space="preserve"> </w:t>
      </w:r>
    </w:p>
    <w:p w14:paraId="262B6FE5" w14:textId="52201DE2" w:rsidR="005F2DD6" w:rsidRPr="00DA5EAB" w:rsidRDefault="008023DE" w:rsidP="006D1DEA">
      <w:pPr>
        <w:pStyle w:val="ListParagraph"/>
      </w:pPr>
      <w:r>
        <w:t xml:space="preserve">The DDA does not use the term </w:t>
      </w:r>
      <w:r w:rsidR="00705E1F">
        <w:t>‘</w:t>
      </w:r>
      <w:r>
        <w:t>volunteer</w:t>
      </w:r>
      <w:r w:rsidR="00705E1F">
        <w:t>’</w:t>
      </w:r>
      <w:r>
        <w:t xml:space="preserve"> or clarify their status, leading to uncertainty. The Australian Law Reform Commission (2014)</w:t>
      </w:r>
      <w:r w:rsidR="00B45F19">
        <w:rPr>
          <w:rStyle w:val="FootnoteReference"/>
        </w:rPr>
        <w:footnoteReference w:id="34"/>
      </w:r>
      <w:r>
        <w:t xml:space="preserve"> noted this ambiguity, suggesting unpaid workers may fall outside employment protections.</w:t>
      </w:r>
      <w:r w:rsidR="005E4F20">
        <w:t xml:space="preserve"> </w:t>
      </w:r>
      <w:r w:rsidR="00845AF5">
        <w:t xml:space="preserve">This ambiguity </w:t>
      </w:r>
      <w:r w:rsidR="005F2DD6">
        <w:t>should be rectified.</w:t>
      </w:r>
    </w:p>
    <w:p w14:paraId="6D57BDD7" w14:textId="77777777" w:rsidR="001D1131" w:rsidRDefault="001D1131" w:rsidP="007350B7">
      <w:pPr>
        <w:pStyle w:val="Heading2"/>
      </w:pPr>
      <w:bookmarkStart w:id="42" w:name="_Toc212204013"/>
      <w:r>
        <w:t>Exclusions in educational institutions</w:t>
      </w:r>
      <w:bookmarkEnd w:id="42"/>
    </w:p>
    <w:p w14:paraId="5A1ACA61"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the concepts of exclusion and exclusionary discipline be defined in the Disability Discrimination Act?</w:t>
      </w:r>
    </w:p>
    <w:p w14:paraId="4210143B" w14:textId="7A129C36" w:rsidR="001D1131" w:rsidRDefault="001D1131" w:rsidP="001D1131">
      <w:pPr>
        <w:pStyle w:val="ListNumber"/>
        <w:numPr>
          <w:ilvl w:val="0"/>
          <w:numId w:val="0"/>
        </w:numPr>
        <w:ind w:left="360"/>
        <w:rPr>
          <w:rFonts w:ascii="Arial" w:hAnsi="Arial" w:cs="Arial"/>
          <w:sz w:val="24"/>
          <w:szCs w:val="24"/>
        </w:rPr>
      </w:pPr>
      <w:r>
        <w:rPr>
          <w:rFonts w:ascii="Arial" w:hAnsi="Arial" w:cs="Arial"/>
          <w:sz w:val="24"/>
          <w:szCs w:val="24"/>
        </w:rPr>
        <w:t xml:space="preserve">Yes. </w:t>
      </w:r>
      <w:r w:rsidR="000A20B7">
        <w:rPr>
          <w:rFonts w:ascii="Arial" w:hAnsi="Arial" w:cs="Arial"/>
          <w:sz w:val="24"/>
          <w:szCs w:val="24"/>
        </w:rPr>
        <w:t xml:space="preserve">Recommendation: </w:t>
      </w:r>
      <w:r>
        <w:rPr>
          <w:rFonts w:ascii="Arial" w:hAnsi="Arial" w:cs="Arial"/>
          <w:sz w:val="24"/>
          <w:szCs w:val="24"/>
        </w:rPr>
        <w:t>Define exclusion and exclusionary discipline and m</w:t>
      </w:r>
      <w:r w:rsidRPr="003B4A52">
        <w:rPr>
          <w:rFonts w:ascii="Arial" w:hAnsi="Arial" w:cs="Arial"/>
          <w:sz w:val="24"/>
          <w:szCs w:val="24"/>
        </w:rPr>
        <w:t>ak</w:t>
      </w:r>
      <w:r>
        <w:rPr>
          <w:rFonts w:ascii="Arial" w:hAnsi="Arial" w:cs="Arial"/>
          <w:sz w:val="24"/>
          <w:szCs w:val="24"/>
        </w:rPr>
        <w:t>e</w:t>
      </w:r>
      <w:r w:rsidRPr="003B4A52">
        <w:rPr>
          <w:rFonts w:ascii="Arial" w:hAnsi="Arial" w:cs="Arial"/>
          <w:sz w:val="24"/>
          <w:szCs w:val="24"/>
        </w:rPr>
        <w:t xml:space="preserve"> it explicitly unlawful to discriminate against a student on the grounds of their disability by suspending or excluding the student</w:t>
      </w:r>
      <w:r>
        <w:rPr>
          <w:rFonts w:ascii="Arial" w:hAnsi="Arial" w:cs="Arial"/>
          <w:sz w:val="24"/>
          <w:szCs w:val="24"/>
        </w:rPr>
        <w:t>.</w:t>
      </w:r>
    </w:p>
    <w:p w14:paraId="7F19E244" w14:textId="159445E0" w:rsidR="00385A00" w:rsidRDefault="00516843" w:rsidP="006D1DEA">
      <w:pPr>
        <w:pStyle w:val="ListParagraph"/>
      </w:pPr>
      <w:r>
        <w:t>Despite the DDA and Disability Standards for Education</w:t>
      </w:r>
      <w:r w:rsidR="00BC64F0">
        <w:t xml:space="preserve"> (DSE)</w:t>
      </w:r>
      <w:r>
        <w:t xml:space="preserve">, discrimination in education settings persists and significant </w:t>
      </w:r>
      <w:r w:rsidRPr="00B40361">
        <w:t>reforms</w:t>
      </w:r>
      <w:r>
        <w:t xml:space="preserve"> are</w:t>
      </w:r>
      <w:r w:rsidRPr="00B40361">
        <w:t xml:space="preserve"> </w:t>
      </w:r>
      <w:r>
        <w:t xml:space="preserve">still </w:t>
      </w:r>
      <w:r w:rsidRPr="00B40361">
        <w:t xml:space="preserve">required </w:t>
      </w:r>
      <w:r>
        <w:t xml:space="preserve">to achieve </w:t>
      </w:r>
      <w:r w:rsidRPr="00B40361">
        <w:t>inclusive education</w:t>
      </w:r>
      <w:r>
        <w:t>.</w:t>
      </w:r>
      <w:r w:rsidR="00385A00">
        <w:t xml:space="preserve"> </w:t>
      </w:r>
      <w:r w:rsidR="00385A00" w:rsidRPr="00254737">
        <w:t>CRPD states that students must not be excluded from education based on disability and should receive education on an equal basis to peers in their communities.</w:t>
      </w:r>
      <w:r w:rsidR="00385A00">
        <w:rPr>
          <w:rStyle w:val="FootnoteReference"/>
        </w:rPr>
        <w:footnoteReference w:id="35"/>
      </w:r>
      <w:r w:rsidR="00385A00">
        <w:t xml:space="preserve"> </w:t>
      </w:r>
    </w:p>
    <w:p w14:paraId="0DCD1948" w14:textId="6B43ED95" w:rsidR="00406E55" w:rsidRPr="005E2DF5" w:rsidRDefault="00406E55" w:rsidP="006D1DEA">
      <w:pPr>
        <w:pStyle w:val="ListParagraph"/>
      </w:pPr>
      <w:r w:rsidRPr="005E2DF5">
        <w:t>Suspensions and exclusions can</w:t>
      </w:r>
      <w:r w:rsidR="00AB1E69">
        <w:t xml:space="preserve"> increase disengagement and</w:t>
      </w:r>
      <w:r w:rsidRPr="005E2DF5">
        <w:t xml:space="preserve"> perpetuate stigma, labelling students as </w:t>
      </w:r>
      <w:r w:rsidR="00705E1F">
        <w:t>‘</w:t>
      </w:r>
      <w:r w:rsidRPr="005E2DF5">
        <w:t>problematic</w:t>
      </w:r>
      <w:r w:rsidR="00705E1F">
        <w:t>’</w:t>
      </w:r>
      <w:r w:rsidRPr="005E2DF5">
        <w:t xml:space="preserve"> when their challenges stem from systemic failures such as inaccessible environments</w:t>
      </w:r>
      <w:r w:rsidR="00BB1D51">
        <w:t xml:space="preserve">, or </w:t>
      </w:r>
      <w:r w:rsidR="00ED427C">
        <w:t xml:space="preserve">the student </w:t>
      </w:r>
      <w:r w:rsidR="00847855">
        <w:t>not being appropriately supported to fully participate alongside their peers</w:t>
      </w:r>
      <w:r w:rsidRPr="005E2DF5">
        <w:t>.</w:t>
      </w:r>
      <w:r w:rsidR="00044D61">
        <w:rPr>
          <w:rStyle w:val="FootnoteReference"/>
        </w:rPr>
        <w:footnoteReference w:id="36"/>
      </w:r>
    </w:p>
    <w:p w14:paraId="104F8F0A" w14:textId="72FA67BC" w:rsidR="00406E55" w:rsidRPr="005E2DF5" w:rsidRDefault="00406E55" w:rsidP="006D1DEA">
      <w:pPr>
        <w:pStyle w:val="ListParagraph"/>
      </w:pPr>
      <w:r w:rsidRPr="005E2DF5">
        <w:lastRenderedPageBreak/>
        <w:t xml:space="preserve">For students who are blind or vision impaired, barriers such as inaccessible textbooks, digital platforms, or lack of teacher training in assistive technology can lead to frustration, disengagement, or </w:t>
      </w:r>
      <w:r w:rsidR="00FB4223">
        <w:t>conduct</w:t>
      </w:r>
      <w:r w:rsidRPr="005E2DF5">
        <w:t xml:space="preserve"> misinterpreted as disruptive, resulting in disciplinary action. </w:t>
      </w:r>
    </w:p>
    <w:p w14:paraId="1A27D05E" w14:textId="77777777" w:rsidR="005736C7" w:rsidRPr="00385A00" w:rsidRDefault="005736C7" w:rsidP="006D1DEA">
      <w:pPr>
        <w:pStyle w:val="ListParagraph"/>
        <w:rPr>
          <w:b/>
          <w:bCs/>
        </w:rPr>
      </w:pPr>
      <w:r w:rsidRPr="00254737">
        <w:t>Reports by UNESCO indicate that children with disabilities are among the most excluded from education systems globally</w:t>
      </w:r>
      <w:r>
        <w:rPr>
          <w:rStyle w:val="FootnoteReference"/>
        </w:rPr>
        <w:footnoteReference w:id="37"/>
      </w:r>
      <w:r w:rsidRPr="00254737">
        <w:t xml:space="preserve"> and illiteracy is higher in children with visual impairments, multiple or mental disorders compared to children with motor disabilities</w:t>
      </w:r>
      <w:r w:rsidRPr="00254737">
        <w:rPr>
          <w:b/>
          <w:bCs/>
        </w:rPr>
        <w:t>.</w:t>
      </w:r>
      <w:r>
        <w:rPr>
          <w:rStyle w:val="FootnoteReference"/>
          <w:b/>
          <w:bCs/>
        </w:rPr>
        <w:footnoteReference w:id="38"/>
      </w:r>
      <w:r w:rsidRPr="00254737">
        <w:rPr>
          <w:b/>
          <w:bCs/>
        </w:rPr>
        <w:t xml:space="preserve"> </w:t>
      </w:r>
      <w:r w:rsidRPr="00254737">
        <w:t>The World Blind Union substantiates that children with visual disabilities are among the most excluded group from the education system.</w:t>
      </w:r>
      <w:r>
        <w:rPr>
          <w:rStyle w:val="FootnoteReference"/>
        </w:rPr>
        <w:footnoteReference w:id="39"/>
      </w:r>
    </w:p>
    <w:p w14:paraId="0F7BBEA2" w14:textId="32E02721" w:rsidR="004B5700" w:rsidRDefault="004B5700" w:rsidP="006D1DEA">
      <w:pPr>
        <w:pStyle w:val="ListParagraph"/>
      </w:pPr>
      <w:r w:rsidRPr="00254737">
        <w:t>Australian Institute of Health and Welfare figures reinforce the persistent gap in educational attainment between people with and without disability. As of 2018, only 34% of people aged 20 and over with disability had completed Year 12, compared to 66% of people without disability.</w:t>
      </w:r>
      <w:r w:rsidR="005523C8">
        <w:rPr>
          <w:rStyle w:val="FootnoteReference"/>
        </w:rPr>
        <w:footnoteReference w:id="40"/>
      </w:r>
    </w:p>
    <w:p w14:paraId="5F21BE60"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there be exceptions or limits on when exclusion is unlawful?</w:t>
      </w:r>
    </w:p>
    <w:p w14:paraId="79329CBE" w14:textId="71163F15" w:rsidR="002B59FA" w:rsidRPr="00E2566B" w:rsidRDefault="002B59FA" w:rsidP="00E2566B">
      <w:r w:rsidRPr="00E2566B">
        <w:t>No</w:t>
      </w:r>
      <w:r w:rsidR="009C1305">
        <w:t xml:space="preserve"> further comment.</w:t>
      </w:r>
      <w:r w:rsidRPr="00E2566B">
        <w:t xml:space="preserve"> </w:t>
      </w:r>
    </w:p>
    <w:p w14:paraId="07073119" w14:textId="77777777" w:rsidR="001D1131" w:rsidRDefault="001D1131" w:rsidP="001D1131">
      <w:pPr>
        <w:pStyle w:val="ListNumber"/>
        <w:numPr>
          <w:ilvl w:val="0"/>
          <w:numId w:val="0"/>
        </w:numPr>
        <w:ind w:left="360"/>
        <w:rPr>
          <w:rFonts w:ascii="Arial" w:hAnsi="Arial" w:cs="Arial"/>
          <w:sz w:val="24"/>
          <w:szCs w:val="24"/>
        </w:rPr>
      </w:pPr>
    </w:p>
    <w:p w14:paraId="39F3384A"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any of the state and territory provisions relating to exclusionary discipline be adopted in the Disability Discrimination Act?</w:t>
      </w:r>
    </w:p>
    <w:p w14:paraId="28D13744" w14:textId="77777777" w:rsidR="001D1131" w:rsidRDefault="001D1131" w:rsidP="001D1131">
      <w:pPr>
        <w:pStyle w:val="ListNumber"/>
        <w:numPr>
          <w:ilvl w:val="0"/>
          <w:numId w:val="0"/>
        </w:numPr>
        <w:ind w:left="360"/>
        <w:rPr>
          <w:rFonts w:ascii="Arial" w:hAnsi="Arial" w:cs="Arial"/>
          <w:sz w:val="24"/>
          <w:szCs w:val="24"/>
        </w:rPr>
      </w:pPr>
    </w:p>
    <w:p w14:paraId="1E4F3100" w14:textId="6144A5AC" w:rsidR="0057767A" w:rsidRDefault="0057767A" w:rsidP="0057767A">
      <w:pPr>
        <w:pStyle w:val="ListNumber"/>
        <w:numPr>
          <w:ilvl w:val="0"/>
          <w:numId w:val="0"/>
        </w:numPr>
        <w:ind w:left="360" w:hanging="360"/>
        <w:rPr>
          <w:rFonts w:ascii="Arial" w:hAnsi="Arial" w:cs="Arial"/>
          <w:sz w:val="24"/>
          <w:szCs w:val="24"/>
        </w:rPr>
      </w:pPr>
      <w:r>
        <w:rPr>
          <w:rFonts w:ascii="Arial" w:hAnsi="Arial" w:cs="Arial"/>
          <w:sz w:val="24"/>
          <w:szCs w:val="24"/>
        </w:rPr>
        <w:t>No further comment.</w:t>
      </w:r>
    </w:p>
    <w:p w14:paraId="26B0B713" w14:textId="77777777" w:rsidR="0057767A" w:rsidRDefault="0057767A" w:rsidP="001D1131">
      <w:pPr>
        <w:pStyle w:val="ListNumber"/>
        <w:numPr>
          <w:ilvl w:val="0"/>
          <w:numId w:val="0"/>
        </w:numPr>
        <w:ind w:left="360"/>
        <w:rPr>
          <w:rFonts w:ascii="Arial" w:hAnsi="Arial" w:cs="Arial"/>
          <w:sz w:val="24"/>
          <w:szCs w:val="24"/>
        </w:rPr>
      </w:pPr>
    </w:p>
    <w:p w14:paraId="7D41E326"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Would a different approach to exclusionary discipline be more appropriate in the higher education and vocational education and training sectors?</w:t>
      </w:r>
    </w:p>
    <w:p w14:paraId="062A915B" w14:textId="080B7974" w:rsidR="001E000E" w:rsidRPr="001E000E" w:rsidRDefault="00CA6811" w:rsidP="00D65DF5">
      <w:r>
        <w:t xml:space="preserve">Yes. </w:t>
      </w:r>
      <w:r w:rsidR="004F591D">
        <w:rPr>
          <w:lang w:val="en-US"/>
        </w:rPr>
        <w:t xml:space="preserve">Education for adults </w:t>
      </w:r>
      <w:r w:rsidR="002D764C">
        <w:rPr>
          <w:lang w:val="en-US"/>
        </w:rPr>
        <w:t xml:space="preserve">requires consideration of </w:t>
      </w:r>
      <w:r w:rsidR="00717CAB">
        <w:rPr>
          <w:lang w:val="en-US"/>
        </w:rPr>
        <w:t xml:space="preserve">professional </w:t>
      </w:r>
      <w:r w:rsidR="002D764C">
        <w:rPr>
          <w:lang w:val="en-US"/>
        </w:rPr>
        <w:t>education and safety standards</w:t>
      </w:r>
      <w:r w:rsidR="00230813">
        <w:rPr>
          <w:lang w:val="en-US"/>
        </w:rPr>
        <w:t xml:space="preserve"> </w:t>
      </w:r>
      <w:r w:rsidR="00230813">
        <w:t>and adult students face different barriers, career impacts and emotional distress from exclusions.</w:t>
      </w:r>
    </w:p>
    <w:p w14:paraId="077BC0F7" w14:textId="6CD1065E" w:rsidR="007302B9" w:rsidRDefault="000C163E" w:rsidP="006D1DEA">
      <w:pPr>
        <w:pStyle w:val="ListParagraph"/>
        <w:rPr>
          <w:rFonts w:ascii="Times New Roman" w:eastAsia="Times New Roman" w:hAnsi="Times New Roman" w:cs="Times New Roman"/>
          <w:szCs w:val="24"/>
        </w:rPr>
      </w:pPr>
      <w:r>
        <w:t>S</w:t>
      </w:r>
      <w:r w:rsidR="000A4042" w:rsidRPr="000A4042">
        <w:t xml:space="preserve">ystemic and wide-ranging barriers to education and employment </w:t>
      </w:r>
      <w:r w:rsidR="000A4042">
        <w:t xml:space="preserve">continue to be </w:t>
      </w:r>
      <w:r w:rsidR="000A4042" w:rsidRPr="000A4042">
        <w:t>experienced by people with disabilit</w:t>
      </w:r>
      <w:r w:rsidR="00A0019C">
        <w:t>y</w:t>
      </w:r>
      <w:r w:rsidR="000A4042">
        <w:t xml:space="preserve"> </w:t>
      </w:r>
      <w:r w:rsidR="000A4042" w:rsidRPr="000A4042">
        <w:t xml:space="preserve">in the </w:t>
      </w:r>
      <w:r>
        <w:t>higher education</w:t>
      </w:r>
      <w:r w:rsidR="000A4042" w:rsidRPr="000A4042">
        <w:t xml:space="preserve"> sector</w:t>
      </w:r>
      <w:r>
        <w:t>.</w:t>
      </w:r>
      <w:r w:rsidR="000A4042">
        <w:rPr>
          <w:rStyle w:val="FootnoteReference"/>
          <w:szCs w:val="24"/>
        </w:rPr>
        <w:footnoteReference w:id="41"/>
      </w:r>
    </w:p>
    <w:p w14:paraId="442F6BFD" w14:textId="6A4E9F00" w:rsidR="00B72368" w:rsidRDefault="007716A4" w:rsidP="006D1DEA">
      <w:pPr>
        <w:pStyle w:val="ListParagraph"/>
      </w:pPr>
      <w:r w:rsidRPr="007716A4">
        <w:t xml:space="preserve">For </w:t>
      </w:r>
      <w:r w:rsidR="000543FC">
        <w:t xml:space="preserve">students who are </w:t>
      </w:r>
      <w:r w:rsidRPr="007716A4">
        <w:t>blind</w:t>
      </w:r>
      <w:r w:rsidR="000543FC">
        <w:t xml:space="preserve"> or vision impaired, </w:t>
      </w:r>
      <w:r w:rsidR="00797AF5">
        <w:t>i</w:t>
      </w:r>
      <w:r w:rsidR="00797AF5" w:rsidRPr="007716A4">
        <w:t xml:space="preserve">nconsistent adjustment </w:t>
      </w:r>
      <w:r w:rsidR="00797AF5">
        <w:t xml:space="preserve">can </w:t>
      </w:r>
      <w:r w:rsidR="00797AF5" w:rsidRPr="007716A4">
        <w:t>lead to exclusion</w:t>
      </w:r>
      <w:r w:rsidR="00797AF5">
        <w:t xml:space="preserve"> </w:t>
      </w:r>
      <w:r w:rsidRPr="007716A4">
        <w:t xml:space="preserve">from practical </w:t>
      </w:r>
      <w:r w:rsidR="00577BC0" w:rsidRPr="007716A4">
        <w:t>courses</w:t>
      </w:r>
      <w:r w:rsidR="00A1136C">
        <w:t>.</w:t>
      </w:r>
      <w:r w:rsidR="0092604F">
        <w:t xml:space="preserve"> </w:t>
      </w:r>
      <w:r w:rsidR="00B72368">
        <w:t xml:space="preserve">BCA has previously raised concerns about universities not advising </w:t>
      </w:r>
      <w:r w:rsidR="00B72368">
        <w:lastRenderedPageBreak/>
        <w:t>students of inherent course requirements, leading to exclusions without adjustments for students.</w:t>
      </w:r>
      <w:r w:rsidR="00B72368" w:rsidRPr="008D1997">
        <w:rPr>
          <w:vertAlign w:val="superscript"/>
        </w:rPr>
        <w:footnoteReference w:id="42"/>
      </w:r>
    </w:p>
    <w:p w14:paraId="647418B5" w14:textId="4642EE17" w:rsidR="00A1136C" w:rsidRDefault="00BA2EAF" w:rsidP="006D1DEA">
      <w:pPr>
        <w:pStyle w:val="ListParagraph"/>
      </w:pPr>
      <w:r>
        <w:t xml:space="preserve">BCA recently advocated on behalf of a student studying massage therapy. </w:t>
      </w:r>
      <w:r w:rsidR="00D52B35">
        <w:t xml:space="preserve">The education institution insisted the student </w:t>
      </w:r>
      <w:r w:rsidR="005D5A49">
        <w:t xml:space="preserve">use </w:t>
      </w:r>
      <w:r w:rsidR="00171A55">
        <w:t xml:space="preserve">a </w:t>
      </w:r>
      <w:r w:rsidR="00D52B35">
        <w:t>support worker</w:t>
      </w:r>
      <w:r w:rsidR="00363A5C">
        <w:t xml:space="preserve"> (at a cost to the student)</w:t>
      </w:r>
      <w:r w:rsidR="00171A55">
        <w:t xml:space="preserve"> to an appointment with a massage client </w:t>
      </w:r>
      <w:r w:rsidR="006E0C18">
        <w:t>despite the student</w:t>
      </w:r>
      <w:r w:rsidR="000B435E">
        <w:t>’</w:t>
      </w:r>
      <w:r w:rsidR="00363A5C">
        <w:t xml:space="preserve">s objections that </w:t>
      </w:r>
      <w:r w:rsidR="00B61642">
        <w:t xml:space="preserve">a support worker was </w:t>
      </w:r>
      <w:r w:rsidR="00BE20D1">
        <w:t>not required</w:t>
      </w:r>
      <w:r w:rsidR="00B1368E">
        <w:t xml:space="preserve"> and no </w:t>
      </w:r>
      <w:r w:rsidR="00A1136C">
        <w:t xml:space="preserve">similar </w:t>
      </w:r>
      <w:r w:rsidR="00B1368E">
        <w:t xml:space="preserve">requirement </w:t>
      </w:r>
      <w:r w:rsidR="005D5A49">
        <w:t>was</w:t>
      </w:r>
      <w:r w:rsidR="00A1136C">
        <w:t xml:space="preserve"> </w:t>
      </w:r>
      <w:r w:rsidR="00B1368E">
        <w:t xml:space="preserve">applied to other </w:t>
      </w:r>
      <w:r w:rsidR="00A1136C">
        <w:t>students in the course</w:t>
      </w:r>
      <w:r w:rsidR="00BE20D1">
        <w:t>.</w:t>
      </w:r>
    </w:p>
    <w:p w14:paraId="22472695" w14:textId="59FE39E8" w:rsidR="00E44CF6" w:rsidRPr="002419BC" w:rsidRDefault="00FE5FB3" w:rsidP="006D1DEA">
      <w:pPr>
        <w:pStyle w:val="ListParagraph"/>
      </w:pPr>
      <w:r>
        <w:t>BCA</w:t>
      </w:r>
      <w:r w:rsidR="00B72368">
        <w:t xml:space="preserve"> also recently</w:t>
      </w:r>
      <w:r>
        <w:t xml:space="preserve"> provided advocacy support to a </w:t>
      </w:r>
      <w:r w:rsidR="009F1617" w:rsidRPr="002419BC">
        <w:t xml:space="preserve">vision impaired </w:t>
      </w:r>
      <w:r w:rsidR="00577BC0" w:rsidRPr="002419BC">
        <w:t>individual enrolled</w:t>
      </w:r>
      <w:r w:rsidR="009F1617" w:rsidRPr="002419BC">
        <w:t xml:space="preserve"> in a Bachelor of Science and Mechanical Engineering course</w:t>
      </w:r>
      <w:r w:rsidR="00F20D69">
        <w:t xml:space="preserve"> who was </w:t>
      </w:r>
      <w:r w:rsidR="00F27A9A">
        <w:t xml:space="preserve">excluded from participation without </w:t>
      </w:r>
      <w:r w:rsidR="00FD33DA">
        <w:t xml:space="preserve">adjustment to </w:t>
      </w:r>
      <w:r w:rsidR="006B6D00" w:rsidRPr="002419BC">
        <w:t>course material</w:t>
      </w:r>
      <w:r w:rsidR="002A4A5E" w:rsidRPr="002419BC">
        <w:t>s</w:t>
      </w:r>
      <w:r w:rsidR="006B6D00" w:rsidRPr="002419BC">
        <w:t xml:space="preserve"> and examination methods. </w:t>
      </w:r>
      <w:r w:rsidR="00112541" w:rsidRPr="002419BC">
        <w:t xml:space="preserve"> </w:t>
      </w:r>
    </w:p>
    <w:p w14:paraId="7E3A05B2" w14:textId="77777777" w:rsidR="001D1131" w:rsidRPr="00F95C0D" w:rsidRDefault="001D1131" w:rsidP="007350B7">
      <w:pPr>
        <w:pStyle w:val="Heading2"/>
      </w:pPr>
      <w:bookmarkStart w:id="43" w:name="_Toc212204014"/>
      <w:r>
        <w:t>Offensive behaviour, harassment and vilification</w:t>
      </w:r>
      <w:bookmarkEnd w:id="43"/>
      <w:r>
        <w:t xml:space="preserve"> </w:t>
      </w:r>
    </w:p>
    <w:p w14:paraId="12F984D6" w14:textId="77777777" w:rsidR="001D1131" w:rsidRPr="006379E9" w:rsidRDefault="001D1131" w:rsidP="001D1131">
      <w:pPr>
        <w:pStyle w:val="ListNumber"/>
        <w:rPr>
          <w:rFonts w:ascii="Arial" w:hAnsi="Arial" w:cs="Arial"/>
          <w:b/>
          <w:bCs/>
          <w:sz w:val="24"/>
          <w:szCs w:val="24"/>
        </w:rPr>
      </w:pPr>
      <w:r w:rsidRPr="006379E9">
        <w:rPr>
          <w:rFonts w:ascii="Arial" w:hAnsi="Arial" w:cs="Arial"/>
          <w:b/>
          <w:bCs/>
          <w:sz w:val="24"/>
          <w:szCs w:val="24"/>
        </w:rPr>
        <w:t>How could the Disability Discrimination Act be amended to protect people with disability from offensive behaviour and/or harassment?</w:t>
      </w:r>
    </w:p>
    <w:p w14:paraId="5E024F68" w14:textId="7630E3E5" w:rsidR="008E6B29" w:rsidRPr="008E6B29" w:rsidRDefault="00953011" w:rsidP="0012434A">
      <w:bookmarkStart w:id="44" w:name="_Toc208589116"/>
      <w:r>
        <w:t xml:space="preserve">Recommendation: </w:t>
      </w:r>
      <w:r w:rsidR="008E6B29" w:rsidRPr="008E6B29">
        <w:t>Make it illegal to harass, threaten, or spread hate about people with disability and extend these protections to online spaces (such as social media).</w:t>
      </w:r>
      <w:bookmarkEnd w:id="44"/>
    </w:p>
    <w:p w14:paraId="6C0952CB" w14:textId="4DB89B28" w:rsidR="000D7CDF" w:rsidRDefault="000D7CDF" w:rsidP="00185CAF">
      <w:pPr>
        <w:pStyle w:val="FirstDotPoint"/>
      </w:pPr>
      <w:r w:rsidRPr="003807AB">
        <w:t>Explicitly make it unlawful to vilify a person or group of people with disability on the ground of their disability or perceived disability</w:t>
      </w:r>
      <w:r w:rsidR="00901950" w:rsidRPr="003807AB">
        <w:t xml:space="preserve"> and </w:t>
      </w:r>
      <w:r w:rsidR="00680CA5" w:rsidRPr="003807AB">
        <w:t>strengthen provisions related to offensive behaviour.</w:t>
      </w:r>
      <w:r w:rsidRPr="003807AB">
        <w:t xml:space="preserve"> </w:t>
      </w:r>
      <w:r w:rsidR="008B3360">
        <w:t>M</w:t>
      </w:r>
      <w:r w:rsidR="00057EFC" w:rsidRPr="003807AB">
        <w:t xml:space="preserve">odel </w:t>
      </w:r>
      <w:r w:rsidR="004127E8" w:rsidRPr="003807AB">
        <w:t>s18C of the Racial Discrimination Act</w:t>
      </w:r>
      <w:r w:rsidR="00FE3331" w:rsidRPr="003807AB">
        <w:t xml:space="preserve"> and d</w:t>
      </w:r>
      <w:r w:rsidRPr="003807AB">
        <w:t>efine vilification to include behaviour that incites hatred or threatens violence toward a person or group of people with disability.</w:t>
      </w:r>
    </w:p>
    <w:p w14:paraId="2FBAB1FC" w14:textId="071CA1C6" w:rsidR="008B3360" w:rsidRDefault="008B3360" w:rsidP="006D1DEA">
      <w:pPr>
        <w:pStyle w:val="FirstDotPoint"/>
      </w:pPr>
      <w:r w:rsidRPr="00AA1E9F">
        <w:t xml:space="preserve">Given the extremely damaging impact that harassment and offensive behaviour can have on people with a disability, it is essential that an effective mechanism for expediting the resolution of DDA complaints in this area is implemented. A person who has experienced harassment or offensive behaviour should not have to wait 6-12 months for their complaint to be dealt </w:t>
      </w:r>
      <w:r w:rsidR="00916677" w:rsidRPr="00AA1E9F">
        <w:t>with and</w:t>
      </w:r>
      <w:r w:rsidRPr="00AA1E9F">
        <w:t xml:space="preserve"> endure a continuation of the discriminatory behaviour during this time.</w:t>
      </w:r>
    </w:p>
    <w:p w14:paraId="7CAF1A91" w14:textId="2DD1F3C0" w:rsidR="00001568" w:rsidRPr="003807AB" w:rsidRDefault="000D7CDF" w:rsidP="006D1DEA">
      <w:pPr>
        <w:pStyle w:val="FirstDotPoint"/>
      </w:pPr>
      <w:r w:rsidRPr="003807AB">
        <w:t xml:space="preserve">BCA recently heard a </w:t>
      </w:r>
      <w:r w:rsidR="00980B00" w:rsidRPr="003807AB">
        <w:t xml:space="preserve">very </w:t>
      </w:r>
      <w:r w:rsidRPr="003807AB">
        <w:t>distressing account from a member detailing a</w:t>
      </w:r>
      <w:r w:rsidR="00C85611" w:rsidRPr="003807AB">
        <w:t xml:space="preserve"> serious </w:t>
      </w:r>
      <w:r w:rsidRPr="003807AB">
        <w:t xml:space="preserve">assault from a stranger </w:t>
      </w:r>
      <w:r w:rsidR="00EF7322">
        <w:t xml:space="preserve">as they were exiting their vehicle </w:t>
      </w:r>
      <w:r w:rsidRPr="003807AB">
        <w:t>in an accessible parking bay</w:t>
      </w:r>
      <w:r w:rsidR="00980B00" w:rsidRPr="003807AB">
        <w:t>.</w:t>
      </w:r>
      <w:r w:rsidR="00C85611" w:rsidRPr="003807AB">
        <w:t xml:space="preserve"> </w:t>
      </w:r>
      <w:r w:rsidR="000251AD" w:rsidRPr="003807AB">
        <w:t xml:space="preserve">The member also </w:t>
      </w:r>
      <w:r w:rsidR="00B85380" w:rsidRPr="003807AB">
        <w:t>recalled</w:t>
      </w:r>
      <w:r w:rsidR="000251AD" w:rsidRPr="003807AB">
        <w:t xml:space="preserve"> </w:t>
      </w:r>
      <w:r w:rsidR="000B472B" w:rsidRPr="003807AB">
        <w:t>previous</w:t>
      </w:r>
      <w:r w:rsidRPr="003807AB">
        <w:t xml:space="preserve"> examples of </w:t>
      </w:r>
      <w:r w:rsidR="00241F26">
        <w:t xml:space="preserve">personal </w:t>
      </w:r>
      <w:r w:rsidRPr="003807AB">
        <w:t>harm</w:t>
      </w:r>
      <w:r w:rsidR="00B85380" w:rsidRPr="003807AB">
        <w:t>,</w:t>
      </w:r>
      <w:r w:rsidR="000B472B" w:rsidRPr="003807AB">
        <w:t xml:space="preserve"> </w:t>
      </w:r>
      <w:r w:rsidR="00001568" w:rsidRPr="00D80AEC">
        <w:rPr>
          <w:i/>
          <w:iCs/>
        </w:rPr>
        <w:t xml:space="preserve">“Usually when people assault </w:t>
      </w:r>
      <w:r w:rsidR="00577BC0" w:rsidRPr="00D80AEC">
        <w:rPr>
          <w:i/>
          <w:iCs/>
        </w:rPr>
        <w:t>me,</w:t>
      </w:r>
      <w:r w:rsidR="00001568" w:rsidRPr="00D80AEC">
        <w:rPr>
          <w:i/>
          <w:iCs/>
        </w:rPr>
        <w:t xml:space="preserve"> they walk into me and expect me to get out of their way even though I clearly have a seeing eye dog. Back when I used a cane, people ran over [me] (in cars at zebra crossings, on bikes, and even once someone trod on my cane bending it so badly it was useless). People need to understand that </w:t>
      </w:r>
      <w:r w:rsidR="00001568" w:rsidRPr="00D80AEC">
        <w:rPr>
          <w:i/>
          <w:iCs/>
        </w:rPr>
        <w:lastRenderedPageBreak/>
        <w:t>this is also assault and causes injuries and pain to the person holding the cane.</w:t>
      </w:r>
      <w:r w:rsidR="000B472B" w:rsidRPr="00D80AEC">
        <w:rPr>
          <w:i/>
          <w:iCs/>
        </w:rPr>
        <w:t>”</w:t>
      </w:r>
      <w:r w:rsidR="000B472B" w:rsidRPr="003807AB">
        <w:t xml:space="preserve"> </w:t>
      </w:r>
    </w:p>
    <w:p w14:paraId="7BDF64EA" w14:textId="16718021" w:rsidR="00827316" w:rsidRDefault="00964D21" w:rsidP="006D1DEA">
      <w:pPr>
        <w:pStyle w:val="FirstDotPoint"/>
      </w:pPr>
      <w:r w:rsidRPr="003807AB">
        <w:t xml:space="preserve">Online harassment of people who are blind or vision impaired often manifests as ableist comments, cyberbullying related to assistive devices (e.g. </w:t>
      </w:r>
      <w:r w:rsidR="00AD11FA" w:rsidRPr="003807AB">
        <w:t>d</w:t>
      </w:r>
      <w:r w:rsidRPr="003807AB">
        <w:t>og</w:t>
      </w:r>
      <w:r w:rsidR="00AD11FA" w:rsidRPr="003807AB">
        <w:t xml:space="preserve"> guides</w:t>
      </w:r>
      <w:r w:rsidRPr="003807AB">
        <w:t>, screen readers), content moderation failures</w:t>
      </w:r>
      <w:r w:rsidR="000611A7" w:rsidRPr="00B04348">
        <w:rPr>
          <w:rStyle w:val="FootnoteReference"/>
        </w:rPr>
        <w:footnoteReference w:id="43"/>
      </w:r>
      <w:r w:rsidRPr="003807AB">
        <w:t xml:space="preserve">, </w:t>
      </w:r>
      <w:r w:rsidR="004C2C4C" w:rsidRPr="003807AB">
        <w:t>microaggression</w:t>
      </w:r>
      <w:r w:rsidR="00A14529" w:rsidRPr="00B04348">
        <w:rPr>
          <w:rStyle w:val="FootnoteReference"/>
        </w:rPr>
        <w:footnoteReference w:id="44"/>
      </w:r>
      <w:r w:rsidR="00C362AA" w:rsidRPr="003807AB">
        <w:t xml:space="preserve"> (e.g. “you don’t look blind”</w:t>
      </w:r>
      <w:r w:rsidR="00A14529" w:rsidRPr="003807AB">
        <w:t>)</w:t>
      </w:r>
      <w:r w:rsidR="004C2C4C" w:rsidRPr="003807AB">
        <w:t xml:space="preserve"> </w:t>
      </w:r>
      <w:r w:rsidRPr="003807AB">
        <w:t>or exclusion from digital spaces.</w:t>
      </w:r>
      <w:r w:rsidR="00AA7519" w:rsidRPr="003807AB">
        <w:t xml:space="preserve"> </w:t>
      </w:r>
      <w:r w:rsidR="00D16DB4">
        <w:t xml:space="preserve">BCA was </w:t>
      </w:r>
      <w:r w:rsidR="004E5EC6">
        <w:t>distressed to hear of a</w:t>
      </w:r>
      <w:r w:rsidR="00D16DB4">
        <w:t xml:space="preserve"> </w:t>
      </w:r>
      <w:r w:rsidR="0069459B" w:rsidRPr="0069459B">
        <w:t xml:space="preserve">Tiktok trend called Blindchallenge or Blindkidchallenge where people (primarily </w:t>
      </w:r>
      <w:r w:rsidR="0006750D">
        <w:t>children</w:t>
      </w:r>
      <w:r w:rsidR="0069459B" w:rsidRPr="0069459B">
        <w:t>) are encouraged to mock blind people in order to provide entertainment, win prizes and increase audience views</w:t>
      </w:r>
      <w:r w:rsidR="00ED47B1">
        <w:t xml:space="preserve">. </w:t>
      </w:r>
    </w:p>
    <w:p w14:paraId="011F0B19" w14:textId="77777777" w:rsidR="00704540" w:rsidRDefault="00ED47B1" w:rsidP="00322359">
      <w:pPr>
        <w:pStyle w:val="FirstDotPoint"/>
      </w:pPr>
      <w:r>
        <w:t>It</w:t>
      </w:r>
      <w:r w:rsidR="0041750A">
        <w:t xml:space="preserve">’s </w:t>
      </w:r>
      <w:r>
        <w:t>imperative that t</w:t>
      </w:r>
      <w:r w:rsidRPr="00ED47B1">
        <w:t xml:space="preserve">he DDA cover </w:t>
      </w:r>
      <w:r w:rsidR="007F0492">
        <w:t xml:space="preserve">offensive behaviour in </w:t>
      </w:r>
      <w:r w:rsidRPr="00ED47B1">
        <w:t xml:space="preserve">online </w:t>
      </w:r>
      <w:r w:rsidR="00931434">
        <w:t>environments</w:t>
      </w:r>
      <w:r w:rsidR="007B14FC">
        <w:t xml:space="preserve"> and more must be done </w:t>
      </w:r>
      <w:r w:rsidR="007A5C50">
        <w:t>to reinforce that such behaviour is unacceptable</w:t>
      </w:r>
      <w:r w:rsidR="00931434">
        <w:t>.</w:t>
      </w:r>
      <w:r w:rsidR="005066BF">
        <w:t xml:space="preserve"> </w:t>
      </w:r>
    </w:p>
    <w:p w14:paraId="66C9309A" w14:textId="76930476" w:rsidR="00F130A7" w:rsidRDefault="00F12223" w:rsidP="00322359">
      <w:pPr>
        <w:pStyle w:val="FirstDotPoint"/>
      </w:pPr>
      <w:r>
        <w:t>T</w:t>
      </w:r>
      <w:r w:rsidR="00296CC1">
        <w:t xml:space="preserve">he </w:t>
      </w:r>
      <w:r w:rsidR="00F130A7" w:rsidRPr="003807AB">
        <w:t>definition of public place</w:t>
      </w:r>
      <w:r w:rsidR="00296CC1">
        <w:t xml:space="preserve"> in the DDA</w:t>
      </w:r>
      <w:r w:rsidR="00F130A7" w:rsidRPr="003807AB">
        <w:t xml:space="preserve"> </w:t>
      </w:r>
      <w:r>
        <w:t xml:space="preserve">should </w:t>
      </w:r>
      <w:r w:rsidR="00F130A7" w:rsidRPr="003807AB">
        <w:t xml:space="preserve">include online spaces accessible to the public and accountability for online safety and expectations for service providers </w:t>
      </w:r>
      <w:r>
        <w:t xml:space="preserve">should </w:t>
      </w:r>
      <w:r w:rsidR="00F130A7" w:rsidRPr="003807AB">
        <w:t xml:space="preserve">align with the Online Safety Act 2021(Cth) (OSA). </w:t>
      </w:r>
    </w:p>
    <w:p w14:paraId="46679291" w14:textId="284B4825" w:rsidR="00D80AEC" w:rsidRPr="00F30F27" w:rsidRDefault="00D80AEC" w:rsidP="00D80AEC">
      <w:pPr>
        <w:pStyle w:val="IntenseQuote"/>
        <w:rPr>
          <w:b/>
          <w:bCs/>
          <w:i w:val="0"/>
          <w:iCs w:val="0"/>
        </w:rPr>
      </w:pPr>
      <w:r w:rsidRPr="00F30F27">
        <w:rPr>
          <w:rStyle w:val="IntenseQuoteChar"/>
          <w:b/>
          <w:bCs/>
          <w:i/>
          <w:iCs/>
        </w:rPr>
        <w:t>“I believe this was a hate crime. I also believe this was done because this man believes he has superior entitlement and has the right to terrorise and assault a disabled woman. The law needs to change to better protect us, and we need a media campaign to reinforce understanding of laws and our rights.”</w:t>
      </w:r>
      <w:r w:rsidR="008A58B5" w:rsidRPr="00F30F27">
        <w:rPr>
          <w:rStyle w:val="FootnoteReference"/>
          <w:b/>
          <w:bCs/>
        </w:rPr>
        <w:footnoteReference w:id="45"/>
      </w:r>
    </w:p>
    <w:p w14:paraId="588FE249"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If the Disability Discrimination Act were to prohibit offensive behaviour and/or harassment, how should these terms be defined?</w:t>
      </w:r>
    </w:p>
    <w:p w14:paraId="455A9A16" w14:textId="1F9BCA65" w:rsidR="00E21E9C" w:rsidRDefault="00DE1528" w:rsidP="00040F7E">
      <w:pPr>
        <w:spacing w:after="240"/>
      </w:pPr>
      <w:r>
        <w:t>U</w:t>
      </w:r>
      <w:r w:rsidR="00A34A6C" w:rsidRPr="000B4AFC">
        <w:t>se the same definition as in s18C of the Racial Discrimination Act</w:t>
      </w:r>
      <w:r w:rsidR="00E21E9C" w:rsidRPr="000B4AFC">
        <w:t xml:space="preserve"> or mirror the Equal Opportunity Act (Vic)</w:t>
      </w:r>
      <w:r>
        <w:t xml:space="preserve"> to prohibit offensive behaviour and/or harassment</w:t>
      </w:r>
      <w:r w:rsidR="00662BB0" w:rsidRPr="000B4AFC">
        <w:t>.</w:t>
      </w:r>
    </w:p>
    <w:p w14:paraId="4BE5FD36"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there be exemptions for any behaviour, similar to the Racial Discrimination Act?</w:t>
      </w:r>
    </w:p>
    <w:p w14:paraId="01DFE17A" w14:textId="484A6404" w:rsidR="001D1131" w:rsidRPr="00FF030B" w:rsidRDefault="00E86755" w:rsidP="00F23501">
      <w:pPr>
        <w:rPr>
          <w:szCs w:val="24"/>
        </w:rPr>
      </w:pPr>
      <w:r>
        <w:rPr>
          <w:szCs w:val="24"/>
        </w:rPr>
        <w:t xml:space="preserve">BCA acknowledges that </w:t>
      </w:r>
      <w:r w:rsidR="00A8165B" w:rsidRPr="00FF030B">
        <w:rPr>
          <w:szCs w:val="24"/>
        </w:rPr>
        <w:t>s18C of the Racial Discrimination Act</w:t>
      </w:r>
      <w:r w:rsidR="00F23501" w:rsidRPr="00FF030B">
        <w:rPr>
          <w:szCs w:val="24"/>
        </w:rPr>
        <w:t xml:space="preserve"> </w:t>
      </w:r>
      <w:r w:rsidR="001D1131" w:rsidRPr="00FF030B">
        <w:t>contains exemptions including where something is said or done in the performance, exhibition or distribution of an artistic work or for any genuine academic, artistic or scientific purpose</w:t>
      </w:r>
      <w:r w:rsidR="009F1A20">
        <w:t>.</w:t>
      </w:r>
      <w:r w:rsidR="001C77B0">
        <w:t xml:space="preserve"> </w:t>
      </w:r>
      <w:r w:rsidR="003A537F">
        <w:t>BCA</w:t>
      </w:r>
      <w:r w:rsidR="001C77B0">
        <w:t xml:space="preserve"> does not </w:t>
      </w:r>
      <w:r w:rsidR="00444903">
        <w:t>support the</w:t>
      </w:r>
      <w:r w:rsidR="001C77B0">
        <w:t xml:space="preserve"> same</w:t>
      </w:r>
      <w:r w:rsidR="00CF7658">
        <w:t xml:space="preserve"> exemption </w:t>
      </w:r>
      <w:r w:rsidR="009F1A20">
        <w:t>g</w:t>
      </w:r>
      <w:r w:rsidR="009F1A20" w:rsidRPr="00AA1E9F">
        <w:t xml:space="preserve">iven that </w:t>
      </w:r>
      <w:r w:rsidR="009F1A20" w:rsidRPr="00AA1E9F">
        <w:lastRenderedPageBreak/>
        <w:t>people with a disability have often been belittled, disparaged, humiliated and offended under the guise of artistic expression</w:t>
      </w:r>
      <w:r w:rsidR="001D1131" w:rsidRPr="00FF030B">
        <w:t>.</w:t>
      </w:r>
      <w:r w:rsidR="0051261B">
        <w:t xml:space="preserve"> </w:t>
      </w:r>
    </w:p>
    <w:p w14:paraId="04D9A804" w14:textId="77777777" w:rsidR="001D1131" w:rsidRDefault="001D1131" w:rsidP="001D1131">
      <w:pPr>
        <w:pStyle w:val="ListNumber"/>
        <w:numPr>
          <w:ilvl w:val="0"/>
          <w:numId w:val="0"/>
        </w:numPr>
        <w:ind w:left="360"/>
        <w:rPr>
          <w:rFonts w:ascii="Arial" w:hAnsi="Arial" w:cs="Arial"/>
          <w:sz w:val="24"/>
          <w:szCs w:val="24"/>
        </w:rPr>
      </w:pPr>
    </w:p>
    <w:p w14:paraId="06D4AE9F"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Given the recent legislative developments, are there any further gaps in the legislative framework that could be addressed by amendments to the Disability Discrimination Act to protect people with disability from vilification?</w:t>
      </w:r>
    </w:p>
    <w:p w14:paraId="61ECD258" w14:textId="77777777" w:rsidR="009E4D3E" w:rsidRDefault="009E4D3E" w:rsidP="009E4D3E">
      <w:pPr>
        <w:pStyle w:val="ListNumber"/>
        <w:numPr>
          <w:ilvl w:val="0"/>
          <w:numId w:val="0"/>
        </w:numPr>
        <w:ind w:left="360"/>
        <w:rPr>
          <w:rFonts w:ascii="Arial" w:hAnsi="Arial" w:cs="Arial"/>
          <w:sz w:val="24"/>
          <w:szCs w:val="24"/>
        </w:rPr>
      </w:pPr>
    </w:p>
    <w:p w14:paraId="39B29535" w14:textId="3B4016C3" w:rsidR="009E4D3E" w:rsidRPr="009E4D3E" w:rsidRDefault="009E4D3E" w:rsidP="00C06E62">
      <w:pPr>
        <w:pStyle w:val="ListNumber"/>
        <w:numPr>
          <w:ilvl w:val="0"/>
          <w:numId w:val="0"/>
        </w:numPr>
        <w:ind w:left="360" w:hanging="360"/>
        <w:rPr>
          <w:rFonts w:ascii="Arial" w:hAnsi="Arial" w:cs="Arial"/>
          <w:sz w:val="24"/>
          <w:szCs w:val="24"/>
        </w:rPr>
      </w:pPr>
      <w:r>
        <w:rPr>
          <w:rFonts w:ascii="Arial" w:hAnsi="Arial" w:cs="Arial"/>
          <w:sz w:val="24"/>
          <w:szCs w:val="24"/>
        </w:rPr>
        <w:t xml:space="preserve">No further comment. </w:t>
      </w:r>
    </w:p>
    <w:p w14:paraId="5611F227" w14:textId="58E4B732" w:rsidR="001D1131" w:rsidRDefault="001D1131" w:rsidP="007350B7">
      <w:pPr>
        <w:pStyle w:val="Heading2"/>
      </w:pPr>
      <w:bookmarkStart w:id="45" w:name="_Toc212204015"/>
      <w:r>
        <w:t>Polic</w:t>
      </w:r>
      <w:r w:rsidR="009537F4">
        <w:t>e and Justice</w:t>
      </w:r>
      <w:bookmarkEnd w:id="45"/>
      <w:r>
        <w:t xml:space="preserve"> </w:t>
      </w:r>
    </w:p>
    <w:p w14:paraId="199A43AD" w14:textId="77777777" w:rsidR="001D1131" w:rsidRPr="00DE5F12" w:rsidRDefault="001D1131" w:rsidP="001D1131">
      <w:pPr>
        <w:pStyle w:val="ListNumber"/>
        <w:rPr>
          <w:rFonts w:ascii="Arial" w:hAnsi="Arial" w:cs="Arial"/>
          <w:b/>
          <w:bCs/>
          <w:sz w:val="24"/>
          <w:szCs w:val="24"/>
        </w:rPr>
      </w:pPr>
      <w:r w:rsidRPr="00DE5F12">
        <w:rPr>
          <w:rFonts w:ascii="Arial" w:hAnsi="Arial" w:cs="Arial"/>
          <w:b/>
          <w:bCs/>
          <w:sz w:val="24"/>
          <w:szCs w:val="24"/>
        </w:rPr>
        <w:t>How could the Disability Discrimination Act be amended to ensure that it covers policing?</w:t>
      </w:r>
    </w:p>
    <w:p w14:paraId="6F0ABC76" w14:textId="13F95CD5" w:rsidR="00153E35" w:rsidRDefault="00BC49F0" w:rsidP="00207AA8">
      <w:r w:rsidRPr="00BC49F0">
        <w:t>Recommendation:</w:t>
      </w:r>
      <w:r w:rsidR="001D1131" w:rsidRPr="00BC49F0">
        <w:t xml:space="preserve"> Include a new provision to cover policing and the justice system rather than including policing in the definition of services</w:t>
      </w:r>
      <w:r w:rsidR="000E765B">
        <w:t xml:space="preserve"> </w:t>
      </w:r>
      <w:r w:rsidR="000E765B" w:rsidRPr="009D7042">
        <w:t xml:space="preserve">and equip </w:t>
      </w:r>
      <w:r w:rsidR="00442CA6" w:rsidRPr="009D7042">
        <w:t xml:space="preserve">staff to actively </w:t>
      </w:r>
      <w:r w:rsidR="00E27F9A" w:rsidRPr="009D7042">
        <w:t xml:space="preserve">prevent and </w:t>
      </w:r>
      <w:r w:rsidR="00442CA6" w:rsidRPr="009D7042">
        <w:t>address disability discriminati</w:t>
      </w:r>
      <w:r w:rsidR="00E27F9A" w:rsidRPr="009D7042">
        <w:t>o</w:t>
      </w:r>
      <w:r w:rsidR="00442CA6" w:rsidRPr="009D7042">
        <w:t>n</w:t>
      </w:r>
      <w:r w:rsidR="001D1131" w:rsidRPr="009D7042">
        <w:t>.</w:t>
      </w:r>
      <w:r w:rsidR="001D1131" w:rsidRPr="00BC49F0">
        <w:t xml:space="preserve"> </w:t>
      </w:r>
    </w:p>
    <w:p w14:paraId="16E0B339" w14:textId="1F0BE523" w:rsidR="00256FC4" w:rsidRPr="0047497D" w:rsidRDefault="006A5492" w:rsidP="006D1DEA">
      <w:pPr>
        <w:pStyle w:val="FirstDotPoint"/>
      </w:pPr>
      <w:r w:rsidRPr="0047497D">
        <w:t>BCA supports a</w:t>
      </w:r>
      <w:r w:rsidR="00207AA8" w:rsidRPr="0047497D">
        <w:t>mend</w:t>
      </w:r>
      <w:r w:rsidRPr="0047497D">
        <w:t>ing</w:t>
      </w:r>
      <w:r w:rsidR="00207AA8" w:rsidRPr="0047497D">
        <w:t xml:space="preserve"> the </w:t>
      </w:r>
      <w:r w:rsidR="00873876" w:rsidRPr="0047497D">
        <w:t>DDA</w:t>
      </w:r>
      <w:r w:rsidR="00207AA8" w:rsidRPr="0047497D">
        <w:t xml:space="preserve"> to ensure all people with disability are protected from unlawful discrimination when engaging with police, regardless of the nature of that engagement. </w:t>
      </w:r>
      <w:r w:rsidR="00256FC4" w:rsidRPr="0047497D">
        <w:t xml:space="preserve"> </w:t>
      </w:r>
    </w:p>
    <w:p w14:paraId="4E74F92F" w14:textId="2758EA45" w:rsidR="0074516A" w:rsidRPr="0047497D" w:rsidRDefault="00FF40D4" w:rsidP="000A2370">
      <w:pPr>
        <w:pStyle w:val="FirstDotPoint"/>
      </w:pPr>
      <w:r w:rsidRPr="0047497D">
        <w:t>BCA agrees that police aren’t necessarily providing a ‘service’ to a suspect in the same way that other services are provided to people with disability.</w:t>
      </w:r>
      <w:r w:rsidR="006221CE">
        <w:t xml:space="preserve"> </w:t>
      </w:r>
      <w:r w:rsidR="00DB405B" w:rsidRPr="0047497D">
        <w:t>Instead of including policing in the definition of services as proposed by the</w:t>
      </w:r>
      <w:r w:rsidR="003F7ABC" w:rsidRPr="0047497D">
        <w:t xml:space="preserve"> DRC</w:t>
      </w:r>
      <w:r w:rsidR="00DB405B" w:rsidRPr="0047497D">
        <w:t xml:space="preserve">, </w:t>
      </w:r>
      <w:r w:rsidR="003F7ABC" w:rsidRPr="0047497D">
        <w:t xml:space="preserve">including </w:t>
      </w:r>
      <w:r w:rsidR="00DB405B" w:rsidRPr="0047497D">
        <w:t>a new provision or provisions to cover policing and the justice system</w:t>
      </w:r>
      <w:r w:rsidR="006448A1" w:rsidRPr="0047497D">
        <w:t xml:space="preserve"> could c</w:t>
      </w:r>
      <w:r w:rsidR="00576766" w:rsidRPr="0047497D">
        <w:t>larify legal obligations</w:t>
      </w:r>
      <w:r w:rsidR="00145B5D" w:rsidRPr="0047497D">
        <w:t>,</w:t>
      </w:r>
      <w:r w:rsidR="00576766" w:rsidRPr="0047497D">
        <w:t xml:space="preserve"> </w:t>
      </w:r>
      <w:r w:rsidR="008A65E3" w:rsidRPr="0047497D">
        <w:t>and strengthen measures to ensur</w:t>
      </w:r>
      <w:r w:rsidR="00145B5D" w:rsidRPr="0047497D">
        <w:t>e</w:t>
      </w:r>
      <w:r w:rsidR="008A65E3" w:rsidRPr="0047497D">
        <w:t xml:space="preserve"> people with disability do not experience less favourable treatment</w:t>
      </w:r>
      <w:r w:rsidR="00BE6988" w:rsidRPr="0047497D">
        <w:t xml:space="preserve"> when engaged with the justice system</w:t>
      </w:r>
      <w:r w:rsidR="008A65E3" w:rsidRPr="0047497D">
        <w:t>.</w:t>
      </w:r>
      <w:r w:rsidR="00CF391C" w:rsidRPr="0047497D">
        <w:t xml:space="preserve"> </w:t>
      </w:r>
    </w:p>
    <w:p w14:paraId="5AB34F69" w14:textId="38D835A3" w:rsidR="00BD3BEC" w:rsidRDefault="00A56B03" w:rsidP="00194AB7">
      <w:pPr>
        <w:pStyle w:val="FirstDotPoint"/>
        <w:spacing w:after="0"/>
      </w:pPr>
      <w:r w:rsidRPr="0047497D">
        <w:t>P</w:t>
      </w:r>
      <w:r w:rsidR="00CF391C" w:rsidRPr="0047497D">
        <w:t>olice</w:t>
      </w:r>
      <w:r w:rsidR="00EC49AC" w:rsidRPr="0047497D">
        <w:t>,</w:t>
      </w:r>
      <w:r w:rsidR="00DE10CB" w:rsidRPr="0047497D">
        <w:t xml:space="preserve"> </w:t>
      </w:r>
      <w:r w:rsidR="00712E9B" w:rsidRPr="0047497D">
        <w:t xml:space="preserve">as well as representatives of </w:t>
      </w:r>
      <w:r w:rsidR="00654161" w:rsidRPr="0047497D">
        <w:t xml:space="preserve">the broader </w:t>
      </w:r>
      <w:r w:rsidR="00224143" w:rsidRPr="0047497D">
        <w:t>justice system</w:t>
      </w:r>
      <w:r w:rsidR="00EC49AC" w:rsidRPr="0047497D">
        <w:t>,</w:t>
      </w:r>
      <w:r w:rsidR="00CF391C" w:rsidRPr="0047497D">
        <w:t xml:space="preserve"> must be equipped with the requisite knowledge and skills to </w:t>
      </w:r>
      <w:r w:rsidR="00B92411" w:rsidRPr="0047497D">
        <w:t xml:space="preserve">engage with, and </w:t>
      </w:r>
      <w:r w:rsidR="00CF391C" w:rsidRPr="0047497D">
        <w:t>improve protection of people with disability</w:t>
      </w:r>
      <w:r w:rsidR="0012768E">
        <w:t xml:space="preserve"> and </w:t>
      </w:r>
      <w:r w:rsidR="00630E60">
        <w:t>r</w:t>
      </w:r>
      <w:r w:rsidR="00BD3BEC" w:rsidRPr="00516D42">
        <w:t>egular disability awareness training should be mandatory</w:t>
      </w:r>
      <w:r w:rsidR="009D243C">
        <w:t>.</w:t>
      </w:r>
      <w:r w:rsidR="004A0079">
        <w:t xml:space="preserve"> </w:t>
      </w:r>
    </w:p>
    <w:p w14:paraId="3E2011D2" w14:textId="0A459C09" w:rsidR="00481C46" w:rsidRDefault="00701F4C" w:rsidP="006D1DEA">
      <w:pPr>
        <w:pStyle w:val="ListParagraph"/>
      </w:pPr>
      <w:r w:rsidRPr="0047497D">
        <w:t xml:space="preserve">People who are blind or vision impaired report they are often not respected or considered as a credible witness </w:t>
      </w:r>
      <w:r w:rsidR="000D652B" w:rsidRPr="0047497D">
        <w:t xml:space="preserve">and are </w:t>
      </w:r>
      <w:r w:rsidR="00481C46" w:rsidRPr="0047497D">
        <w:t>often placed at a disadvantage in the civil justice system, particularly in relation to appearing competent in cases involving children. Parents (and grandparents) who are blind often find it extremely difficult exercising their rights to access their children because their blindness is used as the reason to deny or limit their access.</w:t>
      </w:r>
    </w:p>
    <w:p w14:paraId="51D52E4A" w14:textId="77777777" w:rsidR="001B7DEA" w:rsidRPr="00516D42" w:rsidRDefault="009D7042" w:rsidP="006D1DEA">
      <w:pPr>
        <w:pStyle w:val="ListParagraph"/>
      </w:pPr>
      <w:r>
        <w:t>Legal</w:t>
      </w:r>
      <w:r w:rsidR="00730018">
        <w:t xml:space="preserve"> and administrative</w:t>
      </w:r>
      <w:r>
        <w:t xml:space="preserve"> documents are often</w:t>
      </w:r>
      <w:r w:rsidR="00730018">
        <w:t xml:space="preserve"> in formats that are</w:t>
      </w:r>
      <w:r>
        <w:t xml:space="preserve"> inaccessible for people who are blind or vision impaired</w:t>
      </w:r>
      <w:r w:rsidR="009F54E7">
        <w:t xml:space="preserve"> which impedes privacy and </w:t>
      </w:r>
      <w:r w:rsidR="00645FB2">
        <w:t>independen</w:t>
      </w:r>
      <w:r w:rsidR="00CF24A6">
        <w:t xml:space="preserve">ce in </w:t>
      </w:r>
      <w:r w:rsidR="008B4ECC">
        <w:t>verifying information</w:t>
      </w:r>
      <w:r w:rsidR="00730018">
        <w:t>.</w:t>
      </w:r>
      <w:r w:rsidR="001B7DEA">
        <w:t xml:space="preserve"> </w:t>
      </w:r>
      <w:bookmarkStart w:id="46" w:name="_Hlk211525762"/>
      <w:r w:rsidR="001B7DEA">
        <w:lastRenderedPageBreak/>
        <w:t xml:space="preserve">All </w:t>
      </w:r>
      <w:r w:rsidR="001B7DEA" w:rsidRPr="00516D42">
        <w:t xml:space="preserve">legal documents </w:t>
      </w:r>
      <w:r w:rsidR="001B7DEA">
        <w:t xml:space="preserve">should be provided </w:t>
      </w:r>
      <w:r w:rsidR="001B7DEA" w:rsidRPr="00516D42">
        <w:t xml:space="preserve">in a screen reader compatible Word document format. </w:t>
      </w:r>
    </w:p>
    <w:bookmarkEnd w:id="46"/>
    <w:p w14:paraId="48EC4B9A" w14:textId="131CB674" w:rsidR="002C4B37" w:rsidRPr="00115778" w:rsidRDefault="000E7BD1" w:rsidP="006D1DEA">
      <w:pPr>
        <w:pStyle w:val="ListParagraph"/>
        <w:rPr>
          <w:i/>
          <w:iCs/>
        </w:rPr>
      </w:pPr>
      <w:r w:rsidRPr="0047497D">
        <w:t xml:space="preserve">While the DDA does not currently assign police a direct enforcement role </w:t>
      </w:r>
      <w:r>
        <w:t>and acknowledging that police are governed primarily by State/Territory legislation,</w:t>
      </w:r>
      <w:r w:rsidRPr="0047497D">
        <w:t xml:space="preserve"> </w:t>
      </w:r>
      <w:r w:rsidR="002F5542" w:rsidRPr="0047497D">
        <w:t xml:space="preserve">Police </w:t>
      </w:r>
      <w:r w:rsidR="00597159" w:rsidRPr="0047497D">
        <w:t xml:space="preserve">are well placed to </w:t>
      </w:r>
      <w:r w:rsidR="003D45A1" w:rsidRPr="0047497D">
        <w:t xml:space="preserve">influence </w:t>
      </w:r>
      <w:r w:rsidR="002F5542" w:rsidRPr="0047497D">
        <w:t xml:space="preserve">compliance </w:t>
      </w:r>
      <w:r w:rsidR="00B10124" w:rsidRPr="0047497D">
        <w:t xml:space="preserve">and </w:t>
      </w:r>
      <w:r w:rsidR="002F5542" w:rsidRPr="0047497D">
        <w:t>resolution of discriminatory practices</w:t>
      </w:r>
      <w:r w:rsidR="00B10124" w:rsidRPr="0047497D">
        <w:t xml:space="preserve"> under the Act</w:t>
      </w:r>
      <w:r w:rsidR="00E263AD">
        <w:t>.</w:t>
      </w:r>
      <w:r w:rsidR="002F5542" w:rsidRPr="0047497D">
        <w:t xml:space="preserve"> </w:t>
      </w:r>
      <w:r w:rsidR="00B10124" w:rsidRPr="0047497D">
        <w:t xml:space="preserve">For example, </w:t>
      </w:r>
      <w:r w:rsidR="007446B0" w:rsidRPr="0047497D">
        <w:t>P</w:t>
      </w:r>
      <w:r w:rsidR="00701F4C" w:rsidRPr="0047497D">
        <w:t xml:space="preserve">olice are frequently called to intervene in instances of dog guide refusal between a dog guide handler and a duty holder </w:t>
      </w:r>
      <w:r w:rsidR="00321687" w:rsidRPr="0047497D">
        <w:t>(e.g.</w:t>
      </w:r>
      <w:r w:rsidR="00701F4C" w:rsidRPr="0047497D">
        <w:t xml:space="preserve"> hotel, restaurant or t</w:t>
      </w:r>
      <w:r w:rsidR="00321687" w:rsidRPr="0047497D">
        <w:t>axi)</w:t>
      </w:r>
      <w:r w:rsidR="00E020EA">
        <w:t xml:space="preserve"> and relevant</w:t>
      </w:r>
      <w:r w:rsidR="002C4B37" w:rsidRPr="0047497D">
        <w:t xml:space="preserve"> State/Territory dog legislation</w:t>
      </w:r>
      <w:r w:rsidR="00E020EA">
        <w:t xml:space="preserve"> permits </w:t>
      </w:r>
      <w:r w:rsidR="002C4B37" w:rsidRPr="0047497D">
        <w:t xml:space="preserve">issue </w:t>
      </w:r>
      <w:r w:rsidR="00E37492">
        <w:t xml:space="preserve">of </w:t>
      </w:r>
      <w:r w:rsidR="00D23ED5" w:rsidRPr="0047497D">
        <w:t>on-the-spot</w:t>
      </w:r>
      <w:r w:rsidR="002C4B37" w:rsidRPr="0047497D">
        <w:t xml:space="preserve"> fines for dog guide refusals.</w:t>
      </w:r>
    </w:p>
    <w:p w14:paraId="4DFB395E" w14:textId="3AE1E9E4" w:rsidR="00B1729E" w:rsidRPr="0047497D" w:rsidRDefault="002C4B37" w:rsidP="006D1DEA">
      <w:pPr>
        <w:pStyle w:val="ListParagraph"/>
      </w:pPr>
      <w:r>
        <w:t xml:space="preserve">However, </w:t>
      </w:r>
      <w:r w:rsidR="00571203" w:rsidRPr="0047497D">
        <w:t xml:space="preserve">BCA advocacy staff report, “The police will often turn up and they’ll either give [the vision-impaired person] a link to human rights information, or they’ll </w:t>
      </w:r>
      <w:r w:rsidR="00577BC0" w:rsidRPr="0047497D">
        <w:t>say,</w:t>
      </w:r>
      <w:r w:rsidR="00571203" w:rsidRPr="0047497D">
        <w:t xml:space="preserve"> </w:t>
      </w:r>
      <w:r w:rsidR="0026620F" w:rsidRPr="0047497D">
        <w:t>‘</w:t>
      </w:r>
      <w:r w:rsidR="00571203" w:rsidRPr="0047497D">
        <w:t xml:space="preserve">you’ve got to settle down here, we know you’re feeling passionate about </w:t>
      </w:r>
      <w:r w:rsidR="00577BC0" w:rsidRPr="0047497D">
        <w:t>this,</w:t>
      </w:r>
      <w:r w:rsidR="00571203" w:rsidRPr="0047497D">
        <w:t xml:space="preserve"> but it will sort itself out.</w:t>
      </w:r>
      <w:r w:rsidR="0047497D" w:rsidRPr="0047497D">
        <w:t>’</w:t>
      </w:r>
      <w:r w:rsidR="00571203" w:rsidRPr="0047497D">
        <w:t xml:space="preserve"> They don’t say to the alleged offender </w:t>
      </w:r>
      <w:r w:rsidR="0047497D" w:rsidRPr="0047497D">
        <w:t>‘</w:t>
      </w:r>
      <w:r w:rsidR="00474BDF">
        <w:t>You must understand that th</w:t>
      </w:r>
      <w:r w:rsidR="00E177C7">
        <w:t>i</w:t>
      </w:r>
      <w:r w:rsidR="006B6D00">
        <w:t>s</w:t>
      </w:r>
      <w:r w:rsidR="006B5A84">
        <w:t xml:space="preserve"> action </w:t>
      </w:r>
      <w:r w:rsidR="00474BDF">
        <w:t xml:space="preserve">is </w:t>
      </w:r>
      <w:r w:rsidR="00577BC0">
        <w:t>unlawful,</w:t>
      </w:r>
      <w:r w:rsidR="00474BDF">
        <w:t xml:space="preserve"> and you cannot do </w:t>
      </w:r>
      <w:r w:rsidR="00B94D17">
        <w:t>it</w:t>
      </w:r>
      <w:r w:rsidR="00CE61D5">
        <w:t>’</w:t>
      </w:r>
      <w:r w:rsidR="0052603C">
        <w:t xml:space="preserve"> and they don’t issue an infringement</w:t>
      </w:r>
      <w:r w:rsidR="00020A3F">
        <w:t>.</w:t>
      </w:r>
      <w:r w:rsidR="00CE61D5">
        <w:t>”</w:t>
      </w:r>
      <w:r w:rsidR="00DF1423">
        <w:t xml:space="preserve"> </w:t>
      </w:r>
    </w:p>
    <w:p w14:paraId="7558B061"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Are there any specific circumstances or situations relating to policing or justice that should be excluded from the application of the Disability Discrimination Act?</w:t>
      </w:r>
    </w:p>
    <w:p w14:paraId="6E823348" w14:textId="0AA8D856" w:rsidR="00383A94" w:rsidRPr="00022AA0" w:rsidRDefault="00383A94" w:rsidP="00022AA0">
      <w:pPr>
        <w:rPr>
          <w:rFonts w:eastAsiaTheme="minorEastAsia"/>
          <w:lang w:eastAsia="en-AU"/>
        </w:rPr>
      </w:pPr>
      <w:r w:rsidRPr="00022AA0">
        <w:rPr>
          <w:rFonts w:eastAsiaTheme="minorEastAsia"/>
          <w:lang w:eastAsia="en-AU"/>
        </w:rPr>
        <w:t xml:space="preserve">No. There is already </w:t>
      </w:r>
      <w:r w:rsidR="00646D35">
        <w:rPr>
          <w:rFonts w:eastAsiaTheme="minorEastAsia"/>
          <w:lang w:eastAsia="en-AU"/>
        </w:rPr>
        <w:t>the defence of</w:t>
      </w:r>
      <w:r w:rsidRPr="00022AA0">
        <w:rPr>
          <w:rFonts w:eastAsiaTheme="minorEastAsia"/>
          <w:lang w:eastAsia="en-AU"/>
        </w:rPr>
        <w:t xml:space="preserve"> unjustifiable hardship.</w:t>
      </w:r>
    </w:p>
    <w:p w14:paraId="66736416" w14:textId="08274B2B" w:rsidR="001D1131" w:rsidRPr="001C3A5D" w:rsidRDefault="001D1131" w:rsidP="007350B7">
      <w:pPr>
        <w:pStyle w:val="Heading2"/>
      </w:pPr>
      <w:bookmarkStart w:id="47" w:name="_Toc212204016"/>
      <w:r w:rsidRPr="001C3A5D">
        <w:t>Exemptions</w:t>
      </w:r>
      <w:bookmarkEnd w:id="47"/>
    </w:p>
    <w:p w14:paraId="73D37ABA"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Could any of the permanent exemptions be narrowed or updated, while balancing other policy considerations?</w:t>
      </w:r>
    </w:p>
    <w:p w14:paraId="0E5D9C68" w14:textId="1754F48B" w:rsidR="00D15801" w:rsidRPr="00D15801" w:rsidRDefault="00C43124" w:rsidP="00693F8F">
      <w:bookmarkStart w:id="48" w:name="_Toc208589118"/>
      <w:r>
        <w:t xml:space="preserve">Yes. </w:t>
      </w:r>
      <w:r w:rsidR="00B32950">
        <w:t xml:space="preserve">Recommendation: </w:t>
      </w:r>
      <w:r>
        <w:t>R</w:t>
      </w:r>
      <w:r w:rsidR="00D15801" w:rsidRPr="00D15801">
        <w:t>emove the permanent exemption for actions taken under the Migration Act 1958 from the anti-discrimination provisions.</w:t>
      </w:r>
      <w:bookmarkEnd w:id="48"/>
    </w:p>
    <w:p w14:paraId="6859229D" w14:textId="7916C565" w:rsidR="007D4B8A" w:rsidRPr="00AD29AC" w:rsidRDefault="002532AE" w:rsidP="007D4B8A">
      <w:pPr>
        <w:pStyle w:val="ListParagraph"/>
      </w:pPr>
      <w:r w:rsidRPr="00AD29AC">
        <w:t>The exemption perpetuates ableism by allowing the migration system to treat people with disability as a burden based on projected health care and support costs rather than recognising their potential contributions to Australian society.</w:t>
      </w:r>
      <w:r w:rsidR="007D4B8A" w:rsidRPr="007D4B8A">
        <w:t xml:space="preserve"> </w:t>
      </w:r>
      <w:r w:rsidR="007D4B8A" w:rsidRPr="00AD29AC">
        <w:t>It is not acceptable that skilled migrants with disability are denied permanent residency purely based on disability.</w:t>
      </w:r>
    </w:p>
    <w:p w14:paraId="110039B2" w14:textId="282A453D" w:rsidR="002532AE" w:rsidRPr="00AD29AC" w:rsidRDefault="002532AE" w:rsidP="006D1DEA">
      <w:pPr>
        <w:pStyle w:val="ListParagraph"/>
      </w:pPr>
      <w:r w:rsidRPr="00AD29AC">
        <w:t>Denying visas based on disability undermines the intent and reform of the Act and the exemption contradicts Australia’s obligations under the CRPD.</w:t>
      </w:r>
    </w:p>
    <w:p w14:paraId="39EA87C5" w14:textId="77777777" w:rsidR="001D1131" w:rsidRPr="00CE2747" w:rsidRDefault="001D1131" w:rsidP="007350B7">
      <w:pPr>
        <w:pStyle w:val="Heading2"/>
      </w:pPr>
      <w:bookmarkStart w:id="49" w:name="_Toc212204017"/>
      <w:r w:rsidRPr="00CE2747">
        <w:t>Special measures</w:t>
      </w:r>
      <w:bookmarkEnd w:id="49"/>
    </w:p>
    <w:p w14:paraId="75676143"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the Australian Human Rights Commission be given the power to grant special measures certificates?</w:t>
      </w:r>
    </w:p>
    <w:p w14:paraId="274BA371" w14:textId="2877D52B" w:rsidR="00D70944" w:rsidRDefault="007135A7" w:rsidP="00D70944">
      <w:r>
        <w:rPr>
          <w:szCs w:val="24"/>
        </w:rPr>
        <w:lastRenderedPageBreak/>
        <w:t xml:space="preserve">Yes. </w:t>
      </w:r>
      <w:r w:rsidR="00012FCD">
        <w:rPr>
          <w:szCs w:val="24"/>
        </w:rPr>
        <w:t>S</w:t>
      </w:r>
      <w:r w:rsidR="00D32CFA" w:rsidRPr="00D32CFA">
        <w:t>trengthen anti-discrimination protections by enabling proactive, targeted interventions to address systemic inequalities for people with disabilit</w:t>
      </w:r>
      <w:r w:rsidR="00012FCD">
        <w:t>y</w:t>
      </w:r>
      <w:r w:rsidR="00B2617E">
        <w:t xml:space="preserve"> through </w:t>
      </w:r>
      <w:r w:rsidR="008E1D79">
        <w:t>use of</w:t>
      </w:r>
      <w:r w:rsidR="00D70944">
        <w:t xml:space="preserve"> a certification process. </w:t>
      </w:r>
    </w:p>
    <w:p w14:paraId="2D5FE895" w14:textId="77777777" w:rsidR="00341B13" w:rsidRDefault="00255371" w:rsidP="006D1DEA">
      <w:pPr>
        <w:pStyle w:val="ListParagraph"/>
      </w:pPr>
      <w:r w:rsidRPr="00255371">
        <w:t>Currently, the DDA permits special measures</w:t>
      </w:r>
      <w:r w:rsidR="008E0A8E">
        <w:t xml:space="preserve"> to </w:t>
      </w:r>
      <w:r w:rsidR="008E0A8E" w:rsidRPr="00255371">
        <w:t>allow positive discrimination to promote equality (e.g. providing exclusive resources or opportunities for disadvantaged groups)</w:t>
      </w:r>
      <w:r w:rsidRPr="00255371">
        <w:t xml:space="preserve"> but lacks a formal certification process</w:t>
      </w:r>
      <w:r w:rsidR="00341B13">
        <w:t>.</w:t>
      </w:r>
      <w:r w:rsidR="001A7DA4">
        <w:t xml:space="preserve"> </w:t>
      </w:r>
    </w:p>
    <w:p w14:paraId="3494D99E" w14:textId="43088EED" w:rsidR="00B2617E" w:rsidRPr="00B2617E" w:rsidRDefault="00341B13" w:rsidP="006D1DEA">
      <w:pPr>
        <w:pStyle w:val="ListParagraph"/>
      </w:pPr>
      <w:r>
        <w:t>I</w:t>
      </w:r>
      <w:r w:rsidR="00075AA2">
        <w:t xml:space="preserve">nconsistent </w:t>
      </w:r>
      <w:r w:rsidR="007D4D5A" w:rsidRPr="007D4D5A">
        <w:t>appli</w:t>
      </w:r>
      <w:r w:rsidR="00075AA2">
        <w:t xml:space="preserve">cation and </w:t>
      </w:r>
      <w:r w:rsidR="0073594A">
        <w:t>under</w:t>
      </w:r>
      <w:r w:rsidR="00075AA2">
        <w:t>utilisation</w:t>
      </w:r>
      <w:r w:rsidR="0073594A" w:rsidRPr="007D4D5A">
        <w:t xml:space="preserve"> </w:t>
      </w:r>
      <w:r w:rsidR="006C14AE">
        <w:t>because of</w:t>
      </w:r>
      <w:r w:rsidR="00E34C0A">
        <w:t xml:space="preserve"> legal uncertainty</w:t>
      </w:r>
      <w:r>
        <w:t xml:space="preserve"> inhibits effectiveness of the provision</w:t>
      </w:r>
      <w:r w:rsidR="001A7DA4">
        <w:t>.</w:t>
      </w:r>
      <w:r w:rsidR="0089710E">
        <w:t xml:space="preserve"> </w:t>
      </w:r>
      <w:r w:rsidR="00255371" w:rsidRPr="00255371">
        <w:t xml:space="preserve">Empowering the AHRC to grant certificates </w:t>
      </w:r>
      <w:r w:rsidR="0089710E">
        <w:t>c</w:t>
      </w:r>
      <w:r w:rsidR="00255371" w:rsidRPr="00255371">
        <w:t xml:space="preserve">ould </w:t>
      </w:r>
      <w:r w:rsidR="00B2617E" w:rsidRPr="00B2617E">
        <w:t>provide legal clarity, promote proactive equality</w:t>
      </w:r>
      <w:r w:rsidR="001E4F8A">
        <w:t xml:space="preserve"> and</w:t>
      </w:r>
      <w:r w:rsidR="00B2617E" w:rsidRPr="00B2617E">
        <w:t xml:space="preserve"> enhance accountability</w:t>
      </w:r>
      <w:r w:rsidR="00B2617E">
        <w:t>.</w:t>
      </w:r>
    </w:p>
    <w:p w14:paraId="3A31F4C7" w14:textId="77777777" w:rsidR="001D1131" w:rsidRPr="009C5634" w:rsidRDefault="001D1131" w:rsidP="001D1131">
      <w:pPr>
        <w:pStyle w:val="ListNumber"/>
        <w:rPr>
          <w:rFonts w:ascii="Arial" w:hAnsi="Arial" w:cs="Arial"/>
          <w:b/>
          <w:bCs/>
          <w:sz w:val="24"/>
          <w:szCs w:val="24"/>
        </w:rPr>
      </w:pPr>
      <w:r w:rsidRPr="009C5634">
        <w:rPr>
          <w:rFonts w:ascii="Arial" w:hAnsi="Arial" w:cs="Arial"/>
          <w:b/>
          <w:bCs/>
          <w:sz w:val="24"/>
          <w:szCs w:val="24"/>
        </w:rPr>
        <w:t>Should a definition for special measures be added to the Disability Discrimination Act?</w:t>
      </w:r>
    </w:p>
    <w:p w14:paraId="6A100135" w14:textId="5B348FB7" w:rsidR="001D1131" w:rsidRDefault="001D1131" w:rsidP="001F253F">
      <w:r w:rsidRPr="00367388">
        <w:t>Yes. Include a clarifying definition for special measures to ensure they are interpreted as positive measures and align with international law obligations</w:t>
      </w:r>
      <w:r>
        <w:t>.</w:t>
      </w:r>
      <w:r>
        <w:rPr>
          <w:rStyle w:val="FootnoteReference"/>
        </w:rPr>
        <w:footnoteReference w:id="46"/>
      </w:r>
    </w:p>
    <w:p w14:paraId="7E0BF12D" w14:textId="77777777" w:rsidR="0044602A" w:rsidRPr="005D1E76" w:rsidRDefault="0044602A" w:rsidP="0044602A">
      <w:pPr>
        <w:pStyle w:val="ListNumber"/>
        <w:numPr>
          <w:ilvl w:val="0"/>
          <w:numId w:val="0"/>
        </w:numPr>
        <w:ind w:left="360"/>
        <w:rPr>
          <w:rFonts w:ascii="Arial" w:hAnsi="Arial" w:cs="Arial"/>
          <w:sz w:val="24"/>
          <w:szCs w:val="24"/>
        </w:rPr>
      </w:pPr>
    </w:p>
    <w:p w14:paraId="61246ED3" w14:textId="499541D9"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Should a definition for temporary exemptions be added to the Disability Discrimination Act?</w:t>
      </w:r>
    </w:p>
    <w:p w14:paraId="537A02D5" w14:textId="7922DC3E" w:rsidR="001D1131" w:rsidRDefault="001D1131" w:rsidP="00B74BF6">
      <w:r>
        <w:t xml:space="preserve">Yes. </w:t>
      </w:r>
      <w:r w:rsidRPr="00DA2DC1">
        <w:t>Add a definition of ‘temporary exemption’ to provide further clarity and resolve confusion between temporary exemptions and special measures.</w:t>
      </w:r>
      <w:r>
        <w:t xml:space="preserve"> </w:t>
      </w:r>
    </w:p>
    <w:p w14:paraId="03F2E783" w14:textId="77777777" w:rsidR="001D1131" w:rsidRDefault="001D1131" w:rsidP="001D1131">
      <w:pPr>
        <w:pStyle w:val="ListNumber"/>
        <w:numPr>
          <w:ilvl w:val="0"/>
          <w:numId w:val="0"/>
        </w:numPr>
        <w:ind w:left="360"/>
        <w:rPr>
          <w:rFonts w:ascii="Arial" w:hAnsi="Arial" w:cs="Arial"/>
          <w:sz w:val="24"/>
          <w:szCs w:val="24"/>
        </w:rPr>
      </w:pPr>
    </w:p>
    <w:p w14:paraId="18A85233"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Would you recommend any changes to the legislative process of granting temporary exemptions?</w:t>
      </w:r>
    </w:p>
    <w:p w14:paraId="56142698" w14:textId="67893311" w:rsidR="003A007C" w:rsidRDefault="003A007C" w:rsidP="002C7546">
      <w:pPr>
        <w:rPr>
          <w:szCs w:val="24"/>
        </w:rPr>
      </w:pPr>
      <w:r>
        <w:rPr>
          <w:szCs w:val="24"/>
        </w:rPr>
        <w:t>Yes.</w:t>
      </w:r>
      <w:r w:rsidR="001E39AC">
        <w:rPr>
          <w:szCs w:val="24"/>
        </w:rPr>
        <w:t xml:space="preserve"> </w:t>
      </w:r>
      <w:r w:rsidR="008352DB">
        <w:rPr>
          <w:szCs w:val="24"/>
        </w:rPr>
        <w:t xml:space="preserve">Recommendation: </w:t>
      </w:r>
      <w:r w:rsidR="005C4B2A">
        <w:rPr>
          <w:szCs w:val="24"/>
        </w:rPr>
        <w:t>Establish s</w:t>
      </w:r>
      <w:r w:rsidR="001E39AC" w:rsidRPr="003A007C">
        <w:t>tricter oversight and evidence-based criteria</w:t>
      </w:r>
      <w:r w:rsidR="002C7546">
        <w:t xml:space="preserve"> </w:t>
      </w:r>
      <w:r w:rsidR="001E39AC" w:rsidRPr="003A007C">
        <w:t>to ensure</w:t>
      </w:r>
      <w:r w:rsidR="00FC6D3B">
        <w:t xml:space="preserve"> temporary</w:t>
      </w:r>
      <w:r w:rsidR="001E39AC" w:rsidRPr="003A007C">
        <w:t xml:space="preserve"> exemptions are exceptional and do not perpetuate exclusion</w:t>
      </w:r>
      <w:r w:rsidR="002C7546">
        <w:t xml:space="preserve"> of people with disability.</w:t>
      </w:r>
    </w:p>
    <w:p w14:paraId="1E9F2DF0" w14:textId="44FB2418" w:rsidR="00866813" w:rsidRDefault="00866813" w:rsidP="006D1DEA">
      <w:pPr>
        <w:pStyle w:val="FirstDotPoint"/>
        <w:rPr>
          <w:rFonts w:eastAsia="Times New Roman"/>
          <w:sz w:val="20"/>
          <w:szCs w:val="20"/>
        </w:rPr>
      </w:pPr>
      <w:r w:rsidRPr="004A7F0B">
        <w:t xml:space="preserve">The Act does not set out in any detail the criteria or procedures that the </w:t>
      </w:r>
      <w:r w:rsidR="00252FF2">
        <w:t xml:space="preserve">AHRC </w:t>
      </w:r>
      <w:r w:rsidRPr="004A7F0B">
        <w:t>should use in considering applications for temporary exemption</w:t>
      </w:r>
      <w:r>
        <w:rPr>
          <w:rStyle w:val="cf11"/>
        </w:rPr>
        <w:t>.</w:t>
      </w:r>
      <w:r w:rsidR="00EB779A">
        <w:rPr>
          <w:rStyle w:val="FootnoteReference"/>
          <w:rFonts w:ascii="Segoe UI" w:hAnsi="Segoe UI" w:cs="Segoe UI"/>
          <w:color w:val="1F1923"/>
          <w:sz w:val="18"/>
          <w:szCs w:val="18"/>
          <w:shd w:val="clear" w:color="auto" w:fill="FFFFFF"/>
        </w:rPr>
        <w:footnoteReference w:id="47"/>
      </w:r>
    </w:p>
    <w:p w14:paraId="3A9E57AF" w14:textId="19395AEF" w:rsidR="001C2EDC" w:rsidRDefault="00E34F93" w:rsidP="006D1DEA">
      <w:pPr>
        <w:pStyle w:val="FirstDotPoint"/>
      </w:pPr>
      <w:r w:rsidRPr="002A2198">
        <w:t>While exemptions are necessary to support organi</w:t>
      </w:r>
      <w:r w:rsidR="00DE0D44" w:rsidRPr="002A2198">
        <w:t>s</w:t>
      </w:r>
      <w:r w:rsidRPr="002A2198">
        <w:t xml:space="preserve">ations transitioning to compliance, they should be granted only in exceptional cases where compliance is demonstrably unachievable in the short term. </w:t>
      </w:r>
      <w:r w:rsidR="000D13F8" w:rsidRPr="002A2198">
        <w:t xml:space="preserve">If </w:t>
      </w:r>
      <w:r w:rsidRPr="002A2198">
        <w:t>exemptions are too readily approved, DDA protections</w:t>
      </w:r>
      <w:r w:rsidR="00EF0873" w:rsidRPr="002A2198">
        <w:t xml:space="preserve"> are undermined</w:t>
      </w:r>
      <w:r w:rsidRPr="002A2198">
        <w:t>.</w:t>
      </w:r>
      <w:r w:rsidR="0043686A" w:rsidRPr="002A2198">
        <w:t xml:space="preserve"> </w:t>
      </w:r>
    </w:p>
    <w:p w14:paraId="6F2E4544" w14:textId="330473A8" w:rsidR="005D190F" w:rsidRPr="002A2198" w:rsidRDefault="005D190F" w:rsidP="006D1DEA">
      <w:pPr>
        <w:pStyle w:val="FirstDotPoint"/>
      </w:pPr>
      <w:r w:rsidRPr="002A2198">
        <w:t>For example, submissions to the AHRC</w:t>
      </w:r>
      <w:r w:rsidR="002A6752" w:rsidRPr="002A2198">
        <w:t xml:space="preserve"> regarding</w:t>
      </w:r>
      <w:r w:rsidR="003B687F" w:rsidRPr="002A2198">
        <w:t xml:space="preserve"> multiple</w:t>
      </w:r>
      <w:r w:rsidR="00722A95" w:rsidRPr="002A2198">
        <w:t xml:space="preserve"> exemptions</w:t>
      </w:r>
      <w:r w:rsidR="00B76AB2" w:rsidRPr="002A2198">
        <w:t xml:space="preserve"> (since 2007)</w:t>
      </w:r>
      <w:r w:rsidR="00722A95" w:rsidRPr="002A2198">
        <w:t xml:space="preserve"> for the </w:t>
      </w:r>
      <w:r w:rsidR="000F2C04" w:rsidRPr="002A2198">
        <w:t xml:space="preserve">Australasian Railways Association </w:t>
      </w:r>
      <w:r w:rsidR="003A0B4F" w:rsidRPr="002A2198">
        <w:t>cite</w:t>
      </w:r>
      <w:r w:rsidR="00AF4E73" w:rsidRPr="002A2198">
        <w:t xml:space="preserve"> various </w:t>
      </w:r>
      <w:r w:rsidR="003A0B4F" w:rsidRPr="002A2198">
        <w:t xml:space="preserve">concerns </w:t>
      </w:r>
      <w:r w:rsidR="00AF4E73" w:rsidRPr="002A2198">
        <w:t xml:space="preserve">including </w:t>
      </w:r>
      <w:r w:rsidR="00722A95" w:rsidRPr="002A2198">
        <w:t xml:space="preserve">the impact of </w:t>
      </w:r>
      <w:r w:rsidR="008B2E1C" w:rsidRPr="002A2198">
        <w:t>diminished access</w:t>
      </w:r>
      <w:r w:rsidRPr="002A2198">
        <w:t xml:space="preserve"> </w:t>
      </w:r>
      <w:r w:rsidR="00AF4E73" w:rsidRPr="002A2198">
        <w:t>to public transport</w:t>
      </w:r>
      <w:r w:rsidR="001D573D" w:rsidRPr="002A2198">
        <w:t xml:space="preserve"> and exclu</w:t>
      </w:r>
      <w:r w:rsidR="00E82DCA" w:rsidRPr="002A2198">
        <w:t>sion of</w:t>
      </w:r>
      <w:r w:rsidR="001D573D" w:rsidRPr="002A2198">
        <w:t xml:space="preserve"> people with disability</w:t>
      </w:r>
      <w:r w:rsidR="009B3DA0" w:rsidRPr="002A2198">
        <w:t>.</w:t>
      </w:r>
      <w:r w:rsidR="0059564B" w:rsidRPr="009C3416">
        <w:rPr>
          <w:rStyle w:val="FootnoteReference"/>
        </w:rPr>
        <w:footnoteReference w:id="48"/>
      </w:r>
      <w:r w:rsidR="00AF4E73" w:rsidRPr="009C3416">
        <w:rPr>
          <w:vertAlign w:val="superscript"/>
        </w:rPr>
        <w:t xml:space="preserve"> </w:t>
      </w:r>
      <w:r w:rsidR="0076542B" w:rsidRPr="002A2198">
        <w:t xml:space="preserve">Public transport is a </w:t>
      </w:r>
      <w:r w:rsidR="0076542B" w:rsidRPr="002A2198">
        <w:lastRenderedPageBreak/>
        <w:t>fundamental right</w:t>
      </w:r>
      <w:r w:rsidR="00EE65B6" w:rsidRPr="002A2198">
        <w:t>,</w:t>
      </w:r>
      <w:r w:rsidR="00F5035F" w:rsidRPr="002A2198">
        <w:t xml:space="preserve"> </w:t>
      </w:r>
      <w:r w:rsidR="00EE65B6" w:rsidRPr="002A2198">
        <w:t xml:space="preserve">and </w:t>
      </w:r>
      <w:r w:rsidR="002E0292" w:rsidRPr="002A2198">
        <w:t>a crucial service for people who are blind or vision impaired</w:t>
      </w:r>
      <w:r w:rsidR="0076542B" w:rsidRPr="002A2198">
        <w:t>.</w:t>
      </w:r>
    </w:p>
    <w:p w14:paraId="0614245F" w14:textId="752CFF93" w:rsidR="000D432F" w:rsidRPr="002A2198" w:rsidRDefault="00CB62CA" w:rsidP="00537BAC">
      <w:pPr>
        <w:pStyle w:val="FirstDotPoint"/>
      </w:pPr>
      <w:r w:rsidRPr="002A2198">
        <w:t>T</w:t>
      </w:r>
      <w:r w:rsidR="003A007C" w:rsidRPr="002A2198">
        <w:t xml:space="preserve">emporary exemptions </w:t>
      </w:r>
      <w:r w:rsidRPr="002A2198">
        <w:t xml:space="preserve">should be limited </w:t>
      </w:r>
      <w:r w:rsidR="003A007C" w:rsidRPr="002A2198">
        <w:t xml:space="preserve">per applicant, with heightened scrutiny for repeat applications. Applicants </w:t>
      </w:r>
      <w:r w:rsidRPr="002A2198">
        <w:t xml:space="preserve">should be </w:t>
      </w:r>
      <w:r w:rsidRPr="00606D4E">
        <w:t xml:space="preserve">required to </w:t>
      </w:r>
      <w:r w:rsidR="003A007C" w:rsidRPr="00606D4E">
        <w:t>justify the need for further exemptions and provide evidence of efforts to minimi</w:t>
      </w:r>
      <w:r w:rsidRPr="00606D4E">
        <w:t>s</w:t>
      </w:r>
      <w:r w:rsidR="003A007C" w:rsidRPr="00606D4E">
        <w:t>e non-compliance impacts</w:t>
      </w:r>
      <w:r w:rsidR="00E34F93" w:rsidRPr="00606D4E">
        <w:t>.</w:t>
      </w:r>
      <w:r w:rsidR="00606D4E" w:rsidRPr="009C7BCE">
        <w:rPr>
          <w:rFonts w:eastAsia="MS Mincho"/>
          <w:lang w:eastAsia="ja-JP"/>
        </w:rPr>
        <w:t xml:space="preserve"> Applicants should be </w:t>
      </w:r>
      <w:r w:rsidR="00606D4E" w:rsidRPr="00606D4E">
        <w:t xml:space="preserve">obligated to work towards compliance in the period of </w:t>
      </w:r>
      <w:r w:rsidR="0029619A">
        <w:t xml:space="preserve">their temporary </w:t>
      </w:r>
      <w:r w:rsidR="00606D4E" w:rsidRPr="00606D4E">
        <w:t>exemption</w:t>
      </w:r>
      <w:r w:rsidR="009C7BCE">
        <w:t xml:space="preserve"> and </w:t>
      </w:r>
      <w:r w:rsidR="000E3B0F">
        <w:t xml:space="preserve">be </w:t>
      </w:r>
      <w:r w:rsidR="009C7BCE">
        <w:t xml:space="preserve">required to </w:t>
      </w:r>
      <w:r w:rsidR="000D432F" w:rsidRPr="00AA1E9F">
        <w:t>public</w:t>
      </w:r>
      <w:r w:rsidR="000E3B0F">
        <w:t>ly</w:t>
      </w:r>
      <w:r w:rsidR="000D432F" w:rsidRPr="00AA1E9F">
        <w:t xml:space="preserve"> report</w:t>
      </w:r>
      <w:r w:rsidR="000E3B0F">
        <w:t xml:space="preserve"> on progress</w:t>
      </w:r>
      <w:r w:rsidR="000D432F" w:rsidRPr="00AA1E9F">
        <w:t xml:space="preserve"> during the period for which the temporary exemption is granted.</w:t>
      </w:r>
    </w:p>
    <w:p w14:paraId="0D65002E" w14:textId="77777777" w:rsidR="001D1131" w:rsidRDefault="001D1131" w:rsidP="007350B7">
      <w:pPr>
        <w:pStyle w:val="Heading2"/>
      </w:pPr>
      <w:bookmarkStart w:id="50" w:name="_Toc212204018"/>
      <w:r>
        <w:t>Assistance Animals</w:t>
      </w:r>
      <w:bookmarkEnd w:id="50"/>
    </w:p>
    <w:p w14:paraId="76C49F27" w14:textId="77777777" w:rsidR="001D1131" w:rsidRPr="00C1637C" w:rsidRDefault="001D1131" w:rsidP="001D1131">
      <w:pPr>
        <w:pStyle w:val="ListNumber"/>
        <w:rPr>
          <w:rFonts w:ascii="Arial" w:hAnsi="Arial" w:cs="Arial"/>
          <w:b/>
          <w:bCs/>
          <w:sz w:val="24"/>
          <w:szCs w:val="24"/>
        </w:rPr>
      </w:pPr>
      <w:r w:rsidRPr="00C1637C">
        <w:rPr>
          <w:rFonts w:ascii="Arial" w:hAnsi="Arial" w:cs="Arial"/>
          <w:b/>
          <w:bCs/>
          <w:sz w:val="24"/>
          <w:szCs w:val="24"/>
        </w:rPr>
        <w:t>How could the protections for assistance animals be clarified for both people with disability and duty holders, including in relation to evidence of training, evidence or standards of hygiene and behaviour that are appropriate for a public place?</w:t>
      </w:r>
    </w:p>
    <w:p w14:paraId="7978B0E5" w14:textId="680FF656" w:rsidR="005271B1" w:rsidRPr="00C46ED9" w:rsidRDefault="003B4C62" w:rsidP="002975AA">
      <w:pPr>
        <w:rPr>
          <w:lang w:val="en-US"/>
        </w:rPr>
      </w:pPr>
      <w:bookmarkStart w:id="51" w:name="_Toc208589119"/>
      <w:r w:rsidRPr="00C46ED9">
        <w:rPr>
          <w:lang w:val="en-US"/>
        </w:rPr>
        <w:t>Recommendation</w:t>
      </w:r>
      <w:r w:rsidR="00D32124" w:rsidRPr="00C46ED9">
        <w:rPr>
          <w:lang w:val="en-US"/>
        </w:rPr>
        <w:t xml:space="preserve">: </w:t>
      </w:r>
      <w:bookmarkEnd w:id="51"/>
      <w:r w:rsidR="00A40E5E" w:rsidRPr="00C46ED9">
        <w:rPr>
          <w:lang w:val="en-US"/>
        </w:rPr>
        <w:t>I</w:t>
      </w:r>
      <w:r w:rsidR="00D954D1" w:rsidRPr="00C46ED9">
        <w:rPr>
          <w:lang w:val="en-US"/>
        </w:rPr>
        <w:t xml:space="preserve">mplement nationally </w:t>
      </w:r>
      <w:r w:rsidR="004C7157" w:rsidRPr="00C46ED9">
        <w:rPr>
          <w:lang w:val="en-US"/>
        </w:rPr>
        <w:t>recogni</w:t>
      </w:r>
      <w:r w:rsidR="002C3E0F">
        <w:rPr>
          <w:lang w:val="en-US"/>
        </w:rPr>
        <w:t>s</w:t>
      </w:r>
      <w:r w:rsidR="004C7157" w:rsidRPr="00C46ED9">
        <w:rPr>
          <w:lang w:val="en-US"/>
        </w:rPr>
        <w:t xml:space="preserve">ed assistance animal </w:t>
      </w:r>
      <w:r w:rsidR="00D954D1" w:rsidRPr="00C46ED9">
        <w:rPr>
          <w:lang w:val="en-US"/>
        </w:rPr>
        <w:t>licenses for trainers, training organisations and handlers</w:t>
      </w:r>
      <w:r w:rsidR="00C84B1B" w:rsidRPr="00C46ED9">
        <w:rPr>
          <w:lang w:val="en-US"/>
        </w:rPr>
        <w:t xml:space="preserve"> as proof of accreditation.</w:t>
      </w:r>
    </w:p>
    <w:p w14:paraId="687748E3" w14:textId="606C67FB" w:rsidR="00151CD1" w:rsidRPr="00151CD1" w:rsidRDefault="00F359D9" w:rsidP="00F359D9">
      <w:pPr>
        <w:rPr>
          <w:lang w:val="en-US"/>
        </w:rPr>
      </w:pPr>
      <w:r>
        <w:rPr>
          <w:lang w:val="en-US"/>
        </w:rPr>
        <w:t xml:space="preserve">Recommendation: </w:t>
      </w:r>
      <w:r w:rsidR="00DC576F">
        <w:rPr>
          <w:lang w:val="en-US"/>
        </w:rPr>
        <w:t>P</w:t>
      </w:r>
      <w:r w:rsidR="00151CD1" w:rsidRPr="00151CD1">
        <w:rPr>
          <w:lang w:val="en-US"/>
        </w:rPr>
        <w:t>rescribe</w:t>
      </w:r>
      <w:r w:rsidR="00DC576F">
        <w:rPr>
          <w:lang w:val="en-US"/>
        </w:rPr>
        <w:t xml:space="preserve"> </w:t>
      </w:r>
      <w:r w:rsidR="00DC576F" w:rsidRPr="00151CD1">
        <w:rPr>
          <w:lang w:val="en-US"/>
        </w:rPr>
        <w:t xml:space="preserve">accredited training organisations </w:t>
      </w:r>
      <w:r w:rsidR="00151CD1" w:rsidRPr="00151CD1">
        <w:rPr>
          <w:lang w:val="en-US"/>
        </w:rPr>
        <w:t xml:space="preserve">in the </w:t>
      </w:r>
      <w:r w:rsidR="00E03A76">
        <w:rPr>
          <w:lang w:val="en-US"/>
        </w:rPr>
        <w:t xml:space="preserve">DDA </w:t>
      </w:r>
      <w:r w:rsidR="002F7B9E">
        <w:rPr>
          <w:lang w:val="en-US"/>
        </w:rPr>
        <w:t>regulations</w:t>
      </w:r>
      <w:r w:rsidR="00E03A76">
        <w:rPr>
          <w:lang w:val="en-US"/>
        </w:rPr>
        <w:t xml:space="preserve"> </w:t>
      </w:r>
      <w:r w:rsidR="002F7B9E">
        <w:rPr>
          <w:lang w:val="en-US"/>
        </w:rPr>
        <w:t>to</w:t>
      </w:r>
      <w:r w:rsidR="00E03A76">
        <w:rPr>
          <w:lang w:val="en-US"/>
        </w:rPr>
        <w:t xml:space="preserve"> </w:t>
      </w:r>
      <w:r w:rsidR="00151CD1" w:rsidRPr="00151CD1">
        <w:rPr>
          <w:lang w:val="en-US"/>
        </w:rPr>
        <w:t>remov</w:t>
      </w:r>
      <w:r w:rsidR="00E03A76">
        <w:rPr>
          <w:lang w:val="en-US"/>
        </w:rPr>
        <w:t>e</w:t>
      </w:r>
      <w:r w:rsidR="00151CD1" w:rsidRPr="00151CD1">
        <w:rPr>
          <w:lang w:val="en-US"/>
        </w:rPr>
        <w:t xml:space="preserve"> any confusion around the legitimacy of </w:t>
      </w:r>
      <w:r w:rsidR="00E03A76">
        <w:rPr>
          <w:lang w:val="en-US"/>
        </w:rPr>
        <w:t>assistance</w:t>
      </w:r>
      <w:r>
        <w:rPr>
          <w:lang w:val="en-US"/>
        </w:rPr>
        <w:t xml:space="preserve"> </w:t>
      </w:r>
      <w:r w:rsidR="00151CD1" w:rsidRPr="00151CD1">
        <w:rPr>
          <w:lang w:val="en-US"/>
        </w:rPr>
        <w:t>animals trained by these organisations.</w:t>
      </w:r>
    </w:p>
    <w:p w14:paraId="3E92081F" w14:textId="0BE0F76C" w:rsidR="00151CD1" w:rsidRPr="00151CD1" w:rsidRDefault="00F359D9" w:rsidP="00F359D9">
      <w:pPr>
        <w:rPr>
          <w:lang w:val="en-US"/>
        </w:rPr>
      </w:pPr>
      <w:r>
        <w:rPr>
          <w:lang w:val="en-US"/>
        </w:rPr>
        <w:t>Recommend</w:t>
      </w:r>
      <w:r w:rsidR="008E526B">
        <w:rPr>
          <w:lang w:val="en-US"/>
        </w:rPr>
        <w:t>ation</w:t>
      </w:r>
      <w:r>
        <w:rPr>
          <w:lang w:val="en-US"/>
        </w:rPr>
        <w:t xml:space="preserve">: </w:t>
      </w:r>
      <w:r w:rsidR="00E25C24">
        <w:rPr>
          <w:lang w:val="en-US"/>
        </w:rPr>
        <w:t>Apply s</w:t>
      </w:r>
      <w:r w:rsidR="00151CD1" w:rsidRPr="00151CD1">
        <w:rPr>
          <w:lang w:val="en-US"/>
        </w:rPr>
        <w:t>tronger penalties and consistent enforcement to any entity proven to have refused entry to a person with a disability because they use an assistance animal.</w:t>
      </w:r>
    </w:p>
    <w:p w14:paraId="0571F228" w14:textId="5FA75A46" w:rsidR="0087204D" w:rsidRPr="00A76240" w:rsidRDefault="0087204D" w:rsidP="006D1DEA">
      <w:pPr>
        <w:pStyle w:val="ListParagraph"/>
        <w:rPr>
          <w:lang w:val="en-US"/>
        </w:rPr>
      </w:pPr>
      <w:r w:rsidRPr="00A76240">
        <w:t xml:space="preserve">People who are blind or vision impaired who use an assistance animal (dog guide) for mobility assistance often experience misunderstanding and discrimination when seeking to access premises including cafes and restaurants or use with on-demand transport services such as taxi and ride share. </w:t>
      </w:r>
    </w:p>
    <w:p w14:paraId="1106595F" w14:textId="237C2D85" w:rsidR="0087204D" w:rsidRPr="00B43725" w:rsidRDefault="0087204D" w:rsidP="006D1DEA">
      <w:pPr>
        <w:pStyle w:val="ListParagraph"/>
        <w:rPr>
          <w:lang w:val="en-US"/>
        </w:rPr>
      </w:pPr>
      <w:r w:rsidRPr="00A76240">
        <w:t>BCA routinely receives requests for advocacy support regarding dog guide refusal</w:t>
      </w:r>
      <w:r w:rsidR="00B034D4" w:rsidRPr="00A76240">
        <w:t>.</w:t>
      </w:r>
      <w:r w:rsidR="00800868" w:rsidRPr="00A76240">
        <w:t xml:space="preserve"> </w:t>
      </w:r>
      <w:r w:rsidR="00B034D4" w:rsidRPr="00A76240">
        <w:t>S</w:t>
      </w:r>
      <w:r w:rsidR="00800868" w:rsidRPr="00A76240">
        <w:t>everal</w:t>
      </w:r>
      <w:r w:rsidR="00B034D4" w:rsidRPr="00A76240">
        <w:t xml:space="preserve"> cases </w:t>
      </w:r>
      <w:r w:rsidR="00800868" w:rsidRPr="00A76240">
        <w:t>have been reported via mainstream media</w:t>
      </w:r>
      <w:r w:rsidR="00D95287" w:rsidRPr="00A76240">
        <w:t xml:space="preserve"> including </w:t>
      </w:r>
      <w:r w:rsidR="00D20EDB" w:rsidRPr="00A76240">
        <w:t xml:space="preserve">the experience of Lynn Potter </w:t>
      </w:r>
      <w:r w:rsidR="0096039F">
        <w:t xml:space="preserve">at a motel </w:t>
      </w:r>
      <w:r w:rsidR="00D20EDB" w:rsidRPr="00A76240">
        <w:t>in 2024</w:t>
      </w:r>
      <w:r w:rsidR="00F530B1">
        <w:rPr>
          <w:rStyle w:val="FootnoteReference"/>
        </w:rPr>
        <w:footnoteReference w:id="49"/>
      </w:r>
      <w:r w:rsidR="00D20EDB" w:rsidRPr="00A76240">
        <w:t xml:space="preserve"> </w:t>
      </w:r>
      <w:r w:rsidR="006E07F3" w:rsidRPr="00A76240">
        <w:t xml:space="preserve">and </w:t>
      </w:r>
      <w:r w:rsidR="00EE7785" w:rsidRPr="00A76240">
        <w:t>Pa</w:t>
      </w:r>
      <w:r w:rsidR="006F4541" w:rsidRPr="00A76240">
        <w:t>ralympian Jeremy Mclure</w:t>
      </w:r>
      <w:r w:rsidR="000F7222" w:rsidRPr="00A76240">
        <w:t xml:space="preserve"> in 2025</w:t>
      </w:r>
      <w:r w:rsidR="0096039F">
        <w:t xml:space="preserve"> with Uber</w:t>
      </w:r>
      <w:r w:rsidR="004D7DBE">
        <w:t>.</w:t>
      </w:r>
      <w:r w:rsidR="00F530B1">
        <w:rPr>
          <w:rStyle w:val="FootnoteReference"/>
        </w:rPr>
        <w:footnoteReference w:id="50"/>
      </w:r>
      <w:r w:rsidR="006F4541" w:rsidRPr="00A76240">
        <w:t xml:space="preserve"> </w:t>
      </w:r>
    </w:p>
    <w:p w14:paraId="5F016222" w14:textId="56CAD16E" w:rsidR="00204752" w:rsidRPr="00A76240" w:rsidRDefault="008207CA" w:rsidP="00097A5A">
      <w:pPr>
        <w:pStyle w:val="ListParagraph"/>
        <w:spacing w:after="0"/>
      </w:pPr>
      <w:r w:rsidRPr="008207CA">
        <w:rPr>
          <w:lang w:val="en-US"/>
        </w:rPr>
        <w:t xml:space="preserve">Prevailing myths and patronising attitudes regarding dog guide training and their handling </w:t>
      </w:r>
      <w:r w:rsidR="008F7FBB">
        <w:rPr>
          <w:lang w:val="en-US"/>
        </w:rPr>
        <w:t xml:space="preserve">against </w:t>
      </w:r>
      <w:r w:rsidRPr="008207CA">
        <w:rPr>
          <w:lang w:val="en-US"/>
        </w:rPr>
        <w:t xml:space="preserve">people who are blind or vision impaired are coupled with continued disregard for </w:t>
      </w:r>
      <w:r w:rsidRPr="008207CA">
        <w:rPr>
          <w:lang w:val="en-US"/>
        </w:rPr>
        <w:lastRenderedPageBreak/>
        <w:t>protections under the DDA.</w:t>
      </w:r>
      <w:r>
        <w:rPr>
          <w:lang w:val="en-US"/>
        </w:rPr>
        <w:t xml:space="preserve"> </w:t>
      </w:r>
      <w:r w:rsidR="00204752" w:rsidRPr="00A76240">
        <w:t>The proliferation of assistance animals has exacerbated discrimination against dog guide handlers who are blind or vision impaired, leading to frequent refusals of access in public spaces, transport, and services.</w:t>
      </w:r>
    </w:p>
    <w:p w14:paraId="46F1AD8A" w14:textId="297703A3" w:rsidR="00F10225" w:rsidRPr="00151CD1" w:rsidRDefault="00FF5D53" w:rsidP="000734E6">
      <w:pPr>
        <w:numPr>
          <w:ilvl w:val="0"/>
          <w:numId w:val="16"/>
        </w:numPr>
        <w:spacing w:before="0"/>
        <w:rPr>
          <w:lang w:val="en-US"/>
        </w:rPr>
      </w:pPr>
      <w:r>
        <w:t xml:space="preserve">BCA </w:t>
      </w:r>
      <w:r w:rsidR="00885BB8">
        <w:t xml:space="preserve">agrees that </w:t>
      </w:r>
      <w:r>
        <w:t xml:space="preserve">a </w:t>
      </w:r>
      <w:r w:rsidR="00204752" w:rsidRPr="00A76240">
        <w:t xml:space="preserve">clear definition of assistance animals </w:t>
      </w:r>
      <w:r w:rsidR="002A5D5F">
        <w:t>is required</w:t>
      </w:r>
      <w:r w:rsidR="00615DD1">
        <w:t>,</w:t>
      </w:r>
      <w:r w:rsidR="002A5D5F">
        <w:t xml:space="preserve"> alongside </w:t>
      </w:r>
      <w:r w:rsidR="005A041A">
        <w:t>t</w:t>
      </w:r>
      <w:r w:rsidR="00F10225" w:rsidRPr="00151CD1">
        <w:rPr>
          <w:lang w:val="en-US"/>
        </w:rPr>
        <w:t xml:space="preserve">he application of </w:t>
      </w:r>
      <w:r w:rsidR="00615DD1">
        <w:rPr>
          <w:lang w:val="en-US"/>
        </w:rPr>
        <w:t xml:space="preserve">a </w:t>
      </w:r>
      <w:r w:rsidR="00F10225" w:rsidRPr="00151CD1">
        <w:rPr>
          <w:lang w:val="en-US"/>
        </w:rPr>
        <w:t xml:space="preserve">positive duty for all </w:t>
      </w:r>
      <w:r w:rsidR="00F64321">
        <w:rPr>
          <w:lang w:val="en-US"/>
        </w:rPr>
        <w:t>duty holders</w:t>
      </w:r>
      <w:r w:rsidR="00F10225" w:rsidRPr="00151CD1">
        <w:rPr>
          <w:lang w:val="en-US"/>
        </w:rPr>
        <w:t xml:space="preserve"> to </w:t>
      </w:r>
      <w:r w:rsidR="00EB345B">
        <w:rPr>
          <w:lang w:val="en-US"/>
        </w:rPr>
        <w:t xml:space="preserve">prevent </w:t>
      </w:r>
      <w:r w:rsidR="00F10225" w:rsidRPr="00151CD1">
        <w:rPr>
          <w:lang w:val="en-US"/>
        </w:rPr>
        <w:t>discriminat</w:t>
      </w:r>
      <w:r w:rsidR="00EB345B">
        <w:rPr>
          <w:lang w:val="en-US"/>
        </w:rPr>
        <w:t>ion</w:t>
      </w:r>
      <w:r w:rsidR="00F10225" w:rsidRPr="00151CD1">
        <w:rPr>
          <w:lang w:val="en-US"/>
        </w:rPr>
        <w:t xml:space="preserve"> against people with disability who use a</w:t>
      </w:r>
      <w:r w:rsidR="00EB345B">
        <w:rPr>
          <w:lang w:val="en-US"/>
        </w:rPr>
        <w:t xml:space="preserve"> dog guide</w:t>
      </w:r>
      <w:r w:rsidR="00F10225" w:rsidRPr="00151CD1">
        <w:rPr>
          <w:lang w:val="en-US"/>
        </w:rPr>
        <w:t>.</w:t>
      </w:r>
    </w:p>
    <w:p w14:paraId="56AFDD11" w14:textId="096240E4" w:rsidR="00204752" w:rsidRDefault="00834352" w:rsidP="006D1DEA">
      <w:pPr>
        <w:pStyle w:val="ListParagraph"/>
      </w:pPr>
      <w:r>
        <w:t xml:space="preserve">BCA agrees that </w:t>
      </w:r>
      <w:r w:rsidR="00204752" w:rsidRPr="00A76240">
        <w:t xml:space="preserve">assistance animals </w:t>
      </w:r>
      <w:r w:rsidR="0092704E">
        <w:t xml:space="preserve">should </w:t>
      </w:r>
      <w:r w:rsidR="00204752" w:rsidRPr="00A76240">
        <w:t>be trained by nationally or internationally accredited organisations</w:t>
      </w:r>
      <w:r w:rsidR="00DB3E83">
        <w:t xml:space="preserve"> </w:t>
      </w:r>
      <w:r w:rsidR="00060E4D">
        <w:t xml:space="preserve">such as </w:t>
      </w:r>
      <w:r w:rsidR="00060E4D" w:rsidRPr="00612F75">
        <w:rPr>
          <w:lang w:val="en-US"/>
        </w:rPr>
        <w:t xml:space="preserve">Assistance Dogs International and International Guide Dogs Federation </w:t>
      </w:r>
      <w:r w:rsidR="00DB3E83">
        <w:t xml:space="preserve">and </w:t>
      </w:r>
      <w:r w:rsidR="0092704E">
        <w:t xml:space="preserve">that </w:t>
      </w:r>
      <w:r w:rsidR="00DB3E83">
        <w:t>these</w:t>
      </w:r>
      <w:r w:rsidR="0092704E">
        <w:t xml:space="preserve"> organisations</w:t>
      </w:r>
      <w:r w:rsidR="00DB3E83">
        <w:t xml:space="preserve"> </w:t>
      </w:r>
      <w:r w:rsidR="00626740">
        <w:t xml:space="preserve">should </w:t>
      </w:r>
      <w:r w:rsidR="00DB3E83">
        <w:t xml:space="preserve">be specified in the </w:t>
      </w:r>
      <w:r w:rsidR="00CB2A3C">
        <w:t xml:space="preserve">DDA </w:t>
      </w:r>
      <w:r>
        <w:t>R</w:t>
      </w:r>
      <w:r w:rsidR="00DB3E83">
        <w:t xml:space="preserve">egulations.  </w:t>
      </w:r>
    </w:p>
    <w:p w14:paraId="772BB5DF" w14:textId="1422B640" w:rsidR="003A1A4E" w:rsidRDefault="00D52B8A" w:rsidP="006D1DEA">
      <w:pPr>
        <w:pStyle w:val="ListParagraph"/>
      </w:pPr>
      <w:r>
        <w:t xml:space="preserve">BCA </w:t>
      </w:r>
      <w:r w:rsidR="007F2BE3">
        <w:t>supports introduction of a</w:t>
      </w:r>
      <w:r>
        <w:t xml:space="preserve"> </w:t>
      </w:r>
      <w:r w:rsidRPr="00A76240">
        <w:t xml:space="preserve">mandatory national </w:t>
      </w:r>
      <w:r w:rsidR="00FB6CB4">
        <w:t>license</w:t>
      </w:r>
      <w:r w:rsidR="007F2BE3">
        <w:t xml:space="preserve"> or identify </w:t>
      </w:r>
      <w:r w:rsidR="0093125C">
        <w:t>document</w:t>
      </w:r>
      <w:r w:rsidRPr="00A76240">
        <w:t xml:space="preserve"> for simplified verification. </w:t>
      </w:r>
      <w:r w:rsidR="00586733">
        <w:t>P</w:t>
      </w:r>
      <w:r w:rsidR="00586733" w:rsidRPr="0011491A">
        <w:t xml:space="preserve">roviding documentation that a dog guide is a trained and accredited assistance animal </w:t>
      </w:r>
      <w:r w:rsidR="003A1A4E">
        <w:t xml:space="preserve">is </w:t>
      </w:r>
      <w:r w:rsidR="00586733" w:rsidRPr="0011491A">
        <w:t xml:space="preserve">useful to </w:t>
      </w:r>
      <w:r w:rsidR="003A1A4E">
        <w:t xml:space="preserve">both </w:t>
      </w:r>
      <w:r w:rsidR="00586733" w:rsidRPr="0011491A">
        <w:t xml:space="preserve">dog guide </w:t>
      </w:r>
      <w:r w:rsidR="003A1A4E">
        <w:t>handlers</w:t>
      </w:r>
      <w:r w:rsidR="00586733" w:rsidRPr="0011491A">
        <w:t xml:space="preserve"> and </w:t>
      </w:r>
      <w:r w:rsidR="003A1A4E">
        <w:t>t</w:t>
      </w:r>
      <w:r w:rsidR="00586733" w:rsidRPr="0011491A">
        <w:t xml:space="preserve">he </w:t>
      </w:r>
      <w:r w:rsidR="003A1A4E">
        <w:t>community</w:t>
      </w:r>
      <w:r w:rsidR="00586733" w:rsidRPr="0011491A">
        <w:t xml:space="preserve">. </w:t>
      </w:r>
    </w:p>
    <w:p w14:paraId="2E07269B" w14:textId="6070391D" w:rsidR="00586733" w:rsidRPr="0011491A" w:rsidRDefault="00586733" w:rsidP="006D1DEA">
      <w:pPr>
        <w:pStyle w:val="ListParagraph"/>
      </w:pPr>
      <w:r w:rsidRPr="0011491A">
        <w:t>For th</w:t>
      </w:r>
      <w:r w:rsidR="00A8508B">
        <w:t>e</w:t>
      </w:r>
      <w:r w:rsidRPr="0011491A">
        <w:t xml:space="preserve"> documentation to have practical effect, there must be nationwide recognition </w:t>
      </w:r>
      <w:r w:rsidRPr="00C26E83">
        <w:t xml:space="preserve">and </w:t>
      </w:r>
      <w:r w:rsidRPr="0011491A">
        <w:t xml:space="preserve">acceptance of </w:t>
      </w:r>
      <w:r w:rsidR="00A8508B">
        <w:t xml:space="preserve">the </w:t>
      </w:r>
      <w:r w:rsidR="00716678">
        <w:t>identity document</w:t>
      </w:r>
      <w:r w:rsidR="00A8508B">
        <w:t xml:space="preserve"> and </w:t>
      </w:r>
      <w:r w:rsidRPr="0011491A">
        <w:t>dog guides. It is essential that after presenting th</w:t>
      </w:r>
      <w:r w:rsidR="004D412B">
        <w:t>e</w:t>
      </w:r>
      <w:r w:rsidR="00A8508B">
        <w:t xml:space="preserve"> </w:t>
      </w:r>
      <w:r w:rsidR="00B65AF4">
        <w:t>license</w:t>
      </w:r>
      <w:r w:rsidRPr="0011491A">
        <w:t xml:space="preserve">, </w:t>
      </w:r>
      <w:r w:rsidR="00BB019A">
        <w:t xml:space="preserve">continued </w:t>
      </w:r>
      <w:r w:rsidRPr="0011491A">
        <w:t xml:space="preserve">discrimination by </w:t>
      </w:r>
      <w:r w:rsidR="00D87495">
        <w:t xml:space="preserve">duty holders </w:t>
      </w:r>
      <w:r w:rsidR="00BB019A">
        <w:t>does not occur</w:t>
      </w:r>
      <w:r w:rsidRPr="0011491A">
        <w:t>.</w:t>
      </w:r>
      <w:r w:rsidR="00BB019A">
        <w:t xml:space="preserve"> </w:t>
      </w:r>
      <w:r w:rsidR="002F6515">
        <w:t>For example, t</w:t>
      </w:r>
      <w:r w:rsidR="004817F0">
        <w:t xml:space="preserve">he documentation </w:t>
      </w:r>
      <w:r w:rsidR="00FC11B3">
        <w:t xml:space="preserve">should </w:t>
      </w:r>
      <w:r w:rsidR="0065438C">
        <w:t xml:space="preserve">be accepted like a </w:t>
      </w:r>
      <w:r w:rsidR="00CB2A3C">
        <w:t>driver’s</w:t>
      </w:r>
      <w:r w:rsidR="00B65AF4">
        <w:t xml:space="preserve"> licence or </w:t>
      </w:r>
      <w:r w:rsidR="001F58A1">
        <w:t xml:space="preserve">proof of age card </w:t>
      </w:r>
      <w:r w:rsidR="006412CA">
        <w:t>when enter</w:t>
      </w:r>
      <w:r w:rsidR="001F58A1">
        <w:t>ing</w:t>
      </w:r>
      <w:r w:rsidR="006412CA">
        <w:t xml:space="preserve"> a venue with age restrictions. </w:t>
      </w:r>
      <w:r w:rsidRPr="0011491A">
        <w:t xml:space="preserve"> </w:t>
      </w:r>
    </w:p>
    <w:p w14:paraId="1C8E91DD" w14:textId="77777777" w:rsidR="00FC2056" w:rsidRDefault="00E17A94" w:rsidP="006D1DEA">
      <w:pPr>
        <w:pStyle w:val="ListParagraph"/>
      </w:pPr>
      <w:r>
        <w:t>A</w:t>
      </w:r>
      <w:r w:rsidR="00204752" w:rsidRPr="00A76240">
        <w:t>ssistance animal regulations must be harmonised across federal, state, and territory levels to eliminate jurisdictional inconsistencies that amplify discrimination</w:t>
      </w:r>
      <w:r w:rsidR="00FC2056">
        <w:t>.</w:t>
      </w:r>
      <w:r w:rsidR="004F4928">
        <w:t xml:space="preserve"> </w:t>
      </w:r>
    </w:p>
    <w:p w14:paraId="2C2328B0" w14:textId="2B4A3027" w:rsidR="00204752" w:rsidRDefault="00FC2056" w:rsidP="006D1DEA">
      <w:pPr>
        <w:pStyle w:val="ListParagraph"/>
      </w:pPr>
      <w:r>
        <w:t>C</w:t>
      </w:r>
      <w:r w:rsidR="004F4928">
        <w:t>ompliance</w:t>
      </w:r>
      <w:r w:rsidR="006C0E0E">
        <w:t xml:space="preserve"> and </w:t>
      </w:r>
      <w:r w:rsidR="001E16FA">
        <w:t>e</w:t>
      </w:r>
      <w:r w:rsidR="004F4928">
        <w:t xml:space="preserve">nforcement mechanisms </w:t>
      </w:r>
      <w:r>
        <w:t xml:space="preserve">should be </w:t>
      </w:r>
      <w:r w:rsidR="004F4928">
        <w:t xml:space="preserve">strengthened and utilised </w:t>
      </w:r>
      <w:r w:rsidR="00F72D67">
        <w:t>such</w:t>
      </w:r>
      <w:r>
        <w:t xml:space="preserve"> as</w:t>
      </w:r>
      <w:r w:rsidR="00F72D67">
        <w:t xml:space="preserve"> issu</w:t>
      </w:r>
      <w:r w:rsidR="001E16FA">
        <w:t>ing</w:t>
      </w:r>
      <w:r w:rsidR="00F72D67">
        <w:t xml:space="preserve"> on the spot fines</w:t>
      </w:r>
      <w:r w:rsidR="005627E4">
        <w:t xml:space="preserve"> </w:t>
      </w:r>
      <w:r w:rsidR="00BE4CDB">
        <w:t>for dog guide refusal</w:t>
      </w:r>
      <w:r w:rsidR="00204752" w:rsidRPr="00A76240">
        <w:t>.</w:t>
      </w:r>
    </w:p>
    <w:p w14:paraId="55BCD832"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Would legislative amendments or guidance materials be helpful to balance flexibility and certainty, or a mixture of both?</w:t>
      </w:r>
    </w:p>
    <w:p w14:paraId="38355D1B" w14:textId="37379861" w:rsidR="00AA575F" w:rsidRDefault="00AA575F" w:rsidP="00E07549">
      <w:pPr>
        <w:rPr>
          <w:szCs w:val="24"/>
        </w:rPr>
      </w:pPr>
      <w:r>
        <w:rPr>
          <w:szCs w:val="24"/>
        </w:rPr>
        <w:t xml:space="preserve">A mixture of both, provided requirements are legislatively </w:t>
      </w:r>
      <w:r w:rsidR="00950593">
        <w:rPr>
          <w:szCs w:val="24"/>
        </w:rPr>
        <w:t>clear and enforceable.</w:t>
      </w:r>
    </w:p>
    <w:p w14:paraId="0406D4F7" w14:textId="77777777" w:rsidR="005C0BC5" w:rsidRPr="00A76240" w:rsidRDefault="005C0BC5" w:rsidP="006D1DEA">
      <w:pPr>
        <w:pStyle w:val="ListParagraph"/>
      </w:pPr>
      <w:r w:rsidRPr="00A76240">
        <w:t xml:space="preserve">The </w:t>
      </w:r>
      <w:r>
        <w:t>DDA</w:t>
      </w:r>
      <w:r w:rsidRPr="00A76240">
        <w:t xml:space="preserve"> should incorporate and build upon the draft National Principles for the Regulation of Assistance Animals (released March 2025 by the Department of Social Services).</w:t>
      </w:r>
      <w:r>
        <w:rPr>
          <w:rStyle w:val="FootnoteReference"/>
        </w:rPr>
        <w:footnoteReference w:id="51"/>
      </w:r>
    </w:p>
    <w:p w14:paraId="07DE0D95" w14:textId="25CF261F" w:rsidR="00B56696" w:rsidRPr="00151CD1" w:rsidRDefault="00B56696" w:rsidP="006D1DEA">
      <w:pPr>
        <w:pStyle w:val="ListParagraph"/>
        <w:rPr>
          <w:lang w:val="en-US"/>
        </w:rPr>
      </w:pPr>
      <w:r>
        <w:t xml:space="preserve">Duty holders should be required to report on assistance animal access policies and mandatory </w:t>
      </w:r>
      <w:r w:rsidR="00AA255D">
        <w:t xml:space="preserve">disability awareness </w:t>
      </w:r>
      <w:r w:rsidRPr="00151CD1">
        <w:rPr>
          <w:lang w:val="en-US"/>
        </w:rPr>
        <w:t xml:space="preserve">training </w:t>
      </w:r>
      <w:r>
        <w:rPr>
          <w:lang w:val="en-US"/>
        </w:rPr>
        <w:t>should be undertaken by duty holders who breach obligations</w:t>
      </w:r>
      <w:r w:rsidRPr="00151CD1">
        <w:rPr>
          <w:lang w:val="en-US"/>
        </w:rPr>
        <w:t>.</w:t>
      </w:r>
    </w:p>
    <w:p w14:paraId="48BEE1B0" w14:textId="77777777" w:rsidR="00817322" w:rsidRDefault="00817322" w:rsidP="00817322">
      <w:pPr>
        <w:pStyle w:val="ListNumber"/>
        <w:numPr>
          <w:ilvl w:val="0"/>
          <w:numId w:val="0"/>
        </w:numPr>
        <w:ind w:left="360"/>
        <w:rPr>
          <w:rFonts w:ascii="Arial" w:hAnsi="Arial" w:cs="Arial"/>
          <w:sz w:val="24"/>
          <w:szCs w:val="24"/>
        </w:rPr>
      </w:pPr>
    </w:p>
    <w:p w14:paraId="5DE4E983"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Should specific training organisations be prescribed under the Disability Discrimination Regulations?</w:t>
      </w:r>
    </w:p>
    <w:p w14:paraId="448CC1A3" w14:textId="57E8A5F6" w:rsidR="001D473F" w:rsidRDefault="00271FE5" w:rsidP="001D473F">
      <w:pPr>
        <w:rPr>
          <w:rFonts w:eastAsia="Times New Roman" w:cs="Times New Roman"/>
          <w:szCs w:val="24"/>
          <w:lang w:eastAsia="en-AU"/>
        </w:rPr>
      </w:pPr>
      <w:r>
        <w:rPr>
          <w:szCs w:val="24"/>
        </w:rPr>
        <w:t>Yes</w:t>
      </w:r>
      <w:r w:rsidR="00CD3621">
        <w:rPr>
          <w:szCs w:val="24"/>
        </w:rPr>
        <w:t xml:space="preserve">. </w:t>
      </w:r>
      <w:r w:rsidR="001D473F">
        <w:rPr>
          <w:rFonts w:eastAsia="Times New Roman" w:cs="Times New Roman"/>
          <w:szCs w:val="24"/>
          <w:lang w:eastAsia="en-AU"/>
        </w:rPr>
        <w:t xml:space="preserve">The Regulations should be reviewed and updated on a regular basis to account for any changes in eligibility. </w:t>
      </w:r>
    </w:p>
    <w:p w14:paraId="5B950379" w14:textId="77777777" w:rsidR="00817322" w:rsidRDefault="00817322" w:rsidP="007350B7">
      <w:pPr>
        <w:pStyle w:val="Heading2"/>
      </w:pPr>
      <w:bookmarkStart w:id="52" w:name="_Toc212204019"/>
      <w:r>
        <w:t>Disability Action Plans</w:t>
      </w:r>
      <w:bookmarkEnd w:id="52"/>
    </w:p>
    <w:p w14:paraId="283BCD59"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Should there be minimum requirements for action plans (such as through guidelines) and what should the minimum requirements cover?</w:t>
      </w:r>
    </w:p>
    <w:p w14:paraId="227AA059" w14:textId="3E27E9EF" w:rsidR="00AD5659" w:rsidRDefault="00143472" w:rsidP="006D1DEA">
      <w:pPr>
        <w:pStyle w:val="FirstDotPoint"/>
      </w:pPr>
      <w:r w:rsidRPr="00363E6B">
        <w:t xml:space="preserve">DAPs often lack specificity, accountability, and lived experience input, leading to inconsistent </w:t>
      </w:r>
      <w:r w:rsidR="00002E67">
        <w:t xml:space="preserve">and ineffective </w:t>
      </w:r>
      <w:r w:rsidRPr="00363E6B">
        <w:t>implementation.</w:t>
      </w:r>
      <w:r w:rsidR="002C5F63" w:rsidRPr="00363E6B">
        <w:t xml:space="preserve"> </w:t>
      </w:r>
      <w:r w:rsidR="00D30D15">
        <w:t xml:space="preserve">There is often significant variability in </w:t>
      </w:r>
      <w:r w:rsidR="008D1C60">
        <w:t>the degree to which organisations value DAPs</w:t>
      </w:r>
      <w:r w:rsidR="00FD3F8B">
        <w:t xml:space="preserve"> which is </w:t>
      </w:r>
      <w:r w:rsidR="00994283">
        <w:t>reflected in the</w:t>
      </w:r>
      <w:r w:rsidR="00FD3F8B">
        <w:t xml:space="preserve"> level of effort put into their</w:t>
      </w:r>
      <w:r w:rsidR="00994283">
        <w:t xml:space="preserve"> construction, activation and monitoring</w:t>
      </w:r>
      <w:r w:rsidR="0098756E">
        <w:t xml:space="preserve">. </w:t>
      </w:r>
    </w:p>
    <w:p w14:paraId="452C6693" w14:textId="7D03B69B" w:rsidR="00AA5341" w:rsidRPr="00AA1E9F" w:rsidRDefault="00F67854" w:rsidP="006D1DEA">
      <w:pPr>
        <w:pStyle w:val="FirstDotPoint"/>
      </w:pPr>
      <w:r w:rsidRPr="00363E6B">
        <w:t xml:space="preserve">Improvements </w:t>
      </w:r>
      <w:r w:rsidR="00F871A4">
        <w:t xml:space="preserve">to DAPs </w:t>
      </w:r>
      <w:r w:rsidR="002C5F63" w:rsidRPr="00363E6B">
        <w:t>should</w:t>
      </w:r>
      <w:r w:rsidRPr="00363E6B">
        <w:t xml:space="preserve"> focus on measurability, co-design, and alignment with </w:t>
      </w:r>
      <w:r w:rsidR="00363E6B">
        <w:t xml:space="preserve">DDA </w:t>
      </w:r>
      <w:r w:rsidRPr="00363E6B">
        <w:t>reforms</w:t>
      </w:r>
      <w:r w:rsidR="002C5F63" w:rsidRPr="00363E6B">
        <w:t>.</w:t>
      </w:r>
      <w:r w:rsidR="00D2160F">
        <w:t xml:space="preserve"> </w:t>
      </w:r>
      <w:r w:rsidR="00225E3B">
        <w:t>T</w:t>
      </w:r>
      <w:r w:rsidR="00AA5341" w:rsidRPr="00AA1E9F">
        <w:t xml:space="preserve">here must be a requirement to demonstrate how the actions in the </w:t>
      </w:r>
      <w:r w:rsidR="00990753">
        <w:t>DAP</w:t>
      </w:r>
      <w:r w:rsidR="00AA5341" w:rsidRPr="00AA1E9F">
        <w:t xml:space="preserve"> promote the objects of the DDA and how they have been developed through consultation with the disability community.</w:t>
      </w:r>
      <w:r w:rsidR="00AA5341">
        <w:t xml:space="preserve"> T</w:t>
      </w:r>
      <w:r w:rsidR="00AA5341" w:rsidRPr="00AA1E9F">
        <w:t xml:space="preserve">here must be a requirement for regular and public reporting on progress in implementing </w:t>
      </w:r>
      <w:r w:rsidR="00C95EA1">
        <w:t>DAPs</w:t>
      </w:r>
      <w:r w:rsidR="00AA5341" w:rsidRPr="00AA1E9F">
        <w:t>. The AHRC should be required to provide a list of organisations who have not met reporting requirements as part of the AHRC’s parliamentary reporting.</w:t>
      </w:r>
    </w:p>
    <w:p w14:paraId="5BBDE676" w14:textId="17D728B6" w:rsidR="0015310B" w:rsidRDefault="00E21D10" w:rsidP="0089303D">
      <w:pPr>
        <w:pStyle w:val="FirstDotPoint"/>
      </w:pPr>
      <w:r w:rsidRPr="00363E6B">
        <w:t xml:space="preserve">All </w:t>
      </w:r>
      <w:r w:rsidR="00363E6B">
        <w:t xml:space="preserve">DAPs </w:t>
      </w:r>
      <w:r w:rsidRPr="00363E6B">
        <w:t>should include SMART goals (Specific, Measurable, Achievable, Realistic and Time Bound) to be meaningful.</w:t>
      </w:r>
      <w:r w:rsidR="000F14FA">
        <w:t xml:space="preserve"> </w:t>
      </w:r>
      <w:r w:rsidR="0065420D">
        <w:t>M</w:t>
      </w:r>
      <w:r w:rsidR="00EB54DD" w:rsidRPr="00E2315D">
        <w:t>etrics</w:t>
      </w:r>
      <w:r w:rsidR="0065420D">
        <w:t xml:space="preserve"> could include</w:t>
      </w:r>
      <w:r w:rsidR="00AD5659">
        <w:t>:</w:t>
      </w:r>
      <w:r w:rsidR="00AE75C8">
        <w:t xml:space="preserve"> </w:t>
      </w:r>
    </w:p>
    <w:p w14:paraId="618E43E6" w14:textId="0F854C35" w:rsidR="00A07AE8" w:rsidRDefault="00A43A60" w:rsidP="006D1DEA">
      <w:pPr>
        <w:pStyle w:val="FirstDotPoint"/>
        <w:numPr>
          <w:ilvl w:val="1"/>
          <w:numId w:val="5"/>
        </w:numPr>
      </w:pPr>
      <w:r>
        <w:t xml:space="preserve">Positive duty measures </w:t>
      </w:r>
      <w:r w:rsidR="004837A8" w:rsidRPr="004837A8">
        <w:t>to proactively address vision-specific barriers</w:t>
      </w:r>
      <w:r w:rsidR="00751B01">
        <w:t xml:space="preserve"> </w:t>
      </w:r>
      <w:r w:rsidR="00A07AE8">
        <w:t xml:space="preserve">e.g. </w:t>
      </w:r>
      <w:r w:rsidR="00A07AE8" w:rsidRPr="001F4010">
        <w:t>percentage of transport services with audio announcements</w:t>
      </w:r>
      <w:r w:rsidR="00DA4801">
        <w:t>, i</w:t>
      </w:r>
      <w:r w:rsidR="00DA4801" w:rsidRPr="00595688">
        <w:t>ntegrati</w:t>
      </w:r>
      <w:r w:rsidR="00DA4801">
        <w:t>on of</w:t>
      </w:r>
      <w:r w:rsidR="00DA4801" w:rsidRPr="00595688">
        <w:t xml:space="preserve"> U</w:t>
      </w:r>
      <w:r w:rsidR="00007C16">
        <w:t xml:space="preserve">niversal Design for </w:t>
      </w:r>
      <w:r w:rsidR="00DA4801" w:rsidRPr="00595688">
        <w:t>L</w:t>
      </w:r>
      <w:r w:rsidR="00007C16">
        <w:t xml:space="preserve">earning </w:t>
      </w:r>
      <w:r w:rsidR="00DA4801" w:rsidRPr="00595688">
        <w:t>principles in education</w:t>
      </w:r>
      <w:r w:rsidR="00F77A2B">
        <w:t>.</w:t>
      </w:r>
    </w:p>
    <w:p w14:paraId="395AC64E" w14:textId="5CF359BB" w:rsidR="00023DD4" w:rsidRDefault="0065420D" w:rsidP="006D1DEA">
      <w:pPr>
        <w:pStyle w:val="FirstDotPoint"/>
        <w:numPr>
          <w:ilvl w:val="1"/>
          <w:numId w:val="5"/>
        </w:numPr>
      </w:pPr>
      <w:r>
        <w:t>Annual r</w:t>
      </w:r>
      <w:r w:rsidR="00DB27D0">
        <w:t>eporting on adjustment</w:t>
      </w:r>
      <w:r w:rsidR="00A07AE8">
        <w:t xml:space="preserve">s. </w:t>
      </w:r>
    </w:p>
    <w:p w14:paraId="6A767420" w14:textId="71408DFB" w:rsidR="00023DD4" w:rsidRPr="0028552F" w:rsidRDefault="005847DA" w:rsidP="006D1DEA">
      <w:pPr>
        <w:pStyle w:val="FirstDotPoint"/>
        <w:numPr>
          <w:ilvl w:val="1"/>
          <w:numId w:val="5"/>
        </w:numPr>
      </w:pPr>
      <w:r>
        <w:t>A</w:t>
      </w:r>
      <w:r w:rsidR="00023DD4" w:rsidRPr="0028552F">
        <w:t xml:space="preserve">nnual disability awareness training for </w:t>
      </w:r>
      <w:r w:rsidR="00F77A2B">
        <w:t xml:space="preserve">all </w:t>
      </w:r>
      <w:r w:rsidR="00023DD4" w:rsidRPr="0028552F">
        <w:t>staff</w:t>
      </w:r>
      <w:r w:rsidR="00F77A2B">
        <w:t>.</w:t>
      </w:r>
      <w:r w:rsidR="00023DD4">
        <w:t xml:space="preserve"> </w:t>
      </w:r>
    </w:p>
    <w:p w14:paraId="347C3BF5" w14:textId="5CCED6BF" w:rsidR="005B63FC" w:rsidRDefault="005C0EC3" w:rsidP="00CD0F59">
      <w:pPr>
        <w:pStyle w:val="FirstDotPoint"/>
        <w:numPr>
          <w:ilvl w:val="1"/>
          <w:numId w:val="5"/>
        </w:numPr>
      </w:pPr>
      <w:r>
        <w:t>Adoption of d</w:t>
      </w:r>
      <w:r w:rsidR="00670D64" w:rsidRPr="00595688">
        <w:t>igital accessibility standards (e.g. WCAG 2.2 Level AA)</w:t>
      </w:r>
      <w:r w:rsidR="000149D0">
        <w:t>.</w:t>
      </w:r>
      <w:r w:rsidR="00670D64" w:rsidRPr="00595688">
        <w:t xml:space="preserve"> KPIs for screen reader compatibility and audio descriptions</w:t>
      </w:r>
      <w:r w:rsidR="000149D0">
        <w:t>.</w:t>
      </w:r>
      <w:r w:rsidR="00670D64">
        <w:t xml:space="preserve"> </w:t>
      </w:r>
      <w:r w:rsidR="004837A8" w:rsidRPr="004837A8">
        <w:t>WCAG audits for digital inclusion</w:t>
      </w:r>
      <w:r w:rsidR="00670D64">
        <w:t>.</w:t>
      </w:r>
      <w:r w:rsidR="004837A8" w:rsidRPr="004837A8">
        <w:t xml:space="preserve"> </w:t>
      </w:r>
    </w:p>
    <w:p w14:paraId="244E2A3C" w14:textId="2186E29E" w:rsidR="005B63FC" w:rsidRDefault="005B63FC" w:rsidP="006D1DEA">
      <w:pPr>
        <w:pStyle w:val="FirstDotPoint"/>
        <w:numPr>
          <w:ilvl w:val="1"/>
          <w:numId w:val="5"/>
        </w:numPr>
      </w:pPr>
      <w:r>
        <w:t>A</w:t>
      </w:r>
      <w:r w:rsidR="004837A8" w:rsidRPr="004837A8">
        <w:t>nnual reporting on dog</w:t>
      </w:r>
      <w:r w:rsidR="00A573EF">
        <w:t xml:space="preserve"> guide</w:t>
      </w:r>
      <w:r w:rsidR="004837A8" w:rsidRPr="004837A8">
        <w:t xml:space="preserve"> access compliance. </w:t>
      </w:r>
    </w:p>
    <w:p w14:paraId="222ABAF8" w14:textId="5F6A9956" w:rsidR="008025CD" w:rsidRDefault="005713E0" w:rsidP="006D1DEA">
      <w:pPr>
        <w:pStyle w:val="FirstDotPoint"/>
        <w:numPr>
          <w:ilvl w:val="1"/>
          <w:numId w:val="5"/>
        </w:numPr>
      </w:pPr>
      <w:r>
        <w:t>Regular consultation and c</w:t>
      </w:r>
      <w:r w:rsidR="004837A8" w:rsidRPr="004837A8">
        <w:t xml:space="preserve">o-design with </w:t>
      </w:r>
      <w:r w:rsidR="005B63FC">
        <w:t xml:space="preserve">people who are </w:t>
      </w:r>
      <w:r w:rsidR="004837A8" w:rsidRPr="004837A8">
        <w:t>blind</w:t>
      </w:r>
      <w:r w:rsidR="005B63FC">
        <w:t xml:space="preserve"> or </w:t>
      </w:r>
      <w:r w:rsidR="004837A8" w:rsidRPr="004837A8">
        <w:t>vision</w:t>
      </w:r>
      <w:r w:rsidR="005B63FC">
        <w:t xml:space="preserve"> impaired</w:t>
      </w:r>
      <w:r w:rsidR="004837A8" w:rsidRPr="004837A8">
        <w:t xml:space="preserve"> to ensure </w:t>
      </w:r>
      <w:r w:rsidR="005B63FC">
        <w:t>DAP</w:t>
      </w:r>
      <w:r w:rsidR="005D6CB2">
        <w:t xml:space="preserve">s </w:t>
      </w:r>
      <w:r w:rsidR="004837A8" w:rsidRPr="004837A8">
        <w:t xml:space="preserve">tackle systemic exclusion (e.g. inaccessible </w:t>
      </w:r>
      <w:r w:rsidR="001101B6">
        <w:t>E</w:t>
      </w:r>
      <w:r w:rsidR="004837A8" w:rsidRPr="004837A8">
        <w:t>d</w:t>
      </w:r>
      <w:r w:rsidR="001101B6">
        <w:t>T</w:t>
      </w:r>
      <w:r w:rsidR="004837A8" w:rsidRPr="004837A8">
        <w:t>ech)</w:t>
      </w:r>
      <w:r w:rsidR="00A573EF">
        <w:t>.</w:t>
      </w:r>
    </w:p>
    <w:p w14:paraId="5F4F5BE5" w14:textId="6461AFEB" w:rsidR="00C55C68" w:rsidRDefault="00675702" w:rsidP="006D1DEA">
      <w:pPr>
        <w:pStyle w:val="FirstDotPoint"/>
        <w:numPr>
          <w:ilvl w:val="1"/>
          <w:numId w:val="5"/>
        </w:numPr>
      </w:pPr>
      <w:r w:rsidRPr="00675702">
        <w:t>KPIs for</w:t>
      </w:r>
      <w:r w:rsidR="001A09AA">
        <w:t xml:space="preserve"> physical access. </w:t>
      </w:r>
    </w:p>
    <w:p w14:paraId="5ABA66B3" w14:textId="0A969E22" w:rsidR="00C15BF8" w:rsidRPr="00C15BF8" w:rsidRDefault="00C15BF8" w:rsidP="00F43837">
      <w:pPr>
        <w:pStyle w:val="IntenseQuote"/>
      </w:pPr>
      <w:r>
        <w:lastRenderedPageBreak/>
        <w:t>“</w:t>
      </w:r>
      <w:r w:rsidRPr="00C15BF8">
        <w:t xml:space="preserve">I don't think it's good enough for </w:t>
      </w:r>
      <w:r w:rsidR="00A85FB9">
        <w:t>[organisations]</w:t>
      </w:r>
      <w:r w:rsidRPr="00C15BF8">
        <w:t xml:space="preserve"> </w:t>
      </w:r>
      <w:r w:rsidR="00A85FB9">
        <w:t xml:space="preserve">just </w:t>
      </w:r>
      <w:r w:rsidRPr="00C15BF8">
        <w:t>to say that they're complying. It has to be shown that they're complying</w:t>
      </w:r>
      <w:r w:rsidR="00F43837">
        <w:t>.”</w:t>
      </w:r>
      <w:r w:rsidR="00A05944">
        <w:rPr>
          <w:rStyle w:val="FootnoteReference"/>
        </w:rPr>
        <w:footnoteReference w:id="52"/>
      </w:r>
    </w:p>
    <w:p w14:paraId="3A874A6F"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Should the Australian Human Rights Commission be able to reject action plans that fail to meet these requirements?</w:t>
      </w:r>
    </w:p>
    <w:p w14:paraId="2AA674B0" w14:textId="4D527A8E" w:rsidR="0026343B" w:rsidRPr="0062412F" w:rsidRDefault="00817322" w:rsidP="006D7BEC">
      <w:r w:rsidRPr="0062412F">
        <w:t xml:space="preserve">Yes. </w:t>
      </w:r>
      <w:r w:rsidR="00F35031" w:rsidRPr="0062412F">
        <w:t>P</w:t>
      </w:r>
      <w:r w:rsidR="0026343B" w:rsidRPr="0062412F">
        <w:t xml:space="preserve">revent </w:t>
      </w:r>
      <w:r w:rsidR="0062412F">
        <w:t xml:space="preserve">the </w:t>
      </w:r>
      <w:r w:rsidR="00F35031" w:rsidRPr="0062412F">
        <w:t xml:space="preserve">creation and use of </w:t>
      </w:r>
      <w:r w:rsidR="0026343B" w:rsidRPr="0062412F">
        <w:t xml:space="preserve">superficial or inadequate </w:t>
      </w:r>
      <w:r w:rsidR="00F35031" w:rsidRPr="0062412F">
        <w:t xml:space="preserve">DAPs </w:t>
      </w:r>
      <w:r w:rsidR="0026343B" w:rsidRPr="0062412F">
        <w:t>that perpetuate systemic barriers</w:t>
      </w:r>
      <w:r w:rsidR="00F35031" w:rsidRPr="0062412F">
        <w:t xml:space="preserve"> for people who are</w:t>
      </w:r>
      <w:r w:rsidR="0026343B" w:rsidRPr="0062412F">
        <w:t xml:space="preserve"> blind </w:t>
      </w:r>
      <w:r w:rsidR="00F35031" w:rsidRPr="0062412F">
        <w:t>or</w:t>
      </w:r>
      <w:r w:rsidR="0026343B" w:rsidRPr="0062412F">
        <w:t xml:space="preserve"> vision</w:t>
      </w:r>
      <w:r w:rsidR="00F35031" w:rsidRPr="0062412F">
        <w:t xml:space="preserve"> </w:t>
      </w:r>
      <w:r w:rsidR="0026343B" w:rsidRPr="0062412F">
        <w:t>impaired</w:t>
      </w:r>
      <w:r w:rsidR="006E3282">
        <w:t>.</w:t>
      </w:r>
      <w:r w:rsidR="0026343B" w:rsidRPr="0062412F">
        <w:t xml:space="preserve"> </w:t>
      </w:r>
    </w:p>
    <w:p w14:paraId="0ADE349A" w14:textId="77777777" w:rsidR="00817322" w:rsidRDefault="00817322" w:rsidP="00817322">
      <w:pPr>
        <w:pStyle w:val="ListNumber"/>
        <w:numPr>
          <w:ilvl w:val="0"/>
          <w:numId w:val="0"/>
        </w:numPr>
        <w:ind w:left="360"/>
        <w:rPr>
          <w:rFonts w:ascii="Arial" w:hAnsi="Arial" w:cs="Arial"/>
          <w:sz w:val="24"/>
          <w:szCs w:val="24"/>
        </w:rPr>
      </w:pPr>
    </w:p>
    <w:p w14:paraId="0994BFE1"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Should there be a set period of time for which an action plan is valid?</w:t>
      </w:r>
    </w:p>
    <w:p w14:paraId="38C8CCD3" w14:textId="30BEB72E" w:rsidR="00817322" w:rsidRPr="00CC190A" w:rsidRDefault="00817322" w:rsidP="00CC190A">
      <w:r w:rsidRPr="00CC190A">
        <w:t xml:space="preserve">Yes. </w:t>
      </w:r>
      <w:r w:rsidR="00A94DE2" w:rsidRPr="00CC190A">
        <w:t>A DAP should span 3-5 years (in line with</w:t>
      </w:r>
      <w:r w:rsidR="00E035B2" w:rsidRPr="00CC190A">
        <w:t xml:space="preserve"> an organisation</w:t>
      </w:r>
      <w:r w:rsidR="006915AA">
        <w:t>’s</w:t>
      </w:r>
      <w:r w:rsidR="00A94DE2" w:rsidRPr="00CC190A">
        <w:t xml:space="preserve"> </w:t>
      </w:r>
      <w:r w:rsidR="006D7BEC">
        <w:t>Strategic</w:t>
      </w:r>
      <w:r w:rsidR="00A94DE2" w:rsidRPr="00CC190A">
        <w:t xml:space="preserve"> Plan)</w:t>
      </w:r>
      <w:r w:rsidR="00A048BF" w:rsidRPr="00CC190A">
        <w:t xml:space="preserve"> </w:t>
      </w:r>
      <w:r w:rsidR="00CC190A" w:rsidRPr="00CC190A">
        <w:t xml:space="preserve">to allow for </w:t>
      </w:r>
      <w:r w:rsidR="00CC190A" w:rsidRPr="00CC190A">
        <w:rPr>
          <w:rFonts w:eastAsiaTheme="minorEastAsia"/>
          <w:lang w:eastAsia="en-US"/>
        </w:rPr>
        <w:t>planning, funding, and implementation</w:t>
      </w:r>
      <w:r w:rsidR="00CC190A">
        <w:t>, and</w:t>
      </w:r>
      <w:r w:rsidR="00CC190A" w:rsidRPr="00CC190A">
        <w:t xml:space="preserve"> </w:t>
      </w:r>
      <w:r w:rsidR="00A94DE2" w:rsidRPr="00CC190A">
        <w:t xml:space="preserve">include </w:t>
      </w:r>
      <w:r w:rsidR="00E035B2" w:rsidRPr="00CC190A">
        <w:t>mandatory annual progress reports to track implementation, assess outcomes and adjust strategies as needed.</w:t>
      </w:r>
      <w:r w:rsidR="00A94DE2" w:rsidRPr="00CC190A">
        <w:t xml:space="preserve"> </w:t>
      </w:r>
    </w:p>
    <w:p w14:paraId="18B2619C" w14:textId="77777777" w:rsidR="00817322" w:rsidRDefault="00817322" w:rsidP="00817322">
      <w:pPr>
        <w:pStyle w:val="ListNumber"/>
        <w:numPr>
          <w:ilvl w:val="0"/>
          <w:numId w:val="0"/>
        </w:numPr>
        <w:ind w:left="360"/>
        <w:rPr>
          <w:rFonts w:ascii="Arial" w:hAnsi="Arial" w:cs="Arial"/>
          <w:sz w:val="24"/>
          <w:szCs w:val="24"/>
        </w:rPr>
      </w:pPr>
    </w:p>
    <w:p w14:paraId="0E575173"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Are there any other changes to the action plan process that you would recommend?</w:t>
      </w:r>
    </w:p>
    <w:p w14:paraId="46DC6FF6" w14:textId="77777777" w:rsidR="00817322" w:rsidRDefault="00817322" w:rsidP="00817322">
      <w:pPr>
        <w:pStyle w:val="ListNumber"/>
        <w:numPr>
          <w:ilvl w:val="0"/>
          <w:numId w:val="0"/>
        </w:numPr>
        <w:ind w:left="360"/>
        <w:rPr>
          <w:rFonts w:ascii="Arial" w:hAnsi="Arial" w:cs="Arial"/>
          <w:sz w:val="24"/>
          <w:szCs w:val="24"/>
        </w:rPr>
      </w:pPr>
    </w:p>
    <w:p w14:paraId="0CCAC228" w14:textId="6F555102" w:rsidR="00817322" w:rsidRDefault="002036D8" w:rsidP="00817322">
      <w:pPr>
        <w:pStyle w:val="ListNumber"/>
        <w:numPr>
          <w:ilvl w:val="0"/>
          <w:numId w:val="0"/>
        </w:numPr>
        <w:ind w:left="360" w:hanging="360"/>
        <w:rPr>
          <w:rFonts w:ascii="Arial" w:hAnsi="Arial" w:cs="Arial"/>
          <w:sz w:val="24"/>
          <w:szCs w:val="24"/>
        </w:rPr>
      </w:pPr>
      <w:r>
        <w:rPr>
          <w:rFonts w:ascii="Arial" w:hAnsi="Arial" w:cs="Arial"/>
          <w:sz w:val="24"/>
          <w:szCs w:val="24"/>
        </w:rPr>
        <w:t xml:space="preserve">No further comment. </w:t>
      </w:r>
    </w:p>
    <w:p w14:paraId="59873632" w14:textId="77777777" w:rsidR="00817322" w:rsidRDefault="00817322" w:rsidP="007350B7">
      <w:pPr>
        <w:pStyle w:val="Heading2"/>
      </w:pPr>
      <w:bookmarkStart w:id="53" w:name="_Toc212204020"/>
      <w:r>
        <w:t>Disability Standards</w:t>
      </w:r>
      <w:bookmarkEnd w:id="53"/>
    </w:p>
    <w:p w14:paraId="333708D0"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How could compliance with and enforcement of the Disability Standards be improved?</w:t>
      </w:r>
    </w:p>
    <w:p w14:paraId="636DF645" w14:textId="66304A5B" w:rsidR="00C5487C" w:rsidRPr="00C5487C" w:rsidRDefault="002036D8" w:rsidP="000E6618">
      <w:bookmarkStart w:id="54" w:name="_Toc208589120"/>
      <w:r>
        <w:t xml:space="preserve">Recommendation: </w:t>
      </w:r>
      <w:r w:rsidR="00160939">
        <w:t>I</w:t>
      </w:r>
      <w:r w:rsidR="00C5487C" w:rsidRPr="00C5487C">
        <w:t xml:space="preserve">mprove the Disability Standards by introducing a positive (inclusive) duty, require reporting by duty holders and empower </w:t>
      </w:r>
      <w:r w:rsidR="00013142">
        <w:t>the AHRC</w:t>
      </w:r>
      <w:r w:rsidR="00C5487C" w:rsidRPr="00C5487C">
        <w:t xml:space="preserve"> to address non-compliance.</w:t>
      </w:r>
      <w:bookmarkEnd w:id="54"/>
    </w:p>
    <w:p w14:paraId="78EC3DD8" w14:textId="4D7B3A7D" w:rsidR="00EB63F6" w:rsidRDefault="00834D94" w:rsidP="00B77BE2">
      <w:pPr>
        <w:pStyle w:val="ListParagraph"/>
        <w:numPr>
          <w:ilvl w:val="0"/>
          <w:numId w:val="9"/>
        </w:numPr>
      </w:pPr>
      <w:r w:rsidRPr="0085521A">
        <w:t>BCA's submission to the Productivity Commission</w:t>
      </w:r>
      <w:r w:rsidR="009122A9">
        <w:rPr>
          <w:rStyle w:val="FootnoteReference"/>
        </w:rPr>
        <w:footnoteReference w:id="53"/>
      </w:r>
      <w:r w:rsidRPr="0085521A">
        <w:t xml:space="preserve"> emphasised that despite the </w:t>
      </w:r>
      <w:r w:rsidR="00441713">
        <w:t>DDA</w:t>
      </w:r>
      <w:r w:rsidRPr="0085521A">
        <w:t xml:space="preserve"> and Disability Standards, barriers in employment, education, or transport have not sufficiently been reduced. </w:t>
      </w:r>
      <w:r w:rsidR="00062093">
        <w:t>T</w:t>
      </w:r>
      <w:r w:rsidRPr="0085521A">
        <w:t xml:space="preserve">he </w:t>
      </w:r>
      <w:r w:rsidR="00F739AC">
        <w:t>DDA</w:t>
      </w:r>
      <w:r w:rsidRPr="0085521A">
        <w:t xml:space="preserve"> has achieved little in relation to the provision of information in accessible formats or the provision of a safe and accessible path of travel to, from and within buildings, and the Transport Standards have been undermined by individual transport operators choosing to apply access measures (such as tactile ground surface indicators) in an idiosyncratic way, rather than according to the agreed Standard.</w:t>
      </w:r>
      <w:r w:rsidR="00A55EFF">
        <w:t xml:space="preserve"> </w:t>
      </w:r>
      <w:r w:rsidR="00EA3B8C">
        <w:t>E</w:t>
      </w:r>
      <w:r w:rsidR="00A55EFF" w:rsidRPr="00A55EFF">
        <w:t>xemption applications</w:t>
      </w:r>
      <w:r w:rsidR="00A55EFF">
        <w:t>,</w:t>
      </w:r>
      <w:r w:rsidR="00A55EFF" w:rsidRPr="00A55EFF">
        <w:t xml:space="preserve"> many </w:t>
      </w:r>
      <w:r w:rsidR="00A55EFF" w:rsidRPr="00A55EFF">
        <w:lastRenderedPageBreak/>
        <w:t>of which are related to transport</w:t>
      </w:r>
      <w:r w:rsidR="00A55EFF">
        <w:t xml:space="preserve">, </w:t>
      </w:r>
      <w:r w:rsidR="00EA3B8C">
        <w:t xml:space="preserve">continue to demonstrate </w:t>
      </w:r>
      <w:r w:rsidR="00A55EFF" w:rsidRPr="00A55EFF">
        <w:t xml:space="preserve">that the </w:t>
      </w:r>
      <w:r w:rsidR="00A55EFF">
        <w:t>S</w:t>
      </w:r>
      <w:r w:rsidR="00A55EFF" w:rsidRPr="00A55EFF">
        <w:t xml:space="preserve">tandards aren’t being </w:t>
      </w:r>
      <w:r w:rsidR="00C60764">
        <w:t xml:space="preserve">upheld and </w:t>
      </w:r>
      <w:r w:rsidR="00A55EFF" w:rsidRPr="00A55EFF">
        <w:t xml:space="preserve">the </w:t>
      </w:r>
      <w:r w:rsidR="00C60764">
        <w:t xml:space="preserve">absence </w:t>
      </w:r>
      <w:r w:rsidR="00A55EFF" w:rsidRPr="00A55EFF">
        <w:t xml:space="preserve">of </w:t>
      </w:r>
      <w:r w:rsidR="00EA3B8C">
        <w:t xml:space="preserve">any </w:t>
      </w:r>
      <w:r w:rsidR="00C60764">
        <w:t>power to enforce compliance.</w:t>
      </w:r>
      <w:r w:rsidR="003C2230">
        <w:rPr>
          <w:rStyle w:val="FootnoteReference"/>
        </w:rPr>
        <w:footnoteReference w:id="54"/>
      </w:r>
      <w:r w:rsidR="007B1021">
        <w:t xml:space="preserve"> </w:t>
      </w:r>
      <w:r w:rsidR="00926816">
        <w:t xml:space="preserve">It is the view of several BCA members that Disability Standards </w:t>
      </w:r>
      <w:r w:rsidR="00413E49">
        <w:t>do not go far enough and should at most, be considered the minimum requirement</w:t>
      </w:r>
      <w:r w:rsidR="00086FC7">
        <w:t>.</w:t>
      </w:r>
    </w:p>
    <w:p w14:paraId="1EC75C1C" w14:textId="42289447" w:rsidR="00834D94" w:rsidRDefault="00834D94" w:rsidP="006D1DEA">
      <w:pPr>
        <w:pStyle w:val="ListParagraph"/>
        <w:numPr>
          <w:ilvl w:val="0"/>
          <w:numId w:val="9"/>
        </w:numPr>
      </w:pPr>
      <w:r w:rsidRPr="0085521A">
        <w:t xml:space="preserve">Duty holders must be able to understand their obligations under the </w:t>
      </w:r>
      <w:r w:rsidR="00444B68">
        <w:t>DDA</w:t>
      </w:r>
      <w:r w:rsidRPr="0085521A">
        <w:t xml:space="preserve">. </w:t>
      </w:r>
      <w:r w:rsidR="007808A5">
        <w:t xml:space="preserve">The 2020 Review of the </w:t>
      </w:r>
      <w:r w:rsidR="00807969">
        <w:t>DSE</w:t>
      </w:r>
      <w:r w:rsidR="007808A5">
        <w:t xml:space="preserve"> revealed that many educators were</w:t>
      </w:r>
      <w:r w:rsidR="00455145" w:rsidRPr="00455145">
        <w:t xml:space="preserve"> unaware of their responsibilities under the </w:t>
      </w:r>
      <w:r w:rsidR="00456068">
        <w:t xml:space="preserve">DSE </w:t>
      </w:r>
      <w:r w:rsidR="00444B68">
        <w:t>and/</w:t>
      </w:r>
      <w:r w:rsidR="00455145" w:rsidRPr="00455145">
        <w:t>or d</w:t>
      </w:r>
      <w:r w:rsidR="00444B68">
        <w:t>id</w:t>
      </w:r>
      <w:r w:rsidR="00455145" w:rsidRPr="00455145">
        <w:t xml:space="preserve"> not have the information they need to implement them. </w:t>
      </w:r>
      <w:r w:rsidRPr="0085521A">
        <w:t xml:space="preserve">The use of practical </w:t>
      </w:r>
      <w:r w:rsidR="00080083">
        <w:t xml:space="preserve">information </w:t>
      </w:r>
      <w:r w:rsidR="000E3B19">
        <w:t xml:space="preserve">and training </w:t>
      </w:r>
      <w:r w:rsidR="00080083">
        <w:t xml:space="preserve">products that explain the </w:t>
      </w:r>
      <w:r w:rsidR="00763CFB">
        <w:t xml:space="preserve">Disability </w:t>
      </w:r>
      <w:r w:rsidR="00080083">
        <w:t>Standards</w:t>
      </w:r>
      <w:r w:rsidR="00E15B39">
        <w:t>,</w:t>
      </w:r>
      <w:r w:rsidR="00080083">
        <w:t xml:space="preserve"> </w:t>
      </w:r>
      <w:r w:rsidRPr="0085521A">
        <w:t>examples</w:t>
      </w:r>
      <w:r w:rsidR="000E3B19">
        <w:t xml:space="preserve"> of good practice</w:t>
      </w:r>
      <w:r w:rsidR="00E15B39">
        <w:t>,</w:t>
      </w:r>
      <w:r w:rsidRPr="0085521A">
        <w:t xml:space="preserve"> and </w:t>
      </w:r>
      <w:r w:rsidR="00E15B39">
        <w:t xml:space="preserve">detail on </w:t>
      </w:r>
      <w:r w:rsidRPr="0085521A">
        <w:t xml:space="preserve">sector-specific requirements </w:t>
      </w:r>
      <w:r w:rsidR="007657A4">
        <w:t>may</w:t>
      </w:r>
      <w:r w:rsidRPr="0085521A">
        <w:t xml:space="preserve"> help to ensure clarity and consistency in implementation.</w:t>
      </w:r>
    </w:p>
    <w:p w14:paraId="0F8AD9C6" w14:textId="0FBB4545" w:rsidR="00C53DC9" w:rsidRDefault="00C53DC9" w:rsidP="006D1DEA">
      <w:pPr>
        <w:pStyle w:val="ListParagraph"/>
        <w:numPr>
          <w:ilvl w:val="0"/>
          <w:numId w:val="9"/>
        </w:numPr>
      </w:pPr>
      <w:r w:rsidRPr="0085521A">
        <w:t xml:space="preserve">The effectiveness of </w:t>
      </w:r>
      <w:r w:rsidR="006C587F">
        <w:t xml:space="preserve">Disability </w:t>
      </w:r>
      <w:r>
        <w:t>S</w:t>
      </w:r>
      <w:r w:rsidRPr="0085521A">
        <w:t>tandards is linked to their enforceability</w:t>
      </w:r>
      <w:r>
        <w:t>.</w:t>
      </w:r>
      <w:r w:rsidRPr="0085521A">
        <w:t xml:space="preserve"> </w:t>
      </w:r>
      <w:r w:rsidR="006C702B">
        <w:t>Currently, a</w:t>
      </w:r>
      <w:r w:rsidRPr="0085521A">
        <w:t xml:space="preserve"> person with disability is responsible for making a complaint to the AHRC if a duty holder isn’t complying</w:t>
      </w:r>
      <w:r>
        <w:t xml:space="preserve"> with the Standards</w:t>
      </w:r>
      <w:r w:rsidRPr="0085521A">
        <w:t xml:space="preserve"> and the AHRC does not have powers to enforce compliance. </w:t>
      </w:r>
    </w:p>
    <w:p w14:paraId="3EB906AE" w14:textId="38F21630" w:rsidR="00CE37F7" w:rsidRPr="00AA1E9F" w:rsidRDefault="00CE37F7" w:rsidP="006D1DEA">
      <w:pPr>
        <w:pStyle w:val="ListParagraph"/>
        <w:numPr>
          <w:ilvl w:val="0"/>
          <w:numId w:val="9"/>
        </w:numPr>
      </w:pPr>
      <w:r>
        <w:t>I</w:t>
      </w:r>
      <w:r w:rsidRPr="00AA1E9F">
        <w:t xml:space="preserve">t is very difficult for a person with a disability to assess whether a particular barrier or situation they have encountered constitutes a breach of the </w:t>
      </w:r>
      <w:r w:rsidR="009E39A1">
        <w:t xml:space="preserve">Disability </w:t>
      </w:r>
      <w:r w:rsidR="00FA20CC">
        <w:t>S</w:t>
      </w:r>
      <w:r w:rsidRPr="00AA1E9F">
        <w:t>tandards</w:t>
      </w:r>
      <w:r>
        <w:t>.</w:t>
      </w:r>
      <w:r w:rsidRPr="00AA1E9F">
        <w:t xml:space="preserve"> Except for the </w:t>
      </w:r>
      <w:r w:rsidR="00763CFB">
        <w:t>DSE</w:t>
      </w:r>
      <w:r w:rsidRPr="00AA1E9F">
        <w:t xml:space="preserve">, the Australian Standards frequently and normatively referenced in both the </w:t>
      </w:r>
      <w:r>
        <w:t>T</w:t>
      </w:r>
      <w:r w:rsidRPr="00AA1E9F">
        <w:t xml:space="preserve">ransport and </w:t>
      </w:r>
      <w:r>
        <w:t>P</w:t>
      </w:r>
      <w:r w:rsidRPr="00AA1E9F">
        <w:t xml:space="preserve">remises </w:t>
      </w:r>
      <w:r>
        <w:t>S</w:t>
      </w:r>
      <w:r w:rsidRPr="00AA1E9F">
        <w:t>tandards are not freely available</w:t>
      </w:r>
      <w:r>
        <w:t xml:space="preserve"> and </w:t>
      </w:r>
      <w:r w:rsidRPr="00AA1E9F">
        <w:t>none of the referenced Australian Standards are available in accessible formats.</w:t>
      </w:r>
      <w:r w:rsidR="00E85BD5">
        <w:t xml:space="preserve"> </w:t>
      </w:r>
    </w:p>
    <w:p w14:paraId="5D41BD34" w14:textId="77777777" w:rsidR="00967B92" w:rsidRDefault="00D0684F" w:rsidP="00232A95">
      <w:pPr>
        <w:pStyle w:val="ListParagraph"/>
        <w:numPr>
          <w:ilvl w:val="0"/>
          <w:numId w:val="9"/>
        </w:numPr>
      </w:pPr>
      <w:r>
        <w:t xml:space="preserve">Duty holders must be held to account for their obligations under the </w:t>
      </w:r>
      <w:r w:rsidR="00CE37F7">
        <w:t xml:space="preserve">Disability </w:t>
      </w:r>
      <w:r>
        <w:t xml:space="preserve">Standards and meaningful </w:t>
      </w:r>
      <w:r w:rsidR="007F08F0">
        <w:t xml:space="preserve">penalties applied for non-compliance. </w:t>
      </w:r>
      <w:r w:rsidR="00EF72D5">
        <w:t>T</w:t>
      </w:r>
      <w:r w:rsidR="00677B19" w:rsidRPr="00BB51F5">
        <w:t xml:space="preserve">he AHRC </w:t>
      </w:r>
      <w:r w:rsidR="00EF72D5">
        <w:t xml:space="preserve">should be empowered </w:t>
      </w:r>
      <w:r w:rsidR="00677B19" w:rsidRPr="00BB51F5">
        <w:t>to certify compliance with Disability Standards</w:t>
      </w:r>
      <w:r w:rsidR="005F74B7">
        <w:t>,</w:t>
      </w:r>
      <w:r w:rsidR="00677B19" w:rsidRPr="00BB51F5">
        <w:t xml:space="preserve"> audit DAPs</w:t>
      </w:r>
      <w:r w:rsidR="00B84374">
        <w:t xml:space="preserve"> and r</w:t>
      </w:r>
      <w:r w:rsidR="00515521">
        <w:t>equire S</w:t>
      </w:r>
      <w:r w:rsidR="00515521" w:rsidRPr="00515521">
        <w:t>tate</w:t>
      </w:r>
      <w:r w:rsidR="0083262B">
        <w:t>/T</w:t>
      </w:r>
      <w:r w:rsidR="00515521" w:rsidRPr="00515521">
        <w:t>erritory governments to check how well Standards are followed</w:t>
      </w:r>
      <w:r w:rsidR="005F74B7">
        <w:t xml:space="preserve"> </w:t>
      </w:r>
      <w:r w:rsidR="008032CC">
        <w:t xml:space="preserve">and publish </w:t>
      </w:r>
      <w:r w:rsidR="007B15F3">
        <w:t xml:space="preserve">reports on </w:t>
      </w:r>
      <w:r w:rsidR="008032CC">
        <w:t>progress</w:t>
      </w:r>
      <w:r w:rsidR="00EF72D5">
        <w:t>.</w:t>
      </w:r>
      <w:r w:rsidR="00D02817">
        <w:t xml:space="preserve"> </w:t>
      </w:r>
    </w:p>
    <w:p w14:paraId="68A935DF" w14:textId="1FBB80BA" w:rsidR="0085726B" w:rsidRDefault="0085726B" w:rsidP="00232A95">
      <w:pPr>
        <w:pStyle w:val="ListParagraph"/>
        <w:numPr>
          <w:ilvl w:val="0"/>
          <w:numId w:val="9"/>
        </w:numPr>
      </w:pPr>
      <w:r>
        <w:t xml:space="preserve">BCA members </w:t>
      </w:r>
      <w:r w:rsidR="00BC3F50">
        <w:t>r</w:t>
      </w:r>
      <w:r>
        <w:t>eport</w:t>
      </w:r>
      <w:r w:rsidR="00706989">
        <w:t xml:space="preserve">ed </w:t>
      </w:r>
      <w:r w:rsidR="00C96127">
        <w:t xml:space="preserve">how </w:t>
      </w:r>
      <w:r w:rsidR="00B12409">
        <w:t xml:space="preserve">incredibly </w:t>
      </w:r>
      <w:r w:rsidR="00C96127">
        <w:t xml:space="preserve">difficult it was as an individual making a complaint to </w:t>
      </w:r>
      <w:r w:rsidR="00D02817">
        <w:t>challeng</w:t>
      </w:r>
      <w:r w:rsidR="00C96127">
        <w:t xml:space="preserve">e </w:t>
      </w:r>
      <w:r w:rsidR="008C7476">
        <w:t>government agenc</w:t>
      </w:r>
      <w:r w:rsidR="00C96127">
        <w:t>ies</w:t>
      </w:r>
      <w:r w:rsidR="008C7476">
        <w:t xml:space="preserve"> </w:t>
      </w:r>
      <w:r w:rsidR="00B12409">
        <w:t xml:space="preserve">that </w:t>
      </w:r>
      <w:r w:rsidR="008C7476">
        <w:t xml:space="preserve">were failing to comply with </w:t>
      </w:r>
      <w:r w:rsidR="0062261C">
        <w:t>Disability S</w:t>
      </w:r>
      <w:r w:rsidR="00706989">
        <w:t xml:space="preserve">tandards and </w:t>
      </w:r>
      <w:r w:rsidR="0062261C">
        <w:t xml:space="preserve">their </w:t>
      </w:r>
      <w:r w:rsidR="00706989">
        <w:t>duties under the DDA</w:t>
      </w:r>
      <w:r w:rsidR="0031356E">
        <w:t xml:space="preserve">. </w:t>
      </w:r>
    </w:p>
    <w:p w14:paraId="09CB9FDA" w14:textId="0423E15B" w:rsidR="00980DC1" w:rsidRPr="001F4010" w:rsidRDefault="00C31A65" w:rsidP="006D1DEA">
      <w:pPr>
        <w:pStyle w:val="ListParagraph"/>
        <w:numPr>
          <w:ilvl w:val="0"/>
          <w:numId w:val="9"/>
        </w:numPr>
      </w:pPr>
      <w:r>
        <w:t>To support compliance, p</w:t>
      </w:r>
      <w:r w:rsidR="00E2087F">
        <w:t xml:space="preserve">rovision of </w:t>
      </w:r>
      <w:r w:rsidR="00883F57">
        <w:t>tax</w:t>
      </w:r>
      <w:r w:rsidR="005A2DFF">
        <w:t xml:space="preserve"> or other</w:t>
      </w:r>
      <w:r w:rsidR="00883F57">
        <w:t xml:space="preserve"> </w:t>
      </w:r>
      <w:r w:rsidR="00980DC1">
        <w:t xml:space="preserve">incentives </w:t>
      </w:r>
      <w:r w:rsidR="00485362">
        <w:t xml:space="preserve">to organisations </w:t>
      </w:r>
      <w:r w:rsidR="002A0EBC">
        <w:t xml:space="preserve">for meeting </w:t>
      </w:r>
      <w:r w:rsidR="00E83083">
        <w:t xml:space="preserve">Disability </w:t>
      </w:r>
      <w:r w:rsidR="00E2087F">
        <w:t>S</w:t>
      </w:r>
      <w:r w:rsidR="002A0EBC">
        <w:t>tandards early</w:t>
      </w:r>
      <w:r w:rsidR="00EB7242">
        <w:t xml:space="preserve"> should be considered, alongside </w:t>
      </w:r>
      <w:r w:rsidR="00980DC1">
        <w:t>funding</w:t>
      </w:r>
      <w:r w:rsidR="00ED549F">
        <w:t xml:space="preserve"> options</w:t>
      </w:r>
      <w:r w:rsidR="00980DC1">
        <w:t xml:space="preserve"> </w:t>
      </w:r>
      <w:r w:rsidR="00883F57">
        <w:t xml:space="preserve">to </w:t>
      </w:r>
      <w:r w:rsidR="00C57DD4">
        <w:t xml:space="preserve">reduce </w:t>
      </w:r>
      <w:r w:rsidR="00ED549F">
        <w:t xml:space="preserve">compliance </w:t>
      </w:r>
      <w:r w:rsidR="00C57DD4">
        <w:t xml:space="preserve">barriers for small organisations. </w:t>
      </w:r>
      <w:r w:rsidR="002A0EBC">
        <w:t xml:space="preserve"> </w:t>
      </w:r>
    </w:p>
    <w:p w14:paraId="0B9AA250" w14:textId="77777777" w:rsidR="00817322" w:rsidRPr="00C1637C" w:rsidRDefault="00817322" w:rsidP="00817322">
      <w:pPr>
        <w:pStyle w:val="ListNumber"/>
        <w:rPr>
          <w:rFonts w:ascii="Arial" w:hAnsi="Arial" w:cs="Arial"/>
          <w:b/>
          <w:bCs/>
          <w:sz w:val="24"/>
          <w:szCs w:val="24"/>
        </w:rPr>
      </w:pPr>
      <w:r w:rsidRPr="00C1637C">
        <w:rPr>
          <w:rFonts w:ascii="Arial" w:hAnsi="Arial" w:cs="Arial"/>
          <w:b/>
          <w:bCs/>
          <w:sz w:val="24"/>
          <w:szCs w:val="24"/>
        </w:rPr>
        <w:t>Should the Disability Discrimination Act be amended to encourage relevant duty holders to self</w:t>
      </w:r>
      <w:r w:rsidRPr="00C1637C">
        <w:rPr>
          <w:rFonts w:ascii="Cambria Math" w:hAnsi="Cambria Math" w:cs="Cambria Math"/>
          <w:b/>
          <w:bCs/>
          <w:sz w:val="24"/>
          <w:szCs w:val="24"/>
        </w:rPr>
        <w:t>‑</w:t>
      </w:r>
      <w:r w:rsidRPr="00C1637C">
        <w:rPr>
          <w:rFonts w:ascii="Arial" w:hAnsi="Arial" w:cs="Arial"/>
          <w:b/>
          <w:bCs/>
          <w:sz w:val="24"/>
          <w:szCs w:val="24"/>
        </w:rPr>
        <w:t>report on their compliance with the Disability Standard(s) in disability action plans?</w:t>
      </w:r>
    </w:p>
    <w:p w14:paraId="5FA5D558" w14:textId="0CBAF9F9" w:rsidR="00817322" w:rsidRDefault="00817322" w:rsidP="00264FE1">
      <w:r>
        <w:lastRenderedPageBreak/>
        <w:t xml:space="preserve">Yes. </w:t>
      </w:r>
      <w:r w:rsidR="0016463C">
        <w:t>Strengthen compliance</w:t>
      </w:r>
      <w:r w:rsidR="00112BEE">
        <w:t xml:space="preserve"> with Disability Standards</w:t>
      </w:r>
      <w:r w:rsidR="0016463C">
        <w:t xml:space="preserve"> by </w:t>
      </w:r>
      <w:r w:rsidR="00112BEE">
        <w:t>mandating</w:t>
      </w:r>
      <w:r w:rsidR="0016463C">
        <w:t xml:space="preserve"> reporting</w:t>
      </w:r>
      <w:r w:rsidR="00112BEE">
        <w:t xml:space="preserve"> in DAPs</w:t>
      </w:r>
      <w:r w:rsidR="0016463C">
        <w:t>.</w:t>
      </w:r>
      <w:r w:rsidR="00264FE1">
        <w:t xml:space="preserve"> </w:t>
      </w:r>
      <w:r w:rsidR="0071799F">
        <w:t>A r</w:t>
      </w:r>
      <w:r w:rsidRPr="00A11B69">
        <w:t xml:space="preserve">eporting framework </w:t>
      </w:r>
      <w:r w:rsidR="00B433D5">
        <w:t xml:space="preserve">would </w:t>
      </w:r>
      <w:r w:rsidRPr="00A11B69">
        <w:t>provide transparency and accountability mechanism</w:t>
      </w:r>
      <w:r w:rsidR="0071799F">
        <w:t>s</w:t>
      </w:r>
      <w:r w:rsidRPr="00A11B69">
        <w:t xml:space="preserve"> and encourage</w:t>
      </w:r>
      <w:r w:rsidR="0071799F">
        <w:t>s</w:t>
      </w:r>
      <w:r w:rsidRPr="00A11B69">
        <w:t xml:space="preserve"> greater compliance.</w:t>
      </w:r>
      <w:r w:rsidR="00CD2A71">
        <w:t xml:space="preserve"> However, this must be supported by </w:t>
      </w:r>
      <w:r w:rsidR="00E74872">
        <w:t xml:space="preserve">requisite review and </w:t>
      </w:r>
      <w:r w:rsidR="00807097">
        <w:t xml:space="preserve">remedial action </w:t>
      </w:r>
      <w:r w:rsidR="00AF1FAB">
        <w:t xml:space="preserve">for </w:t>
      </w:r>
      <w:r w:rsidR="00807097">
        <w:t>non-compliance.</w:t>
      </w:r>
    </w:p>
    <w:p w14:paraId="46D071D1" w14:textId="77777777" w:rsidR="00817322" w:rsidRDefault="00817322" w:rsidP="00817322">
      <w:pPr>
        <w:pStyle w:val="ListNumber"/>
        <w:numPr>
          <w:ilvl w:val="0"/>
          <w:numId w:val="0"/>
        </w:numPr>
        <w:ind w:left="360"/>
        <w:rPr>
          <w:rFonts w:ascii="Arial" w:hAnsi="Arial" w:cs="Arial"/>
          <w:sz w:val="24"/>
          <w:szCs w:val="24"/>
        </w:rPr>
      </w:pPr>
    </w:p>
    <w:p w14:paraId="45AB2762" w14:textId="77777777" w:rsidR="00817322" w:rsidRPr="00C1637C" w:rsidRDefault="00817322" w:rsidP="00817322">
      <w:pPr>
        <w:pStyle w:val="ListNumber"/>
        <w:rPr>
          <w:rFonts w:ascii="Arial" w:hAnsi="Arial" w:cs="Arial"/>
          <w:b/>
          <w:sz w:val="24"/>
          <w:szCs w:val="24"/>
        </w:rPr>
      </w:pPr>
      <w:r w:rsidRPr="00C1637C">
        <w:rPr>
          <w:rFonts w:ascii="Arial" w:hAnsi="Arial" w:cs="Arial"/>
          <w:b/>
          <w:sz w:val="24"/>
          <w:szCs w:val="24"/>
        </w:rPr>
        <w:t>Could the Australian Human Rights Commission provide additional guidance to duty holders regarding how to self</w:t>
      </w:r>
      <w:r w:rsidRPr="00C1637C">
        <w:rPr>
          <w:rFonts w:ascii="Cambria Math" w:hAnsi="Cambria Math" w:cs="Cambria Math"/>
          <w:b/>
          <w:sz w:val="24"/>
          <w:szCs w:val="24"/>
        </w:rPr>
        <w:t>‑</w:t>
      </w:r>
      <w:r w:rsidRPr="00C1637C">
        <w:rPr>
          <w:rFonts w:ascii="Arial" w:hAnsi="Arial" w:cs="Arial"/>
          <w:b/>
          <w:sz w:val="24"/>
          <w:szCs w:val="24"/>
        </w:rPr>
        <w:t>report on the Disability Standards in disability action plans?</w:t>
      </w:r>
    </w:p>
    <w:p w14:paraId="7B09E208" w14:textId="7B8C55B5" w:rsidR="002713CD" w:rsidRPr="00AA1E9F" w:rsidRDefault="00B3074C" w:rsidP="002713CD">
      <w:pPr>
        <w:contextualSpacing/>
        <w:jc w:val="both"/>
      </w:pPr>
      <w:r>
        <w:rPr>
          <w:szCs w:val="24"/>
        </w:rPr>
        <w:t xml:space="preserve">Yes. </w:t>
      </w:r>
      <w:r w:rsidR="00D91952">
        <w:rPr>
          <w:szCs w:val="24"/>
        </w:rPr>
        <w:t>E</w:t>
      </w:r>
      <w:r w:rsidR="00D91952" w:rsidRPr="00485362">
        <w:t>xpand guidance to make self-reporting more robust, actionable, and aligned with proposed DDA reforms</w:t>
      </w:r>
      <w:r w:rsidR="00D91952">
        <w:t>.</w:t>
      </w:r>
      <w:r w:rsidR="00690EA9" w:rsidRPr="00690EA9">
        <w:t xml:space="preserve"> </w:t>
      </w:r>
    </w:p>
    <w:p w14:paraId="766ECBF3" w14:textId="60240D7F" w:rsidR="000C58ED" w:rsidRPr="00485362" w:rsidRDefault="004E243D" w:rsidP="006D1DEA">
      <w:pPr>
        <w:pStyle w:val="FirstDotPoint"/>
      </w:pPr>
      <w:r>
        <w:t>T</w:t>
      </w:r>
      <w:r w:rsidR="000C58ED" w:rsidRPr="00485362">
        <w:t>he 2020 Review</w:t>
      </w:r>
      <w:r w:rsidR="003E0D03" w:rsidRPr="00485362">
        <w:t xml:space="preserve"> of t</w:t>
      </w:r>
      <w:r w:rsidR="00851704" w:rsidRPr="00485362">
        <w:t xml:space="preserve">he </w:t>
      </w:r>
      <w:r w:rsidR="00467B2F">
        <w:t>DSE</w:t>
      </w:r>
      <w:r w:rsidR="003B6C30">
        <w:t xml:space="preserve"> revealed that</w:t>
      </w:r>
      <w:r w:rsidR="000C58ED" w:rsidRPr="00485362">
        <w:t xml:space="preserve"> self-reporting is often inconsistent and lacks depth, with stakeholders calling for clearer metrics and tools to demonstrate progress on DSE obligations like inclusive education.</w:t>
      </w:r>
      <w:r w:rsidR="00467B2F">
        <w:rPr>
          <w:rStyle w:val="FootnoteReference"/>
        </w:rPr>
        <w:footnoteReference w:id="55"/>
      </w:r>
    </w:p>
    <w:p w14:paraId="02C94103" w14:textId="786B36B2" w:rsidR="006F2D3F" w:rsidRPr="00485362" w:rsidRDefault="00F940D2" w:rsidP="006D1DEA">
      <w:pPr>
        <w:pStyle w:val="FirstDotPoint"/>
      </w:pPr>
      <w:r>
        <w:t>As noted previously, c</w:t>
      </w:r>
      <w:r w:rsidR="00E43EFB" w:rsidRPr="00485362">
        <w:t>urrent DAPs lack quantifiable indicators, leading to vague reporting</w:t>
      </w:r>
      <w:r w:rsidR="003B6C30">
        <w:t xml:space="preserve"> and poor </w:t>
      </w:r>
      <w:r w:rsidR="009474A2">
        <w:t>outcomes</w:t>
      </w:r>
      <w:r w:rsidR="00B7045A" w:rsidRPr="00485362">
        <w:t>. T</w:t>
      </w:r>
      <w:r w:rsidR="00E43EFB" w:rsidRPr="00485362">
        <w:t>emplates would simplify compliance</w:t>
      </w:r>
      <w:r>
        <w:t>, improve consistency</w:t>
      </w:r>
      <w:r w:rsidR="00E43EFB" w:rsidRPr="00485362">
        <w:t xml:space="preserve"> </w:t>
      </w:r>
      <w:r>
        <w:t xml:space="preserve">and support </w:t>
      </w:r>
      <w:r w:rsidR="00E43EFB" w:rsidRPr="00485362">
        <w:t>AHRC monitoring.</w:t>
      </w:r>
      <w:r w:rsidR="00B7045A" w:rsidRPr="00485362">
        <w:t xml:space="preserve"> </w:t>
      </w:r>
      <w:r w:rsidR="009474A2">
        <w:t>S</w:t>
      </w:r>
      <w:r w:rsidR="00347B41" w:rsidRPr="00485362">
        <w:t xml:space="preserve">pecific templates </w:t>
      </w:r>
      <w:r w:rsidR="009474A2">
        <w:t xml:space="preserve">could be </w:t>
      </w:r>
      <w:r w:rsidR="00347B41" w:rsidRPr="00485362">
        <w:t>integrated into the DAP framework, with predefined metrics</w:t>
      </w:r>
      <w:r w:rsidR="006F2D3F" w:rsidRPr="00485362">
        <w:t xml:space="preserve"> (e.g. percentage of digital learning materials compliant with WCAG 2.2 Level AA</w:t>
      </w:r>
      <w:r w:rsidR="00724B4C" w:rsidRPr="00485362">
        <w:t>.)</w:t>
      </w:r>
    </w:p>
    <w:p w14:paraId="6DB79487" w14:textId="101C1FFE" w:rsidR="00DD6042" w:rsidRPr="00485362" w:rsidRDefault="00DD6042" w:rsidP="006D1DEA">
      <w:pPr>
        <w:pStyle w:val="FirstDotPoint"/>
      </w:pPr>
      <w:r w:rsidRPr="00485362">
        <w:t>Duty holders cite resource constraints as a barrier</w:t>
      </w:r>
      <w:r w:rsidR="00B64671">
        <w:t>,</w:t>
      </w:r>
      <w:r w:rsidRPr="00485362">
        <w:t xml:space="preserve"> </w:t>
      </w:r>
      <w:r w:rsidR="00687459">
        <w:t>so consider</w:t>
      </w:r>
      <w:r w:rsidR="004F669A">
        <w:t>ation should be given to</w:t>
      </w:r>
      <w:r w:rsidR="00687459">
        <w:t xml:space="preserve"> resourcing </w:t>
      </w:r>
      <w:r w:rsidR="00C93B00">
        <w:t>t</w:t>
      </w:r>
      <w:r w:rsidRPr="00485362">
        <w:t xml:space="preserve">o </w:t>
      </w:r>
      <w:r w:rsidR="000A692E" w:rsidRPr="00485362">
        <w:t>provide</w:t>
      </w:r>
      <w:r w:rsidRPr="00485362">
        <w:t xml:space="preserve"> free, accessible training (with captions, audio formats) </w:t>
      </w:r>
      <w:r w:rsidR="000A692E" w:rsidRPr="00485362">
        <w:t>to</w:t>
      </w:r>
      <w:r w:rsidRPr="00485362">
        <w:t xml:space="preserve"> build capacity</w:t>
      </w:r>
      <w:r w:rsidR="0068153A" w:rsidRPr="00485362">
        <w:t>.</w:t>
      </w:r>
    </w:p>
    <w:p w14:paraId="0540E28C" w14:textId="543FA8F0" w:rsidR="005B044D" w:rsidRPr="00485362" w:rsidRDefault="005B044D" w:rsidP="006D1DEA">
      <w:pPr>
        <w:pStyle w:val="FirstDotPoint"/>
      </w:pPr>
      <w:r w:rsidRPr="00485362">
        <w:t>Publish anonymi</w:t>
      </w:r>
      <w:r w:rsidR="00171AF3">
        <w:t>s</w:t>
      </w:r>
      <w:r w:rsidRPr="00485362">
        <w:t>ed case studies showing effective self-reporting in DAPs, e.g. a university's annual report on Braille/audio materials for</w:t>
      </w:r>
      <w:r w:rsidR="00991BD0">
        <w:t xml:space="preserve"> </w:t>
      </w:r>
      <w:r w:rsidR="00577BC0">
        <w:t>students</w:t>
      </w:r>
      <w:r w:rsidR="00991BD0">
        <w:t xml:space="preserve"> who are</w:t>
      </w:r>
      <w:r w:rsidRPr="00485362">
        <w:t xml:space="preserve"> blind, or a school's audit of tactile indicators for low vision navigation.</w:t>
      </w:r>
      <w:r w:rsidR="001C4D7A">
        <w:t xml:space="preserve"> </w:t>
      </w:r>
    </w:p>
    <w:p w14:paraId="02E95CDC" w14:textId="74227F2E" w:rsidR="00342B0E" w:rsidRDefault="007B6E73" w:rsidP="006D1DEA">
      <w:pPr>
        <w:pStyle w:val="FirstDotPoint"/>
      </w:pPr>
      <w:r w:rsidRPr="00485362">
        <w:t>Provide feedback loops</w:t>
      </w:r>
      <w:r w:rsidR="007B3F06">
        <w:t xml:space="preserve"> including </w:t>
      </w:r>
      <w:r w:rsidRPr="00485362">
        <w:t>AHRC-generated reports on trends (e.g. common gaps in vision impairment adjustments) to inform future plan</w:t>
      </w:r>
      <w:r w:rsidR="0007162D">
        <w:t>ning</w:t>
      </w:r>
      <w:r w:rsidR="0082627B">
        <w:t>, and link with</w:t>
      </w:r>
      <w:r w:rsidR="0007162D">
        <w:t xml:space="preserve"> </w:t>
      </w:r>
      <w:r w:rsidR="00342B0E" w:rsidRPr="001C4D7A">
        <w:t>Australia</w:t>
      </w:r>
      <w:r w:rsidR="0082627B">
        <w:t>’s</w:t>
      </w:r>
      <w:r w:rsidR="00342B0E" w:rsidRPr="001C4D7A">
        <w:t xml:space="preserve"> Disability Strategy reporting </w:t>
      </w:r>
      <w:r w:rsidR="0082627B">
        <w:t xml:space="preserve">and </w:t>
      </w:r>
      <w:r w:rsidR="00342B0E" w:rsidRPr="001C4D7A">
        <w:t>planning</w:t>
      </w:r>
      <w:r w:rsidR="0082627B">
        <w:t xml:space="preserve"> functions</w:t>
      </w:r>
      <w:r w:rsidR="00342B0E">
        <w:t>.</w:t>
      </w:r>
    </w:p>
    <w:p w14:paraId="3098DC22" w14:textId="327CF2BB" w:rsidR="00817322" w:rsidRPr="00CD7A7A" w:rsidRDefault="00817322" w:rsidP="007350B7">
      <w:pPr>
        <w:pStyle w:val="Heading2"/>
      </w:pPr>
      <w:bookmarkStart w:id="55" w:name="_Toc212204021"/>
      <w:r w:rsidRPr="00CD7A7A">
        <w:t>Further options for reform</w:t>
      </w:r>
      <w:bookmarkEnd w:id="55"/>
    </w:p>
    <w:p w14:paraId="7341C862" w14:textId="77777777" w:rsidR="00817322" w:rsidRDefault="00817322" w:rsidP="00817322">
      <w:pPr>
        <w:pStyle w:val="ListNumber"/>
        <w:rPr>
          <w:rFonts w:ascii="Arial" w:hAnsi="Arial" w:cs="Arial"/>
          <w:sz w:val="24"/>
          <w:szCs w:val="24"/>
        </w:rPr>
      </w:pPr>
      <w:r w:rsidRPr="00CD7A7A">
        <w:rPr>
          <w:rFonts w:ascii="Arial" w:hAnsi="Arial" w:cs="Arial"/>
          <w:sz w:val="24"/>
          <w:szCs w:val="24"/>
        </w:rPr>
        <w:t>Are there examples of legislative provisions in Commonwealth or state and territory anti</w:t>
      </w:r>
      <w:r w:rsidRPr="00CD7A7A">
        <w:rPr>
          <w:rFonts w:ascii="Cambria Math" w:hAnsi="Cambria Math" w:cs="Cambria Math"/>
          <w:sz w:val="24"/>
          <w:szCs w:val="24"/>
        </w:rPr>
        <w:t>‑</w:t>
      </w:r>
      <w:r w:rsidRPr="00CD7A7A">
        <w:rPr>
          <w:rFonts w:ascii="Arial" w:hAnsi="Arial" w:cs="Arial"/>
          <w:sz w:val="24"/>
          <w:szCs w:val="24"/>
        </w:rPr>
        <w:t>discrimination law that could be drawn on to modernise or strengthen the Disability Discrimination Act?</w:t>
      </w:r>
    </w:p>
    <w:p w14:paraId="3DB1551B" w14:textId="77777777" w:rsidR="00817322" w:rsidRDefault="00817322" w:rsidP="00817322">
      <w:pPr>
        <w:pStyle w:val="ListNumber"/>
        <w:numPr>
          <w:ilvl w:val="0"/>
          <w:numId w:val="0"/>
        </w:numPr>
      </w:pPr>
    </w:p>
    <w:p w14:paraId="15920538" w14:textId="76FC5C4D" w:rsidR="00817322" w:rsidRDefault="00452A0E" w:rsidP="00F13690">
      <w:pPr>
        <w:pStyle w:val="ListNumber"/>
        <w:numPr>
          <w:ilvl w:val="0"/>
          <w:numId w:val="0"/>
        </w:numPr>
        <w:rPr>
          <w:rFonts w:ascii="Arial" w:hAnsi="Arial" w:cs="Arial"/>
          <w:sz w:val="24"/>
          <w:szCs w:val="24"/>
        </w:rPr>
      </w:pPr>
      <w:r>
        <w:rPr>
          <w:rFonts w:ascii="Arial" w:hAnsi="Arial" w:cs="Arial"/>
          <w:sz w:val="24"/>
          <w:szCs w:val="24"/>
        </w:rPr>
        <w:t>No further comment.</w:t>
      </w:r>
    </w:p>
    <w:p w14:paraId="5953D6E7" w14:textId="77777777" w:rsidR="00452A0E" w:rsidRDefault="00452A0E" w:rsidP="00817322">
      <w:pPr>
        <w:pStyle w:val="ListNumber"/>
        <w:numPr>
          <w:ilvl w:val="0"/>
          <w:numId w:val="0"/>
        </w:numPr>
        <w:ind w:left="360"/>
        <w:rPr>
          <w:rFonts w:ascii="Arial" w:hAnsi="Arial" w:cs="Arial"/>
          <w:sz w:val="24"/>
          <w:szCs w:val="24"/>
        </w:rPr>
      </w:pPr>
    </w:p>
    <w:p w14:paraId="1DDEE6CD" w14:textId="77777777" w:rsidR="00817322" w:rsidRPr="00C1637C" w:rsidRDefault="00817322" w:rsidP="00817322">
      <w:pPr>
        <w:pStyle w:val="ListNumber"/>
        <w:rPr>
          <w:rFonts w:ascii="Arial" w:hAnsi="Arial" w:cs="Arial"/>
          <w:b/>
          <w:sz w:val="24"/>
          <w:szCs w:val="24"/>
        </w:rPr>
      </w:pPr>
      <w:r w:rsidRPr="00C1637C">
        <w:rPr>
          <w:rFonts w:ascii="Arial" w:hAnsi="Arial" w:cs="Arial"/>
          <w:b/>
          <w:sz w:val="24"/>
          <w:szCs w:val="24"/>
        </w:rPr>
        <w:t>What additional guidance materials should be provided to the community, including duty holders, about the operation of the Disability Discrimination Act or specific amendments proposed in this paper?</w:t>
      </w:r>
    </w:p>
    <w:p w14:paraId="2F8FA348" w14:textId="43BE7D3C" w:rsidR="00C1637C" w:rsidRPr="00525CB6" w:rsidRDefault="00C1637C" w:rsidP="00C1637C">
      <w:pPr>
        <w:rPr>
          <w:lang w:eastAsia="en-AU"/>
        </w:rPr>
      </w:pPr>
      <w:r w:rsidRPr="00525CB6">
        <w:rPr>
          <w:lang w:eastAsia="en-AU"/>
        </w:rPr>
        <w:t xml:space="preserve">BCA </w:t>
      </w:r>
      <w:r>
        <w:rPr>
          <w:lang w:eastAsia="en-AU"/>
        </w:rPr>
        <w:t>recommends</w:t>
      </w:r>
      <w:r w:rsidRPr="00525CB6">
        <w:rPr>
          <w:lang w:eastAsia="en-AU"/>
        </w:rPr>
        <w:t xml:space="preserve"> the creation of clear, accessible, and practical guidance to accompany the DDA</w:t>
      </w:r>
      <w:r w:rsidR="00B673D7">
        <w:rPr>
          <w:lang w:eastAsia="en-AU"/>
        </w:rPr>
        <w:t>.</w:t>
      </w:r>
    </w:p>
    <w:p w14:paraId="3477DFA4" w14:textId="09300072" w:rsidR="00C1637C" w:rsidRPr="00572855" w:rsidRDefault="00C1637C" w:rsidP="006D1DEA">
      <w:pPr>
        <w:pStyle w:val="FirstDotPoint"/>
      </w:pPr>
      <w:r w:rsidRPr="00572855">
        <w:t>The DDA and its accompanying guidance should be available in multiple accessible formats</w:t>
      </w:r>
      <w:r>
        <w:t xml:space="preserve"> with updated </w:t>
      </w:r>
      <w:r w:rsidRPr="00572855">
        <w:t xml:space="preserve">materials released simultaneously </w:t>
      </w:r>
      <w:r w:rsidR="007719F8">
        <w:t xml:space="preserve">in alternative formats </w:t>
      </w:r>
      <w:r w:rsidRPr="00572855">
        <w:t>to ensure equal access for everyone.</w:t>
      </w:r>
    </w:p>
    <w:p w14:paraId="75CB724A" w14:textId="77777777" w:rsidR="00C1637C" w:rsidRPr="00572855" w:rsidRDefault="00C1637C" w:rsidP="006D1DEA">
      <w:pPr>
        <w:pStyle w:val="FirstDotPoint"/>
      </w:pPr>
      <w:r>
        <w:t>P</w:t>
      </w:r>
      <w:r w:rsidRPr="00572855">
        <w:t>lain language resources are necessary to explain the rights of people with disabilit</w:t>
      </w:r>
      <w:r>
        <w:t>y</w:t>
      </w:r>
      <w:r w:rsidRPr="00572855">
        <w:t xml:space="preserve"> and clarify legal concepts like positive duty and unjustifiable hardship. </w:t>
      </w:r>
      <w:r>
        <w:t xml:space="preserve">Explanations </w:t>
      </w:r>
      <w:r w:rsidRPr="00572855">
        <w:t>should be complemented by practical, real-world examples from various sectors, including communications and digital services.</w:t>
      </w:r>
    </w:p>
    <w:p w14:paraId="48895FD9" w14:textId="77777777" w:rsidR="00B673D7" w:rsidRDefault="00C1637C" w:rsidP="006D1DEA">
      <w:pPr>
        <w:pStyle w:val="FirstDotPoint"/>
      </w:pPr>
      <w:r>
        <w:t>C</w:t>
      </w:r>
      <w:r w:rsidRPr="00572855">
        <w:t xml:space="preserve">oncise, focused resources should be developed for everyday service contexts, highlighting the obligations specific to each sector as well as the rights of consumers. </w:t>
      </w:r>
    </w:p>
    <w:p w14:paraId="18EC6750" w14:textId="75769B81" w:rsidR="00C1637C" w:rsidRDefault="00C1637C" w:rsidP="006D1DEA">
      <w:pPr>
        <w:pStyle w:val="FirstDotPoint"/>
      </w:pPr>
      <w:r>
        <w:t>G</w:t>
      </w:r>
      <w:r w:rsidRPr="00572855">
        <w:t>uidance should clearly outline the enforcement frameworks and complaint mechanisms available under the DDA.</w:t>
      </w:r>
      <w:r w:rsidR="009D7B8C">
        <w:t xml:space="preserve"> </w:t>
      </w:r>
      <w:r w:rsidR="009D7B8C" w:rsidRPr="00AA1E9F">
        <w:t>Guidance material is most effective when it aims to clarify legislative or regulatory provisions; it is less effective when it is developed in areas where there is no legislative or regulatory certainty.</w:t>
      </w:r>
    </w:p>
    <w:p w14:paraId="4044273A" w14:textId="1A66A1F6" w:rsidR="00C1637C" w:rsidRDefault="00C1637C" w:rsidP="006D1DEA">
      <w:pPr>
        <w:pStyle w:val="FirstDotPoint"/>
      </w:pPr>
      <w:r>
        <w:t>G</w:t>
      </w:r>
      <w:r w:rsidRPr="00655445">
        <w:t>uidance materials should be accompanied by a structured communication and awareness campaign</w:t>
      </w:r>
      <w:r>
        <w:t xml:space="preserve"> with broad reach to ensure everyone understands what the legislation means</w:t>
      </w:r>
      <w:r w:rsidR="007719F8">
        <w:t>, as well as</w:t>
      </w:r>
      <w:r>
        <w:t xml:space="preserve"> targeted communication to duty holders and industry stakeholders to ensure understanding of obligations. There should be clear metrics to measure reach and effectiveness</w:t>
      </w:r>
      <w:r w:rsidR="00FB69FA">
        <w:t xml:space="preserve"> of the communication campaign</w:t>
      </w:r>
      <w:r>
        <w:t>.</w:t>
      </w:r>
    </w:p>
    <w:p w14:paraId="3C3CF059" w14:textId="4723710D" w:rsidR="00D6404C" w:rsidRPr="00D6404C" w:rsidRDefault="00D6404C" w:rsidP="00D6404C">
      <w:pPr>
        <w:pStyle w:val="FirstDotPoint"/>
        <w:rPr>
          <w:rFonts w:ascii="Times New Roman" w:hAnsi="Times New Roman" w:cs="Times New Roman"/>
        </w:rPr>
      </w:pPr>
      <w:r>
        <w:t>B</w:t>
      </w:r>
      <w:r w:rsidRPr="00D6404C">
        <w:t>old reform</w:t>
      </w:r>
      <w:r w:rsidR="00A8671D">
        <w:t xml:space="preserve"> of the DDA</w:t>
      </w:r>
      <w:r w:rsidRPr="00D6404C">
        <w:t xml:space="preserve"> is needed </w:t>
      </w:r>
      <w:r w:rsidR="00A8671D">
        <w:t xml:space="preserve">and must be </w:t>
      </w:r>
      <w:r w:rsidR="0052735E">
        <w:t xml:space="preserve">accompanied by widespread </w:t>
      </w:r>
      <w:r w:rsidR="00F02F3E">
        <w:t xml:space="preserve">community </w:t>
      </w:r>
      <w:r w:rsidR="00AA06A3">
        <w:t xml:space="preserve">awareness and </w:t>
      </w:r>
      <w:r w:rsidR="0052735E">
        <w:t>attitudinal change</w:t>
      </w:r>
      <w:r w:rsidR="00CA3858">
        <w:t xml:space="preserve">, as was the case for the </w:t>
      </w:r>
      <w:r w:rsidRPr="00D6404C">
        <w:t>Respect@work</w:t>
      </w:r>
      <w:r w:rsidR="00F02F3E">
        <w:t xml:space="preserve"> legislative reform.</w:t>
      </w:r>
      <w:r w:rsidRPr="00D6404C">
        <w:t xml:space="preserve">  </w:t>
      </w:r>
    </w:p>
    <w:p w14:paraId="08FD38B6" w14:textId="77777777" w:rsidR="00817322" w:rsidRPr="00C1637C" w:rsidRDefault="00817322" w:rsidP="00817322">
      <w:pPr>
        <w:pStyle w:val="ListNumber"/>
        <w:rPr>
          <w:rFonts w:ascii="Arial" w:hAnsi="Arial" w:cs="Arial"/>
          <w:b/>
          <w:sz w:val="24"/>
          <w:szCs w:val="24"/>
        </w:rPr>
      </w:pPr>
      <w:r w:rsidRPr="00C1637C">
        <w:rPr>
          <w:rFonts w:ascii="Arial" w:hAnsi="Arial" w:cs="Arial"/>
          <w:b/>
          <w:sz w:val="24"/>
          <w:szCs w:val="24"/>
        </w:rPr>
        <w:t>How can we ensure the Disability Discrimination Act remains fit</w:t>
      </w:r>
      <w:r w:rsidRPr="00C1637C">
        <w:rPr>
          <w:rFonts w:ascii="Cambria Math" w:hAnsi="Cambria Math" w:cs="Cambria Math"/>
          <w:b/>
          <w:sz w:val="24"/>
          <w:szCs w:val="24"/>
        </w:rPr>
        <w:t>‑</w:t>
      </w:r>
      <w:r w:rsidRPr="00C1637C">
        <w:rPr>
          <w:rFonts w:ascii="Arial" w:hAnsi="Arial" w:cs="Arial"/>
          <w:b/>
          <w:sz w:val="24"/>
          <w:szCs w:val="24"/>
        </w:rPr>
        <w:t>for</w:t>
      </w:r>
      <w:r w:rsidRPr="00C1637C">
        <w:rPr>
          <w:rFonts w:ascii="Cambria Math" w:hAnsi="Cambria Math" w:cs="Cambria Math"/>
          <w:b/>
          <w:sz w:val="24"/>
          <w:szCs w:val="24"/>
        </w:rPr>
        <w:t>‑</w:t>
      </w:r>
      <w:r w:rsidRPr="00C1637C">
        <w:rPr>
          <w:rFonts w:ascii="Arial" w:hAnsi="Arial" w:cs="Arial"/>
          <w:b/>
          <w:sz w:val="24"/>
          <w:szCs w:val="24"/>
        </w:rPr>
        <w:t>purpose into the future?</w:t>
      </w:r>
    </w:p>
    <w:p w14:paraId="0DB8358C" w14:textId="42A3D29B" w:rsidR="00F15711" w:rsidRDefault="00F15711" w:rsidP="007350B7">
      <w:pPr>
        <w:pStyle w:val="Heading2"/>
      </w:pPr>
      <w:bookmarkStart w:id="56" w:name="_Toc208589121"/>
      <w:bookmarkStart w:id="57" w:name="_Toc212204022"/>
      <w:r>
        <w:t>Access to information</w:t>
      </w:r>
      <w:bookmarkEnd w:id="57"/>
      <w:r>
        <w:t xml:space="preserve"> </w:t>
      </w:r>
    </w:p>
    <w:p w14:paraId="73977E06" w14:textId="27807E03" w:rsidR="004F33C7" w:rsidRPr="00F440CC" w:rsidRDefault="00674419" w:rsidP="007C0A14">
      <w:r>
        <w:t>R</w:t>
      </w:r>
      <w:r w:rsidR="00F15711">
        <w:t>e</w:t>
      </w:r>
      <w:r w:rsidR="001428F5">
        <w:t>commendation</w:t>
      </w:r>
      <w:r w:rsidR="00F15711">
        <w:t xml:space="preserve">: </w:t>
      </w:r>
      <w:r w:rsidR="004F33C7" w:rsidRPr="00F440CC">
        <w:t xml:space="preserve">Explicitly recognise access to information as a separate area under the </w:t>
      </w:r>
      <w:r w:rsidR="003342A6">
        <w:t>DDA</w:t>
      </w:r>
      <w:r w:rsidR="007C0A14">
        <w:t>.</w:t>
      </w:r>
      <w:r w:rsidR="004F33C7">
        <w:t xml:space="preserve"> </w:t>
      </w:r>
      <w:bookmarkEnd w:id="56"/>
    </w:p>
    <w:p w14:paraId="21DCB623" w14:textId="40A29BFA" w:rsidR="00661C96" w:rsidRDefault="00661C96" w:rsidP="006D1DEA">
      <w:pPr>
        <w:pStyle w:val="FirstDotPoint"/>
      </w:pPr>
      <w:r>
        <w:t xml:space="preserve">Article 9 </w:t>
      </w:r>
      <w:r w:rsidR="008A613F">
        <w:t xml:space="preserve">of the CRPD </w:t>
      </w:r>
      <w:r w:rsidR="00F43F73">
        <w:t>obliges signatories to take appropriate measures to ensure that</w:t>
      </w:r>
      <w:r w:rsidR="00C9412F">
        <w:t xml:space="preserve"> people with disability have equal access to information and communication.</w:t>
      </w:r>
    </w:p>
    <w:p w14:paraId="1B639C01" w14:textId="6A42DB1C" w:rsidR="004F33C7" w:rsidRPr="00F440CC" w:rsidRDefault="004F33C7" w:rsidP="006D1DEA">
      <w:pPr>
        <w:pStyle w:val="FirstDotPoint"/>
      </w:pPr>
      <w:r w:rsidRPr="00F440CC">
        <w:lastRenderedPageBreak/>
        <w:t xml:space="preserve">Although access to information can generally fit within the definition of a service, a new area of access to information should be added to the </w:t>
      </w:r>
      <w:r w:rsidR="003342A6">
        <w:t>DDA</w:t>
      </w:r>
      <w:r w:rsidRPr="00F440CC">
        <w:t xml:space="preserve"> as </w:t>
      </w:r>
      <w:r w:rsidR="003342A6">
        <w:t>duty holders</w:t>
      </w:r>
      <w:r w:rsidRPr="00F440CC">
        <w:t xml:space="preserve"> do not consider access to information as necessarily part of the provision of a good, service or facility.  </w:t>
      </w:r>
    </w:p>
    <w:p w14:paraId="57648C5B" w14:textId="005D2583" w:rsidR="004F33C7" w:rsidRDefault="004F33C7" w:rsidP="006D1DEA">
      <w:pPr>
        <w:pStyle w:val="FirstDotPoint"/>
      </w:pPr>
      <w:r w:rsidRPr="00F440CC">
        <w:t xml:space="preserve">Access to information remains the area in which BCA has the greatest number of inquiries relating to discriminatory treatment. BCA is involved in complaints relating to access to billing information, mortgage and other loan agreements, </w:t>
      </w:r>
      <w:r w:rsidR="00274528">
        <w:t>financial</w:t>
      </w:r>
      <w:r w:rsidRPr="00F440CC">
        <w:t xml:space="preserve"> information, prospectuses, books, websites, apps and other digital platforms.</w:t>
      </w:r>
    </w:p>
    <w:p w14:paraId="42C95C62" w14:textId="594EEB28" w:rsidR="00592005" w:rsidRDefault="00592005" w:rsidP="006D1DEA">
      <w:pPr>
        <w:pStyle w:val="FirstDotPoint"/>
      </w:pPr>
      <w:r>
        <w:t>O</w:t>
      </w:r>
      <w:r w:rsidRPr="04863CC6">
        <w:t xml:space="preserve">ne of BCA’s most often repeated tasks </w:t>
      </w:r>
      <w:r>
        <w:t>is h</w:t>
      </w:r>
      <w:r w:rsidRPr="04863CC6">
        <w:t>ighlighting the inaccessibility of government websites, smartphone applications and documents</w:t>
      </w:r>
      <w:r w:rsidR="00765138">
        <w:t>, including NDIS plans and information</w:t>
      </w:r>
      <w:r w:rsidRPr="04863CC6">
        <w:t xml:space="preserve">. </w:t>
      </w:r>
      <w:r>
        <w:t>For example, i</w:t>
      </w:r>
      <w:r w:rsidRPr="04863CC6">
        <w:t xml:space="preserve">f visual elements of </w:t>
      </w:r>
      <w:r>
        <w:t>a</w:t>
      </w:r>
      <w:r w:rsidRPr="04863CC6">
        <w:t xml:space="preserve"> critical video are not described, people who are blind or vision impaired are denied access to information in a range of areas, including parenting, travel, safety, emergency warnings, contact information and products.</w:t>
      </w:r>
    </w:p>
    <w:p w14:paraId="6ED105A9" w14:textId="0B9A0B77" w:rsidR="00AC2A25" w:rsidRDefault="008D0FAB" w:rsidP="006D1DEA">
      <w:pPr>
        <w:pStyle w:val="FirstDotPoint"/>
      </w:pPr>
      <w:r w:rsidRPr="00FA2ED4">
        <w:rPr>
          <w:rStyle w:val="BodyTextChar"/>
          <w:rFonts w:cstheme="minorHAnsi"/>
        </w:rPr>
        <w:t>The DDA currently lacks explicit provisions that compel broadcasters to provide accessible services such as Audio Description</w:t>
      </w:r>
      <w:r w:rsidR="00885585">
        <w:rPr>
          <w:rStyle w:val="BodyTextChar"/>
          <w:rFonts w:cstheme="minorHAnsi"/>
        </w:rPr>
        <w:t>.</w:t>
      </w:r>
      <w:r w:rsidRPr="00F440CC">
        <w:t xml:space="preserve"> </w:t>
      </w:r>
      <w:r w:rsidR="004F33C7" w:rsidRPr="00F440CC">
        <w:t xml:space="preserve">BCA has long campaigned for the mandatory inclusion of audio description on Australian </w:t>
      </w:r>
      <w:r w:rsidR="00F36EF2">
        <w:t>broadcast and catch</w:t>
      </w:r>
      <w:r w:rsidR="00EC6131">
        <w:t xml:space="preserve">-up </w:t>
      </w:r>
      <w:r w:rsidR="004F33C7" w:rsidRPr="00F440CC">
        <w:t>television</w:t>
      </w:r>
      <w:r w:rsidR="007A48E7">
        <w:t>, h</w:t>
      </w:r>
      <w:r w:rsidR="004F33C7" w:rsidRPr="00F440CC">
        <w:t>ighlight</w:t>
      </w:r>
      <w:r w:rsidR="007A48E7">
        <w:t>ing</w:t>
      </w:r>
      <w:r w:rsidR="004F33C7" w:rsidRPr="00F440CC">
        <w:t xml:space="preserve"> its absence as a significant barrier to accessibility for blind and vision-impaired individuals</w:t>
      </w:r>
      <w:r w:rsidR="001E4CC0">
        <w:t>,</w:t>
      </w:r>
      <w:r w:rsidR="004F33C7" w:rsidRPr="00F440CC">
        <w:t xml:space="preserve"> constitut</w:t>
      </w:r>
      <w:r w:rsidR="001E4CC0">
        <w:t>ing</w:t>
      </w:r>
      <w:r w:rsidR="004F33C7" w:rsidRPr="00F440CC">
        <w:t xml:space="preserve"> systemic discrimination under the </w:t>
      </w:r>
      <w:r w:rsidR="00694CF9">
        <w:t>DDA</w:t>
      </w:r>
      <w:r w:rsidR="004F33C7" w:rsidRPr="00F440CC">
        <w:t>.</w:t>
      </w:r>
      <w:r w:rsidR="00AC2A25">
        <w:t xml:space="preserve"> </w:t>
      </w:r>
      <w:r w:rsidR="00DE185E">
        <w:t>T</w:t>
      </w:r>
      <w:r w:rsidR="00AC2A25" w:rsidRPr="00F0716D">
        <w:t xml:space="preserve">elevision is a vital source of information and </w:t>
      </w:r>
      <w:r w:rsidR="00B06592" w:rsidRPr="00F0716D">
        <w:t>entertainment,</w:t>
      </w:r>
      <w:r w:rsidR="007616F5">
        <w:t xml:space="preserve"> and </w:t>
      </w:r>
      <w:r w:rsidR="00AC2A25" w:rsidRPr="00F0716D">
        <w:t>lack of audio description exclude</w:t>
      </w:r>
      <w:r w:rsidR="007616F5">
        <w:t>s</w:t>
      </w:r>
      <w:r w:rsidR="00AC2A25" w:rsidRPr="00F0716D">
        <w:t xml:space="preserve"> </w:t>
      </w:r>
      <w:r w:rsidR="00DE185E">
        <w:t xml:space="preserve">people </w:t>
      </w:r>
      <w:r w:rsidR="00DE185E" w:rsidRPr="00F0716D">
        <w:t>who are blind or vision impaired</w:t>
      </w:r>
      <w:r w:rsidR="00AC2A25" w:rsidRPr="00F0716D">
        <w:t xml:space="preserve"> from</w:t>
      </w:r>
      <w:r w:rsidR="00CE59DF">
        <w:t xml:space="preserve"> details </w:t>
      </w:r>
      <w:r w:rsidR="00AC2A25" w:rsidRPr="00F0716D">
        <w:t>conveyed visually.</w:t>
      </w:r>
      <w:r w:rsidR="00AC2A25">
        <w:rPr>
          <w:rStyle w:val="FootnoteReference"/>
        </w:rPr>
        <w:footnoteReference w:id="56"/>
      </w:r>
      <w:r w:rsidR="00AC2A25" w:rsidRPr="00F0716D">
        <w:t xml:space="preserve"> </w:t>
      </w:r>
    </w:p>
    <w:p w14:paraId="33847DE8" w14:textId="3F603C4D" w:rsidR="006829C0" w:rsidRPr="00E374CD" w:rsidRDefault="00632EC4" w:rsidP="006D1DEA">
      <w:pPr>
        <w:pStyle w:val="FirstDotPoint"/>
      </w:pPr>
      <w:r w:rsidRPr="00E374CD">
        <w:t>In September 2022, the UN Committee found Australia ha</w:t>
      </w:r>
      <w:r w:rsidR="00E55EDE">
        <w:t>d</w:t>
      </w:r>
      <w:r w:rsidRPr="00E374CD">
        <w:t xml:space="preserve"> failed to comply with its obligations under</w:t>
      </w:r>
      <w:r w:rsidR="006829C0" w:rsidRPr="00E374CD">
        <w:t xml:space="preserve"> </w:t>
      </w:r>
      <w:r w:rsidRPr="00E374CD">
        <w:t xml:space="preserve">the </w:t>
      </w:r>
      <w:r w:rsidR="0018225F">
        <w:t xml:space="preserve">CRPD </w:t>
      </w:r>
      <w:r w:rsidRPr="00E374CD">
        <w:t>because it has not taken appropriate</w:t>
      </w:r>
      <w:r w:rsidR="006829C0" w:rsidRPr="00E374CD">
        <w:t xml:space="preserve"> </w:t>
      </w:r>
      <w:r w:rsidRPr="00E374CD">
        <w:t xml:space="preserve">measures to identify and eliminate barriers to accessibility to ensure people who are blind or vision-impaired can enjoy equal access to television programs. </w:t>
      </w:r>
      <w:r w:rsidR="007E30FC">
        <w:t>While some progress has been made, t</w:t>
      </w:r>
      <w:r w:rsidRPr="00E374CD">
        <w:t>he Australian Government’s failure to</w:t>
      </w:r>
      <w:r w:rsidR="006829C0" w:rsidRPr="00E374CD">
        <w:t xml:space="preserve"> </w:t>
      </w:r>
      <w:r w:rsidRPr="00E374CD">
        <w:t>guarantee the provision of audio description on free-to-air television is ongoing.</w:t>
      </w:r>
    </w:p>
    <w:p w14:paraId="6FD6ED7A" w14:textId="71DA372F" w:rsidR="00CE5F12" w:rsidRDefault="00885585" w:rsidP="006D1DEA">
      <w:pPr>
        <w:pStyle w:val="FirstDotPoint"/>
        <w:rPr>
          <w:b/>
          <w:bCs/>
        </w:rPr>
      </w:pPr>
      <w:r w:rsidRPr="0024250E">
        <w:t>The updated DDA should designate broadcasting licence holders as duty holders, requiring them to take action to ensure all Australians have equal access to cultural and informational content.</w:t>
      </w:r>
      <w:r>
        <w:t xml:space="preserve"> </w:t>
      </w:r>
    </w:p>
    <w:p w14:paraId="5F12A3C6" w14:textId="236143B4" w:rsidR="00FC0235" w:rsidRPr="00996994" w:rsidRDefault="00327C78" w:rsidP="00996994">
      <w:pPr>
        <w:pStyle w:val="IntenseQuote"/>
        <w:rPr>
          <w:b/>
          <w:bCs/>
        </w:rPr>
      </w:pPr>
      <w:r w:rsidRPr="00996994">
        <w:rPr>
          <w:b/>
          <w:bCs/>
        </w:rPr>
        <w:lastRenderedPageBreak/>
        <w:t>“</w:t>
      </w:r>
      <w:r w:rsidR="00FC0235" w:rsidRPr="00996994">
        <w:rPr>
          <w:b/>
          <w:bCs/>
        </w:rPr>
        <w:t>The DDA issues I feel strongest about are the right of access to information and the practical means by which an individual can hope to rectify lack of access to information. If owners of websites could be enforced to certify that</w:t>
      </w:r>
      <w:r w:rsidR="004C7547" w:rsidRPr="00996994">
        <w:rPr>
          <w:b/>
          <w:bCs/>
        </w:rPr>
        <w:t xml:space="preserve"> </w:t>
      </w:r>
      <w:r w:rsidR="00FC0235" w:rsidRPr="00996994">
        <w:rPr>
          <w:b/>
          <w:bCs/>
        </w:rPr>
        <w:t>their websites are accessible, not just a tick a box exercise of having run it through some program, but by certified user testing, that would be wonderful. Similarly for digital platforms and phone apps.</w:t>
      </w:r>
      <w:r w:rsidRPr="00996994">
        <w:rPr>
          <w:b/>
          <w:bCs/>
        </w:rPr>
        <w:t xml:space="preserve"> </w:t>
      </w:r>
      <w:r w:rsidR="00FC0235" w:rsidRPr="00996994">
        <w:rPr>
          <w:b/>
          <w:bCs/>
        </w:rPr>
        <w:t>Access to information should be a basic human right, not the throw away crumbs we are currently offered.</w:t>
      </w:r>
      <w:r w:rsidRPr="00996994">
        <w:rPr>
          <w:b/>
          <w:bCs/>
        </w:rPr>
        <w:t>”</w:t>
      </w:r>
      <w:r w:rsidR="009B43D1" w:rsidRPr="00996994">
        <w:rPr>
          <w:rStyle w:val="FootnoteReference"/>
          <w:b/>
          <w:bCs/>
        </w:rPr>
        <w:footnoteReference w:id="57"/>
      </w:r>
    </w:p>
    <w:p w14:paraId="4E01766D" w14:textId="76CA8A18" w:rsidR="001428F5" w:rsidRDefault="001428F5" w:rsidP="007350B7">
      <w:pPr>
        <w:pStyle w:val="Heading2"/>
      </w:pPr>
      <w:bookmarkStart w:id="58" w:name="_Toc208589122"/>
      <w:bookmarkStart w:id="59" w:name="_Toc212204023"/>
      <w:r>
        <w:t>Digital accessibility</w:t>
      </w:r>
      <w:bookmarkEnd w:id="59"/>
      <w:r>
        <w:t xml:space="preserve"> </w:t>
      </w:r>
    </w:p>
    <w:p w14:paraId="648017B4" w14:textId="2DF0B4C6" w:rsidR="00CC7D66" w:rsidRDefault="001F1C58" w:rsidP="00847854">
      <w:pPr>
        <w:pStyle w:val="BodyText"/>
        <w:spacing w:line="264" w:lineRule="auto"/>
      </w:pPr>
      <w:r>
        <w:t>Recommendation: E</w:t>
      </w:r>
      <w:r w:rsidRPr="00B10CB2">
        <w:t xml:space="preserve">xplicitly include digital </w:t>
      </w:r>
      <w:r>
        <w:t xml:space="preserve">goods and services and digital </w:t>
      </w:r>
      <w:r w:rsidR="00743B7C">
        <w:t xml:space="preserve">information </w:t>
      </w:r>
      <w:r w:rsidRPr="00B10CB2">
        <w:t>communication technologies</w:t>
      </w:r>
      <w:r w:rsidR="00E17ABC">
        <w:t xml:space="preserve"> under the DDA,</w:t>
      </w:r>
      <w:r w:rsidRPr="00B10CB2">
        <w:t xml:space="preserve"> </w:t>
      </w:r>
      <w:r w:rsidR="00CC7D66">
        <w:t xml:space="preserve">and </w:t>
      </w:r>
      <w:r w:rsidR="00847854">
        <w:t xml:space="preserve">designate </w:t>
      </w:r>
      <w:r w:rsidR="00CC7D66" w:rsidRPr="006B2220">
        <w:t>providers of digital goods and services as duty holders</w:t>
      </w:r>
      <w:r w:rsidR="00CC7D66">
        <w:t>.</w:t>
      </w:r>
    </w:p>
    <w:p w14:paraId="7A484553" w14:textId="12123144" w:rsidR="004F33C7" w:rsidRDefault="001428F5" w:rsidP="009E0EB4">
      <w:r>
        <w:t xml:space="preserve">Recommendation: </w:t>
      </w:r>
      <w:r w:rsidR="004F33C7" w:rsidRPr="00F440CC">
        <w:t xml:space="preserve">Mandate </w:t>
      </w:r>
      <w:r w:rsidR="007E7A71">
        <w:t xml:space="preserve">Digital </w:t>
      </w:r>
      <w:r w:rsidR="003D15E5">
        <w:t xml:space="preserve">Accessibility </w:t>
      </w:r>
      <w:r w:rsidR="00FA123C">
        <w:t>S</w:t>
      </w:r>
      <w:r w:rsidR="004F33C7" w:rsidRPr="00F440CC">
        <w:t>tandards</w:t>
      </w:r>
      <w:r w:rsidR="004F33C7">
        <w:t xml:space="preserve"> under the </w:t>
      </w:r>
      <w:bookmarkEnd w:id="58"/>
      <w:r w:rsidR="00632DCC">
        <w:t>DDA</w:t>
      </w:r>
    </w:p>
    <w:p w14:paraId="7E45FEED" w14:textId="77777777" w:rsidR="004F5468" w:rsidRDefault="006664D8" w:rsidP="006D1DEA">
      <w:pPr>
        <w:pStyle w:val="ListParagraph"/>
      </w:pPr>
      <w:r>
        <w:t>A growing barrier to the inclusion of blind and vision-impaired Australians is the development and use of inaccessible digital goods, services, and technologies that fail to address needs</w:t>
      </w:r>
      <w:r w:rsidR="000272E4">
        <w:t xml:space="preserve"> and limit </w:t>
      </w:r>
      <w:r w:rsidR="00C27FA9" w:rsidRPr="0003525F">
        <w:t xml:space="preserve">social, economic and cultural </w:t>
      </w:r>
      <w:r w:rsidR="00C27FA9">
        <w:t>participation</w:t>
      </w:r>
      <w:r>
        <w:t>.</w:t>
      </w:r>
      <w:r w:rsidR="0035306E" w:rsidRPr="0035306E">
        <w:t xml:space="preserve"> </w:t>
      </w:r>
    </w:p>
    <w:p w14:paraId="2E15BDDF" w14:textId="56365ACB" w:rsidR="0035306E" w:rsidRDefault="0035306E" w:rsidP="006D1DEA">
      <w:pPr>
        <w:pStyle w:val="ListParagraph"/>
      </w:pPr>
      <w:r w:rsidRPr="04863CC6">
        <w:t xml:space="preserve">Accessibility </w:t>
      </w:r>
      <w:r w:rsidR="00345D97">
        <w:t>of</w:t>
      </w:r>
      <w:r w:rsidRPr="04863CC6">
        <w:t xml:space="preserve"> digital goods and services for people who are blind or vision impaired depends on whether the digital service is navigable, readable, and usable and there are many ways technology can fail to be inclusive. For example, touchscreens without tactile features, buttons which are not labelled, verification requiring CAPTCHA, graphics and photos without image descriptions, </w:t>
      </w:r>
      <w:r w:rsidR="009B551C">
        <w:t xml:space="preserve">provision of inaccessible </w:t>
      </w:r>
      <w:r w:rsidR="006E3E3E">
        <w:t xml:space="preserve">PDF instead of </w:t>
      </w:r>
      <w:r w:rsidR="00577BC0">
        <w:t>text-based</w:t>
      </w:r>
      <w:r w:rsidR="006E3E3E">
        <w:t xml:space="preserve"> </w:t>
      </w:r>
      <w:r w:rsidR="008B3C31">
        <w:t xml:space="preserve">documents, </w:t>
      </w:r>
      <w:r w:rsidRPr="04863CC6">
        <w:t>videos without audio description, and webpages where elements are not labelled.</w:t>
      </w:r>
      <w:r>
        <w:t xml:space="preserve"> </w:t>
      </w:r>
    </w:p>
    <w:p w14:paraId="56206962" w14:textId="77777777" w:rsidR="00C86D06" w:rsidRDefault="00221739" w:rsidP="006D1DEA">
      <w:pPr>
        <w:pStyle w:val="ListParagraph"/>
      </w:pPr>
      <w:r w:rsidRPr="00C86D06">
        <w:t xml:space="preserve">Vendors and providers of essential services are increasingly requiring people to utilise digital goods and services to undertake daily living tasks such as book medical appointments, apply for employment or housing, use automated/self-service terminals, or purchase and operate products (e.g. home appliances with touchscreens and digital apps). </w:t>
      </w:r>
    </w:p>
    <w:p w14:paraId="567C2223" w14:textId="77777777" w:rsidR="00221739" w:rsidRPr="00221739" w:rsidRDefault="00A3450D" w:rsidP="006D1DEA">
      <w:pPr>
        <w:pStyle w:val="ListParagraph"/>
        <w:rPr>
          <w:rFonts w:ascii="Times New Roman" w:eastAsia="Times New Roman" w:hAnsi="Times New Roman" w:cs="Times New Roman"/>
          <w:szCs w:val="24"/>
        </w:rPr>
      </w:pPr>
      <w:r>
        <w:t>The AHRC’s Human Rights and Technology Final Report</w:t>
      </w:r>
      <w:r w:rsidR="00F54DD3">
        <w:rPr>
          <w:rStyle w:val="FootnoteReference"/>
        </w:rPr>
        <w:footnoteReference w:id="58"/>
      </w:r>
      <w:r>
        <w:t xml:space="preserve"> emphasi</w:t>
      </w:r>
      <w:r w:rsidR="00950838">
        <w:t>s</w:t>
      </w:r>
      <w:r>
        <w:t>e</w:t>
      </w:r>
      <w:r w:rsidR="00343C04">
        <w:t>d</w:t>
      </w:r>
      <w:r>
        <w:t xml:space="preserve"> that digital inaccessibility, such as non-compliant websites and apps, significantly contributes to disability discrimination</w:t>
      </w:r>
      <w:r w:rsidR="007A4D5C">
        <w:t xml:space="preserve"> particularly for blind and vision impaired people</w:t>
      </w:r>
      <w:r>
        <w:t xml:space="preserve">. </w:t>
      </w:r>
      <w:r w:rsidR="00AD734C">
        <w:t>T</w:t>
      </w:r>
      <w:r w:rsidR="00FE7CB6" w:rsidRPr="00FE7CB6">
        <w:t>he AHRC highlight</w:t>
      </w:r>
      <w:r w:rsidR="00AD734C">
        <w:t>ed</w:t>
      </w:r>
      <w:r w:rsidR="00FE7CB6" w:rsidRPr="00FE7CB6">
        <w:t xml:space="preserve"> that </w:t>
      </w:r>
      <w:r w:rsidR="00FE7CB6" w:rsidRPr="00FE7CB6">
        <w:lastRenderedPageBreak/>
        <w:t>offering services digitally does not automatically guarantee accessibility</w:t>
      </w:r>
      <w:r w:rsidR="00AD734C">
        <w:t>.</w:t>
      </w:r>
      <w:r w:rsidR="00FE7CB6" w:rsidRPr="00FE7CB6">
        <w:t xml:space="preserve"> </w:t>
      </w:r>
    </w:p>
    <w:p w14:paraId="180A0CCC" w14:textId="54EE4A3A" w:rsidR="006C30C2" w:rsidRPr="00C86D06" w:rsidRDefault="00A17AB0" w:rsidP="006D1DEA">
      <w:pPr>
        <w:pStyle w:val="ListParagraph"/>
      </w:pPr>
      <w:r>
        <w:t xml:space="preserve">More needs to be done to reinforce </w:t>
      </w:r>
      <w:r w:rsidRPr="006D30E8">
        <w:t>that discrimination in digital environments is unlawful</w:t>
      </w:r>
      <w:r>
        <w:t xml:space="preserve">, with stronger, clearer digital obligations and consequences for non-compliance required. </w:t>
      </w:r>
      <w:r w:rsidR="00AF0699">
        <w:t>Essential service products must be designed with Universal Design Principles and promote independent use by all people, including those with disability.</w:t>
      </w:r>
      <w:r w:rsidR="00AF0699" w:rsidRPr="0047442E">
        <w:rPr>
          <w:rFonts w:ascii="Segoe UI" w:eastAsia="Times New Roman" w:hAnsi="Segoe UI" w:cs="Segoe UI"/>
          <w:sz w:val="18"/>
          <w:szCs w:val="18"/>
        </w:rPr>
        <w:t xml:space="preserve"> </w:t>
      </w:r>
      <w:r w:rsidR="0047442E">
        <w:t>Pr</w:t>
      </w:r>
      <w:r w:rsidR="006C30C2" w:rsidRPr="00C86D06">
        <w:t>oviders of digital goods and services should be explicitly designated as duty holders under the DDA.</w:t>
      </w:r>
    </w:p>
    <w:p w14:paraId="5CFE0717" w14:textId="5337ACAC" w:rsidR="003A564D" w:rsidRDefault="0019013D" w:rsidP="006D1DEA">
      <w:pPr>
        <w:pStyle w:val="ListParagraph"/>
      </w:pPr>
      <w:r>
        <w:t>BCA welcomed</w:t>
      </w:r>
      <w:r w:rsidR="00CB2E6B">
        <w:t xml:space="preserve"> the</w:t>
      </w:r>
      <w:r>
        <w:t xml:space="preserve"> introduction of the </w:t>
      </w:r>
      <w:r w:rsidR="006549FF" w:rsidRPr="006549FF">
        <w:t xml:space="preserve">Guidelines on </w:t>
      </w:r>
      <w:r w:rsidR="00334840">
        <w:t>E</w:t>
      </w:r>
      <w:r w:rsidR="006549FF" w:rsidRPr="006549FF">
        <w:t xml:space="preserve">qual </w:t>
      </w:r>
      <w:r w:rsidR="00334840">
        <w:t>A</w:t>
      </w:r>
      <w:r w:rsidR="006549FF" w:rsidRPr="006549FF">
        <w:t xml:space="preserve">ccess to </w:t>
      </w:r>
      <w:r w:rsidR="00334840">
        <w:t>D</w:t>
      </w:r>
      <w:r w:rsidR="006549FF" w:rsidRPr="006549FF">
        <w:t xml:space="preserve">igital </w:t>
      </w:r>
      <w:r w:rsidR="00334840">
        <w:t>G</w:t>
      </w:r>
      <w:r w:rsidR="006549FF" w:rsidRPr="006549FF">
        <w:t xml:space="preserve">oods and </w:t>
      </w:r>
      <w:r w:rsidR="00334840">
        <w:t>S</w:t>
      </w:r>
      <w:r w:rsidR="006549FF" w:rsidRPr="006549FF">
        <w:t>ervices</w:t>
      </w:r>
      <w:r w:rsidR="00831D53">
        <w:t>.</w:t>
      </w:r>
      <w:r w:rsidR="00343C04">
        <w:rPr>
          <w:rStyle w:val="FootnoteReference"/>
        </w:rPr>
        <w:footnoteReference w:id="59"/>
      </w:r>
      <w:r w:rsidR="00E6486E" w:rsidRPr="00E6486E">
        <w:t xml:space="preserve"> </w:t>
      </w:r>
      <w:r w:rsidR="000A28C4">
        <w:t>H</w:t>
      </w:r>
      <w:r>
        <w:t>owever</w:t>
      </w:r>
      <w:r w:rsidR="000A28C4">
        <w:t>,</w:t>
      </w:r>
      <w:r>
        <w:t xml:space="preserve"> </w:t>
      </w:r>
      <w:r w:rsidR="000A28C4">
        <w:t xml:space="preserve">as the Guidelines are </w:t>
      </w:r>
      <w:r w:rsidR="00E6486E" w:rsidRPr="00E6486E">
        <w:t>not legally binding</w:t>
      </w:r>
      <w:r w:rsidR="00F43EEE">
        <w:t xml:space="preserve"> it’s our view </w:t>
      </w:r>
      <w:r w:rsidR="00294139">
        <w:t>that the DDA should go further</w:t>
      </w:r>
      <w:r w:rsidR="004D6929">
        <w:t xml:space="preserve"> and establish </w:t>
      </w:r>
      <w:r w:rsidR="00272773">
        <w:t xml:space="preserve">Digital Accessibility </w:t>
      </w:r>
      <w:r w:rsidR="00A94B12">
        <w:t>Disability S</w:t>
      </w:r>
      <w:r w:rsidR="004D6929">
        <w:t>tandards</w:t>
      </w:r>
      <w:r w:rsidR="00E6486E" w:rsidRPr="00E6486E">
        <w:t>.</w:t>
      </w:r>
      <w:r w:rsidR="003A564D">
        <w:t xml:space="preserve"> M</w:t>
      </w:r>
      <w:r w:rsidR="003A564D" w:rsidRPr="0003525F">
        <w:t>andatory</w:t>
      </w:r>
      <w:r w:rsidR="003A564D">
        <w:t>,</w:t>
      </w:r>
      <w:r w:rsidR="003A564D" w:rsidRPr="0003525F">
        <w:t xml:space="preserve"> implementable</w:t>
      </w:r>
      <w:r w:rsidR="003A564D">
        <w:t>,</w:t>
      </w:r>
      <w:r w:rsidR="003A564D" w:rsidRPr="0003525F">
        <w:t xml:space="preserve"> </w:t>
      </w:r>
      <w:r w:rsidR="003A564D">
        <w:t>and enforceable S</w:t>
      </w:r>
      <w:r w:rsidR="003A564D" w:rsidRPr="0003525F">
        <w:t>tandards</w:t>
      </w:r>
      <w:r w:rsidR="003A564D">
        <w:t xml:space="preserve"> could provide certainty for duty holders in understanding what is required to comply with the DDA and reduce confusion for developers and service providers. Given the rapid, evolving nature of technology, the Standards would need to be future proofed to prevent them from quickly becoming outdated. For example, avoid naming specific versions or technologies and instead reference external technical guidelines and build in regular review.  </w:t>
      </w:r>
    </w:p>
    <w:p w14:paraId="70045D2B" w14:textId="77777777" w:rsidR="0096738D" w:rsidRDefault="0096738D" w:rsidP="006D1DEA">
      <w:pPr>
        <w:pStyle w:val="ListParagraph"/>
      </w:pPr>
      <w:r>
        <w:t>D</w:t>
      </w:r>
      <w:r w:rsidRPr="00E028CC">
        <w:t>espite the existence of anti-discrimination legislation in all Australian jurisdictions</w:t>
      </w:r>
      <w:r>
        <w:t xml:space="preserve"> and the availability of </w:t>
      </w:r>
      <w:r w:rsidRPr="00460314">
        <w:t>many excellent resources on how apps, websites and social media can be made accessible for all</w:t>
      </w:r>
      <w:r>
        <w:t xml:space="preserve">, accessibility and useability issues persist. The current </w:t>
      </w:r>
      <w:r w:rsidRPr="003B069D">
        <w:t>Web Content Accessibility Guidelines (WCAG)</w:t>
      </w:r>
      <w:r>
        <w:t xml:space="preserve"> enable</w:t>
      </w:r>
      <w:r w:rsidRPr="002070FE">
        <w:t xml:space="preserve"> digital technologies </w:t>
      </w:r>
      <w:r>
        <w:t xml:space="preserve">to </w:t>
      </w:r>
      <w:r w:rsidRPr="002070FE">
        <w:t xml:space="preserve">meet internationally recognised accessibility standards </w:t>
      </w:r>
      <w:r>
        <w:t xml:space="preserve">and </w:t>
      </w:r>
      <w:r w:rsidRPr="002070FE">
        <w:t>ensur</w:t>
      </w:r>
      <w:r>
        <w:t>e</w:t>
      </w:r>
      <w:r w:rsidRPr="002070FE">
        <w:t xml:space="preserve"> usability by people who are blind or vision impaired</w:t>
      </w:r>
      <w:r>
        <w:t xml:space="preserve">, yet a 2023 WebAim review of </w:t>
      </w:r>
      <w:r w:rsidRPr="00B06EE7">
        <w:t xml:space="preserve">websites found that 96.3% contained errors </w:t>
      </w:r>
      <w:r>
        <w:t xml:space="preserve">that </w:t>
      </w:r>
      <w:r w:rsidRPr="00B06EE7">
        <w:t>impact</w:t>
      </w:r>
      <w:r>
        <w:t xml:space="preserve"> </w:t>
      </w:r>
      <w:r w:rsidRPr="00B06EE7">
        <w:t>assistive technology users, including those with screen readers (e.g. JAWS, NVDA)</w:t>
      </w:r>
      <w:r>
        <w:t>.</w:t>
      </w:r>
      <w:r>
        <w:rPr>
          <w:rStyle w:val="FootnoteReference"/>
        </w:rPr>
        <w:footnoteReference w:id="60"/>
      </w:r>
      <w:r>
        <w:t xml:space="preserve"> </w:t>
      </w:r>
    </w:p>
    <w:p w14:paraId="731AB587" w14:textId="60465818" w:rsidR="00BC444E" w:rsidRDefault="00575850" w:rsidP="006D1DEA">
      <w:pPr>
        <w:pStyle w:val="ListParagraph"/>
      </w:pPr>
      <w:r>
        <w:t>BCA regularly hears of employers using inaccessible job application systems and workplace software programs that exclude people who are blind and vision impaired,</w:t>
      </w:r>
      <w:r w:rsidR="00D36FBB">
        <w:t xml:space="preserve"> healthcare services using inaccessible </w:t>
      </w:r>
      <w:r w:rsidR="001B27CA">
        <w:t>patient information systems,</w:t>
      </w:r>
      <w:r>
        <w:t xml:space="preserve"> and i</w:t>
      </w:r>
      <w:r w:rsidR="00221739">
        <w:t xml:space="preserve">naccessible digital platforms frequently contribute to education and service </w:t>
      </w:r>
      <w:r w:rsidR="002E12EB">
        <w:t xml:space="preserve">discrimination </w:t>
      </w:r>
      <w:r w:rsidR="00221739">
        <w:t>complaints (e.g. a student who is blind who faces exclusion from online learning due to non-compliant EdTech)</w:t>
      </w:r>
      <w:r w:rsidR="002E12EB">
        <w:t>.</w:t>
      </w:r>
      <w:r w:rsidR="00850FCD">
        <w:rPr>
          <w:rStyle w:val="FootnoteReference"/>
        </w:rPr>
        <w:footnoteReference w:id="61"/>
      </w:r>
      <w:r w:rsidR="00221739">
        <w:t xml:space="preserve"> </w:t>
      </w:r>
      <w:r w:rsidR="00147D5A">
        <w:t>A Vision Australia report</w:t>
      </w:r>
      <w:r w:rsidR="00CE1092">
        <w:t xml:space="preserve"> </w:t>
      </w:r>
      <w:r w:rsidR="00147D5A">
        <w:t xml:space="preserve">into the online learning experience of university students </w:t>
      </w:r>
      <w:r w:rsidR="003B4394">
        <w:t xml:space="preserve">who are blind or vision impaired </w:t>
      </w:r>
      <w:r w:rsidR="00147D5A">
        <w:lastRenderedPageBreak/>
        <w:t>found t</w:t>
      </w:r>
      <w:r w:rsidR="00147D5A" w:rsidRPr="00BA7176">
        <w:t>he prevalence and extent of barriers represent a systemic failure by the university sector to develop and deploy online learning environments in ways that adequately address the needs of students</w:t>
      </w:r>
      <w:r w:rsidR="00CE1092">
        <w:t>.</w:t>
      </w:r>
      <w:r w:rsidR="00CE1092">
        <w:rPr>
          <w:rStyle w:val="FootnoteReference"/>
        </w:rPr>
        <w:footnoteReference w:id="62"/>
      </w:r>
      <w:r w:rsidR="00BC444E">
        <w:t xml:space="preserve"> </w:t>
      </w:r>
    </w:p>
    <w:p w14:paraId="49BC6EFF" w14:textId="668C9894" w:rsidR="0099439B" w:rsidRDefault="0099439B" w:rsidP="006D1DEA">
      <w:pPr>
        <w:pStyle w:val="ListParagraph"/>
      </w:pPr>
      <w:bookmarkStart w:id="60" w:name="_Toc208589123"/>
      <w:r>
        <w:t>E</w:t>
      </w:r>
      <w:r w:rsidRPr="00E028CC">
        <w:t>ffective mechanisms for reporting and redressing accessibility failures in digital technologies and online services</w:t>
      </w:r>
      <w:r>
        <w:t xml:space="preserve"> are currently lacking and without </w:t>
      </w:r>
      <w:r w:rsidRPr="00F440CC">
        <w:t>explicit requirement</w:t>
      </w:r>
      <w:r>
        <w:t>s</w:t>
      </w:r>
      <w:r w:rsidRPr="00F440CC">
        <w:t xml:space="preserve"> for compliance with </w:t>
      </w:r>
      <w:r w:rsidR="00D0664B">
        <w:t>S</w:t>
      </w:r>
      <w:r w:rsidRPr="00F440CC">
        <w:t>tandards</w:t>
      </w:r>
      <w:r>
        <w:t>,</w:t>
      </w:r>
      <w:r w:rsidRPr="00F440CC">
        <w:t xml:space="preserve"> </w:t>
      </w:r>
      <w:r>
        <w:t xml:space="preserve">enforcement under the DDA is </w:t>
      </w:r>
      <w:r w:rsidRPr="00F440CC">
        <w:t>reliant on individual complaints and judicial interpretation</w:t>
      </w:r>
      <w:r>
        <w:t xml:space="preserve"> which </w:t>
      </w:r>
      <w:r w:rsidRPr="00F440CC">
        <w:t>results in inconsistent accessibility outcomes.</w:t>
      </w:r>
    </w:p>
    <w:p w14:paraId="129C3AD9" w14:textId="00605786" w:rsidR="0066702B" w:rsidRDefault="0060699C" w:rsidP="006D1DEA">
      <w:pPr>
        <w:pStyle w:val="ListParagraph"/>
      </w:pPr>
      <w:r>
        <w:t>P</w:t>
      </w:r>
      <w:r w:rsidRPr="0060699C">
        <w:t xml:space="preserve">arties to the CRPD </w:t>
      </w:r>
      <w:r w:rsidR="007E4402">
        <w:t xml:space="preserve">are </w:t>
      </w:r>
      <w:r w:rsidR="001D23FE" w:rsidRPr="001D23FE">
        <w:t>obligate</w:t>
      </w:r>
      <w:r w:rsidR="007E4402">
        <w:t>d</w:t>
      </w:r>
      <w:r w:rsidR="001D23FE" w:rsidRPr="001D23FE">
        <w:t xml:space="preserve"> to take measures to identify and eliminate barriers to accessibility, including for technology, and to promote minimum accessibility standards.</w:t>
      </w:r>
      <w:r w:rsidR="007E4402">
        <w:t xml:space="preserve"> </w:t>
      </w:r>
      <w:r w:rsidR="00BA446C">
        <w:t>Article 4 promotes universal design i</w:t>
      </w:r>
      <w:r w:rsidR="00BA446C" w:rsidRPr="00380D7C">
        <w:t>n the development, availability and use of goods, services, and facilities to enhance accessibility</w:t>
      </w:r>
      <w:r w:rsidR="00BA446C">
        <w:t xml:space="preserve">, </w:t>
      </w:r>
      <w:r w:rsidR="00807C9B">
        <w:t xml:space="preserve">and </w:t>
      </w:r>
      <w:r w:rsidR="00BA446C">
        <w:t>Article 9 states that governments must ensure that people with disability have equal</w:t>
      </w:r>
      <w:r w:rsidR="00BA446C" w:rsidRPr="004D590F">
        <w:rPr>
          <w:color w:val="000000"/>
          <w:bdr w:val="none" w:sz="0" w:space="0" w:color="auto" w:frame="1"/>
        </w:rPr>
        <w:t xml:space="preserve"> </w:t>
      </w:r>
      <w:r w:rsidR="00BA446C" w:rsidRPr="00762141">
        <w:t>access to the physical environment, transportation, and information and communications technologies</w:t>
      </w:r>
      <w:r w:rsidR="009826B7">
        <w:t>.</w:t>
      </w:r>
      <w:r w:rsidR="00BA446C">
        <w:rPr>
          <w:rStyle w:val="FootnoteReference"/>
        </w:rPr>
        <w:footnoteReference w:id="63"/>
      </w:r>
      <w:r w:rsidR="00BA446C">
        <w:t xml:space="preserve"> </w:t>
      </w:r>
    </w:p>
    <w:p w14:paraId="6531BA42" w14:textId="77777777" w:rsidR="009B6B37" w:rsidRDefault="002E53F4" w:rsidP="00FA5A09">
      <w:pPr>
        <w:pStyle w:val="ListParagraph"/>
      </w:pPr>
      <w:r>
        <w:t xml:space="preserve">BCA supports calls for all </w:t>
      </w:r>
      <w:r w:rsidR="007365A5">
        <w:t xml:space="preserve">Australian </w:t>
      </w:r>
      <w:r w:rsidRPr="0042072B">
        <w:t>government</w:t>
      </w:r>
      <w:r>
        <w:t xml:space="preserve"> agencies to</w:t>
      </w:r>
      <w:r w:rsidRPr="0042072B">
        <w:t xml:space="preserve"> procure accessible </w:t>
      </w:r>
      <w:r>
        <w:t>information communication technology.</w:t>
      </w:r>
      <w:r>
        <w:rPr>
          <w:rStyle w:val="FootnoteReference"/>
        </w:rPr>
        <w:footnoteReference w:id="64"/>
      </w:r>
      <w:r>
        <w:t xml:space="preserve"> </w:t>
      </w:r>
    </w:p>
    <w:p w14:paraId="4D38AE95" w14:textId="5A114FDD" w:rsidR="005F6DD1" w:rsidRPr="009B07B4" w:rsidRDefault="005F6DD1" w:rsidP="00FA5A09">
      <w:pPr>
        <w:pStyle w:val="ListParagraph"/>
      </w:pPr>
      <w:r w:rsidRPr="009B07B4">
        <w:t>Australia is falling behind international best practice. The</w:t>
      </w:r>
      <w:r>
        <w:t xml:space="preserve"> </w:t>
      </w:r>
      <w:r w:rsidRPr="009B07B4">
        <w:t>European Accessibility Act (2019) mandates that digital products and services—including e-commerce, banking apps, and transport booking platforms—must be accessible to people with disabilities. Duty holders include manufacturers, service providers, and distributors.</w:t>
      </w:r>
      <w:r w:rsidR="005E0139">
        <w:t xml:space="preserve"> </w:t>
      </w:r>
      <w:r w:rsidRPr="009B07B4">
        <w:t>Similarly</w:t>
      </w:r>
      <w:r>
        <w:t xml:space="preserve">, </w:t>
      </w:r>
      <w:r w:rsidRPr="009B07B4">
        <w:t>The U.S. Department of Justice has affirmed that websites are places of public accommodation under the Americans with Disabilities Act</w:t>
      </w:r>
      <w:r>
        <w:t xml:space="preserve">, and </w:t>
      </w:r>
      <w:r w:rsidRPr="009B07B4">
        <w:t>Canada’s Accessible Canada Act (2019) requires federally regulated entities to remove barriers in digital services.</w:t>
      </w:r>
    </w:p>
    <w:p w14:paraId="2F229CFD" w14:textId="5CEE1A72" w:rsidR="00DE5028" w:rsidRDefault="00DE5028" w:rsidP="006D1DEA">
      <w:pPr>
        <w:pStyle w:val="ListParagraph"/>
      </w:pPr>
      <w:r>
        <w:t>As noted in the AHRC’s Human Rights and Technology Final Report</w:t>
      </w:r>
      <w:r>
        <w:rPr>
          <w:rStyle w:val="FootnoteReference"/>
        </w:rPr>
        <w:footnoteReference w:id="65"/>
      </w:r>
      <w:r>
        <w:t xml:space="preserve"> along with Disability Standards, </w:t>
      </w:r>
      <w:r w:rsidRPr="000B748E">
        <w:t xml:space="preserve">additional regulation is also needed to protect the functional accessibility of goods, services and facilities that rely on </w:t>
      </w:r>
      <w:r>
        <w:t>d</w:t>
      </w:r>
      <w:r w:rsidRPr="000B748E">
        <w:t xml:space="preserve">igital </w:t>
      </w:r>
      <w:r>
        <w:t>c</w:t>
      </w:r>
      <w:r w:rsidRPr="000B748E">
        <w:t xml:space="preserve">ommunication </w:t>
      </w:r>
      <w:r>
        <w:t>t</w:t>
      </w:r>
      <w:r w:rsidRPr="000B748E">
        <w:t>echnology</w:t>
      </w:r>
      <w:r>
        <w:t xml:space="preserve">. BCA supports </w:t>
      </w:r>
      <w:r w:rsidRPr="00155021">
        <w:t xml:space="preserve">the AHRC’s recommendation that Standards Australia, in consultation with disability advocates, should create a Technical Specification or Australian </w:t>
      </w:r>
      <w:r w:rsidR="003C2F95">
        <w:t>S</w:t>
      </w:r>
      <w:r w:rsidRPr="00155021">
        <w:t>tandard for accessible product documentation (user guides, instructions, and manuals) to accompany digital goods and services</w:t>
      </w:r>
      <w:r w:rsidR="00867E16">
        <w:t xml:space="preserve"> (and make it </w:t>
      </w:r>
      <w:r w:rsidR="00867E16">
        <w:lastRenderedPageBreak/>
        <w:t>freely available)</w:t>
      </w:r>
      <w:r w:rsidRPr="00155021">
        <w:t>.</w:t>
      </w:r>
      <w:r>
        <w:rPr>
          <w:rStyle w:val="FootnoteReference"/>
        </w:rPr>
        <w:footnoteReference w:id="66"/>
      </w:r>
      <w:r w:rsidRPr="00155021">
        <w:t xml:space="preserve"> This would ensure that accessibility is not only built into the products and services themselves but also into the information needed to use them. </w:t>
      </w:r>
    </w:p>
    <w:p w14:paraId="57B0AD1B" w14:textId="77777777" w:rsidR="00E374CD" w:rsidRPr="004C7547" w:rsidRDefault="00E374CD" w:rsidP="00E374CD">
      <w:pPr>
        <w:pStyle w:val="IntenseQuote"/>
        <w:rPr>
          <w:b/>
          <w:bCs/>
        </w:rPr>
      </w:pPr>
      <w:r w:rsidRPr="004C7547">
        <w:rPr>
          <w:b/>
          <w:bCs/>
        </w:rPr>
        <w:t>“Public and private hospitals need to do better when it comes to providing patients with information. They persist in sending paperwork through the post and have kiosks with touch screens and no audio feedback for registering attendance at clinics, for example.”</w:t>
      </w:r>
      <w:r w:rsidRPr="004C7547">
        <w:rPr>
          <w:rStyle w:val="FootnoteReference"/>
          <w:b/>
          <w:bCs/>
        </w:rPr>
        <w:footnoteReference w:id="67"/>
      </w:r>
    </w:p>
    <w:p w14:paraId="65B2719F" w14:textId="1872BD97" w:rsidR="001428F5" w:rsidRDefault="00D07FC9" w:rsidP="007350B7">
      <w:pPr>
        <w:pStyle w:val="Heading2"/>
      </w:pPr>
      <w:bookmarkStart w:id="61" w:name="_Toc212204024"/>
      <w:r>
        <w:t>Complaints, c</w:t>
      </w:r>
      <w:r w:rsidR="00E47986" w:rsidRPr="00332C72">
        <w:t>ompliance</w:t>
      </w:r>
      <w:r w:rsidR="00E47986">
        <w:t xml:space="preserve"> and penalties</w:t>
      </w:r>
      <w:bookmarkEnd w:id="61"/>
    </w:p>
    <w:p w14:paraId="122C4CD8" w14:textId="77777777" w:rsidR="0056438A" w:rsidRDefault="001428F5" w:rsidP="001428F5">
      <w:r>
        <w:t>Recommendation:</w:t>
      </w:r>
      <w:r w:rsidR="00E64BB0">
        <w:t xml:space="preserve"> Resource and e</w:t>
      </w:r>
      <w:r w:rsidR="004F33C7" w:rsidRPr="00332C72">
        <w:t>mpower</w:t>
      </w:r>
      <w:r w:rsidR="004A0D0A">
        <w:t xml:space="preserve"> </w:t>
      </w:r>
      <w:r w:rsidR="004F33C7" w:rsidRPr="00332C72">
        <w:t>the AHRC with the authority to monitor compliance, conduct audits, and investigate complaints promptly</w:t>
      </w:r>
      <w:r w:rsidR="0056438A">
        <w:t>.</w:t>
      </w:r>
      <w:r w:rsidR="004A0D0A">
        <w:t xml:space="preserve"> </w:t>
      </w:r>
    </w:p>
    <w:bookmarkEnd w:id="60"/>
    <w:p w14:paraId="1ECA2D4A" w14:textId="70215072" w:rsidR="008B4721" w:rsidRDefault="002B75FE" w:rsidP="006D1DEA">
      <w:pPr>
        <w:pStyle w:val="ListParagraph"/>
      </w:pPr>
      <w:r>
        <w:t xml:space="preserve">Efforts to strengthen the DDA will be ineffective unless </w:t>
      </w:r>
      <w:r w:rsidR="003D7F29">
        <w:t xml:space="preserve">the </w:t>
      </w:r>
      <w:r w:rsidR="00B637F0">
        <w:t xml:space="preserve">mechanisms for </w:t>
      </w:r>
      <w:r w:rsidR="00E22411">
        <w:t xml:space="preserve">monitoring compliance and taking meaningful action on breaches are </w:t>
      </w:r>
      <w:r w:rsidR="00B637F0">
        <w:t xml:space="preserve">reformed. </w:t>
      </w:r>
    </w:p>
    <w:p w14:paraId="1E4D68DC" w14:textId="77777777" w:rsidR="004E4DFE" w:rsidRDefault="00497787" w:rsidP="002C46F7">
      <w:pPr>
        <w:pStyle w:val="ListParagraph"/>
      </w:pPr>
      <w:r>
        <w:t xml:space="preserve">BCA is aware that many </w:t>
      </w:r>
      <w:r w:rsidR="00AC6260">
        <w:t>people</w:t>
      </w:r>
      <w:r w:rsidR="00AC6260" w:rsidRPr="00D62D2D">
        <w:t xml:space="preserve"> avoid the process</w:t>
      </w:r>
      <w:r w:rsidR="00AC6260">
        <w:t xml:space="preserve"> of making a </w:t>
      </w:r>
      <w:r w:rsidR="00B87170">
        <w:t xml:space="preserve">disability </w:t>
      </w:r>
      <w:r w:rsidR="00AC6260">
        <w:t>discrimination complaint</w:t>
      </w:r>
      <w:r w:rsidR="00AC6260" w:rsidRPr="00D62D2D">
        <w:t xml:space="preserve"> due to lack of self-confidence, advocacy experience, technical knowledge, </w:t>
      </w:r>
      <w:r w:rsidR="00AB5ECA">
        <w:t xml:space="preserve">and </w:t>
      </w:r>
      <w:r w:rsidR="00AC6260" w:rsidRPr="00D62D2D">
        <w:t>financial and emotional resources</w:t>
      </w:r>
      <w:r w:rsidR="00AB5ECA">
        <w:t>, further</w:t>
      </w:r>
      <w:r w:rsidR="00AC6260">
        <w:t xml:space="preserve"> compounded by fears of retaliation or stigma in small communities or workplaces. </w:t>
      </w:r>
      <w:r w:rsidR="00871055">
        <w:t>Timelines are often protracted</w:t>
      </w:r>
      <w:r w:rsidR="00DD1744">
        <w:t xml:space="preserve"> (6-12mths)</w:t>
      </w:r>
      <w:r w:rsidR="00871055">
        <w:t xml:space="preserve"> </w:t>
      </w:r>
      <w:r w:rsidR="00F7468C">
        <w:t>with delays resulting in complainants giving up.</w:t>
      </w:r>
      <w:r w:rsidR="002C46F7">
        <w:t xml:space="preserve"> </w:t>
      </w:r>
    </w:p>
    <w:p w14:paraId="4BD1B426" w14:textId="7549D893" w:rsidR="004E4DFE" w:rsidRDefault="004E4DFE" w:rsidP="002C46F7">
      <w:pPr>
        <w:pStyle w:val="ListParagraph"/>
      </w:pPr>
      <w:r>
        <w:t xml:space="preserve">BCA members report challenges in getting access to both legal advice and legal representation, </w:t>
      </w:r>
      <w:r w:rsidR="00B26939">
        <w:t xml:space="preserve">and </w:t>
      </w:r>
      <w:r>
        <w:t>being forced to prepare complaints without adequate knowledge or experience.</w:t>
      </w:r>
    </w:p>
    <w:p w14:paraId="3F1E3A87" w14:textId="1ABC7B45" w:rsidR="002C46F7" w:rsidRPr="00200B0D" w:rsidRDefault="002C46F7" w:rsidP="002C46F7">
      <w:pPr>
        <w:pStyle w:val="ListParagraph"/>
      </w:pPr>
      <w:r w:rsidRPr="00200B0D">
        <w:t>BCA’s DRC submission on audio description provides a detailed account of</w:t>
      </w:r>
      <w:r>
        <w:t xml:space="preserve"> the</w:t>
      </w:r>
      <w:r w:rsidRPr="00200B0D">
        <w:t xml:space="preserve"> challenges faced by Ms Lauren Henley in making a complaint </w:t>
      </w:r>
      <w:r>
        <w:t xml:space="preserve">under the DDA </w:t>
      </w:r>
      <w:r w:rsidRPr="00200B0D">
        <w:t xml:space="preserve">to the AHRC </w:t>
      </w:r>
      <w:r>
        <w:t>(</w:t>
      </w:r>
      <w:r w:rsidRPr="00200B0D">
        <w:t>and subsequently</w:t>
      </w:r>
      <w:r>
        <w:t xml:space="preserve"> to</w:t>
      </w:r>
      <w:r w:rsidRPr="00200B0D">
        <w:t xml:space="preserve"> the CRPD Committee</w:t>
      </w:r>
      <w:r>
        <w:t>)</w:t>
      </w:r>
      <w:r w:rsidRPr="00200B0D">
        <w:t>.</w:t>
      </w:r>
      <w:r w:rsidRPr="00D2135A">
        <w:rPr>
          <w:rStyle w:val="FootnoteReference"/>
        </w:rPr>
        <w:footnoteReference w:id="68"/>
      </w:r>
      <w:r w:rsidRPr="00200B0D">
        <w:t xml:space="preserve"> </w:t>
      </w:r>
    </w:p>
    <w:p w14:paraId="25D52828" w14:textId="339E65DF" w:rsidR="00AC6260" w:rsidRDefault="00AC6260" w:rsidP="006D1DEA">
      <w:pPr>
        <w:pStyle w:val="ListParagraph"/>
      </w:pPr>
      <w:r w:rsidRPr="00F46E82">
        <w:t>The AHRC's conciliation process is seen as daunting and intimidating</w:t>
      </w:r>
      <w:r w:rsidR="00581E72">
        <w:t>. C</w:t>
      </w:r>
      <w:r w:rsidR="008B3A51">
        <w:t>o</w:t>
      </w:r>
      <w:r w:rsidRPr="00F46E82">
        <w:t xml:space="preserve">mplainants often face respondents with significantly greater </w:t>
      </w:r>
      <w:r>
        <w:t xml:space="preserve">power and </w:t>
      </w:r>
      <w:r w:rsidRPr="00F46E82">
        <w:t xml:space="preserve">resources </w:t>
      </w:r>
      <w:r w:rsidR="00E879E5">
        <w:t>(</w:t>
      </w:r>
      <w:r w:rsidRPr="00F46E82">
        <w:t>including lawyers and technical staff</w:t>
      </w:r>
      <w:r w:rsidR="006F7A77">
        <w:t>)</w:t>
      </w:r>
      <w:r w:rsidR="006879CD">
        <w:t>,</w:t>
      </w:r>
      <w:r w:rsidR="00E879E5">
        <w:t xml:space="preserve"> and </w:t>
      </w:r>
      <w:r>
        <w:t xml:space="preserve">report </w:t>
      </w:r>
      <w:r w:rsidRPr="00D62D2D">
        <w:t>feel</w:t>
      </w:r>
      <w:r>
        <w:t>ing</w:t>
      </w:r>
      <w:r w:rsidRPr="00D62D2D">
        <w:t xml:space="preserve"> overwhelmed, especially when explaining technical issues</w:t>
      </w:r>
      <w:r>
        <w:t xml:space="preserve">. </w:t>
      </w:r>
    </w:p>
    <w:p w14:paraId="027E6FC6" w14:textId="77777777" w:rsidR="00D952E1" w:rsidRDefault="00D952E1" w:rsidP="006D1DEA">
      <w:pPr>
        <w:pStyle w:val="ListParagraph"/>
      </w:pPr>
      <w:r w:rsidRPr="00D62D2D">
        <w:t xml:space="preserve">Pursuing complaints, especially if escalated to the Federal Court, involves legal fees or expert </w:t>
      </w:r>
      <w:r w:rsidRPr="00D62D2D">
        <w:lastRenderedPageBreak/>
        <w:t>reports (e.g</w:t>
      </w:r>
      <w:r>
        <w:t>.</w:t>
      </w:r>
      <w:r w:rsidRPr="00D62D2D">
        <w:t xml:space="preserve"> on website accessibility) which people on limited incomes cannot afford. The AHRC’s lack of funding for legal assistance exacerbates </w:t>
      </w:r>
      <w:r>
        <w:t>this</w:t>
      </w:r>
      <w:r w:rsidRPr="00D62D2D">
        <w:t xml:space="preserve">. </w:t>
      </w:r>
    </w:p>
    <w:p w14:paraId="3EB78243" w14:textId="2A7F5B7E" w:rsidR="007E0314" w:rsidRDefault="00BF58B1" w:rsidP="006D1DEA">
      <w:pPr>
        <w:pStyle w:val="ListParagraph"/>
      </w:pPr>
      <w:r>
        <w:t>V</w:t>
      </w:r>
      <w:r w:rsidR="002A00CD">
        <w:t>oluntary conciliation</w:t>
      </w:r>
      <w:r>
        <w:t xml:space="preserve"> </w:t>
      </w:r>
      <w:r w:rsidR="0019049F">
        <w:t xml:space="preserve">and reluctance of the </w:t>
      </w:r>
      <w:r w:rsidR="002A00CD">
        <w:t xml:space="preserve">AHRC to use the powers given to it under S.46PJ(3) of the Australian Human Rights Commission Act 1986 to require attendance at a conciliation conference </w:t>
      </w:r>
      <w:r w:rsidR="008676BE">
        <w:t xml:space="preserve">undermines the DDA </w:t>
      </w:r>
      <w:r w:rsidR="007E0314">
        <w:t xml:space="preserve">and </w:t>
      </w:r>
      <w:r w:rsidR="00FF18B3">
        <w:t xml:space="preserve">fails </w:t>
      </w:r>
      <w:r w:rsidR="009B6088">
        <w:t>people with</w:t>
      </w:r>
      <w:r w:rsidR="007E0314">
        <w:t xml:space="preserve"> disability</w:t>
      </w:r>
      <w:r w:rsidR="00AA011F">
        <w:t>.</w:t>
      </w:r>
      <w:r w:rsidR="00524D35">
        <w:t xml:space="preserve"> </w:t>
      </w:r>
    </w:p>
    <w:p w14:paraId="6F6D8243" w14:textId="58DCEC03" w:rsidR="00695069" w:rsidRPr="00762041" w:rsidRDefault="00695069" w:rsidP="006D1DEA">
      <w:pPr>
        <w:pStyle w:val="ListParagraph"/>
      </w:pPr>
      <w:r>
        <w:t xml:space="preserve">Following a breach, </w:t>
      </w:r>
      <w:r w:rsidRPr="00955CBB">
        <w:t>change is slow</w:t>
      </w:r>
      <w:r>
        <w:t xml:space="preserve"> and there is little evidence to suggest that conciliation outcomes</w:t>
      </w:r>
      <w:r w:rsidRPr="00CF7B92">
        <w:t xml:space="preserve"> </w:t>
      </w:r>
      <w:r>
        <w:t xml:space="preserve">are </w:t>
      </w:r>
      <w:r w:rsidRPr="00CF7B92">
        <w:t xml:space="preserve">used to </w:t>
      </w:r>
      <w:r>
        <w:t>influence</w:t>
      </w:r>
      <w:r w:rsidRPr="00CF7B92">
        <w:t xml:space="preserve"> </w:t>
      </w:r>
      <w:r>
        <w:t>sys</w:t>
      </w:r>
      <w:r w:rsidRPr="00CF7B92">
        <w:t>temic change.</w:t>
      </w:r>
      <w:r>
        <w:t xml:space="preserve"> Conciliation agreements are often confidential, </w:t>
      </w:r>
      <w:r w:rsidR="0047781D">
        <w:t>r</w:t>
      </w:r>
      <w:r w:rsidR="003F5949">
        <w:t xml:space="preserve">estricting visibility of repeat offenders, </w:t>
      </w:r>
      <w:r>
        <w:t xml:space="preserve">and </w:t>
      </w:r>
      <w:r w:rsidR="009051D8">
        <w:t xml:space="preserve">limiting </w:t>
      </w:r>
      <w:r>
        <w:t xml:space="preserve">promotion of precedents in setting applicable penalties. </w:t>
      </w:r>
    </w:p>
    <w:p w14:paraId="24197A07" w14:textId="20CE2347" w:rsidR="00AC6260" w:rsidRPr="00307F24" w:rsidRDefault="00AC6260" w:rsidP="006D1DEA">
      <w:pPr>
        <w:pStyle w:val="ListParagraph"/>
      </w:pPr>
      <w:r w:rsidRPr="00307F24">
        <w:t>There are no repercussions</w:t>
      </w:r>
      <w:r>
        <w:t>,</w:t>
      </w:r>
      <w:r w:rsidRPr="00307F24">
        <w:t xml:space="preserve"> penalties for non-compliance</w:t>
      </w:r>
      <w:r w:rsidR="00545097">
        <w:t xml:space="preserve"> with conciliation</w:t>
      </w:r>
      <w:r w:rsidRPr="00307F24">
        <w:t xml:space="preserve"> </w:t>
      </w:r>
      <w:r w:rsidR="00F06FAE">
        <w:t xml:space="preserve">outcomes </w:t>
      </w:r>
      <w:r>
        <w:t>or robust</w:t>
      </w:r>
      <w:r w:rsidRPr="00307F24">
        <w:t xml:space="preserve"> mechanism</w:t>
      </w:r>
      <w:r w:rsidR="00246E62">
        <w:t>s</w:t>
      </w:r>
      <w:r w:rsidRPr="00307F24">
        <w:t xml:space="preserve"> to ensure respondents implement agreed changes, leaving complainants to monitor compliance themselves. Even when complaints succeed, outcomes are often weak (e.g</w:t>
      </w:r>
      <w:r>
        <w:t>.</w:t>
      </w:r>
      <w:r w:rsidRPr="00307F24">
        <w:t xml:space="preserve"> apologies or minor changes without penalties), failing to deter future discrimination. </w:t>
      </w:r>
    </w:p>
    <w:p w14:paraId="494CE9C0" w14:textId="3CB80010" w:rsidR="007D2B2E" w:rsidRDefault="00563D00" w:rsidP="00A11A1E">
      <w:pPr>
        <w:pStyle w:val="ListParagraph"/>
      </w:pPr>
      <w:r>
        <w:t xml:space="preserve">BCA supports the recommendations outlined in the AHRC’s </w:t>
      </w:r>
      <w:r w:rsidRPr="00A73BCE">
        <w:t>Free and Equal Project</w:t>
      </w:r>
      <w:r w:rsidR="00ED6449">
        <w:rPr>
          <w:rStyle w:val="FootnoteReference"/>
        </w:rPr>
        <w:footnoteReference w:id="69"/>
      </w:r>
      <w:r w:rsidRPr="00A73BCE">
        <w:t xml:space="preserve"> </w:t>
      </w:r>
      <w:r>
        <w:t xml:space="preserve">to </w:t>
      </w:r>
      <w:r w:rsidRPr="00A73BCE">
        <w:t xml:space="preserve">include more effective enforcement powers for the </w:t>
      </w:r>
      <w:r>
        <w:t xml:space="preserve">AHRC </w:t>
      </w:r>
      <w:r w:rsidR="00577BC0">
        <w:t>including</w:t>
      </w:r>
      <w:r>
        <w:t xml:space="preserve"> </w:t>
      </w:r>
      <w:r w:rsidRPr="00A73BCE">
        <w:t>audits</w:t>
      </w:r>
      <w:r w:rsidR="007D540C">
        <w:t>,</w:t>
      </w:r>
      <w:r w:rsidRPr="00A73BCE">
        <w:t xml:space="preserve"> own-motion investigations</w:t>
      </w:r>
      <w:r w:rsidR="007D540C">
        <w:t>,</w:t>
      </w:r>
      <w:r w:rsidRPr="00A73BCE">
        <w:t xml:space="preserve"> compliance notices</w:t>
      </w:r>
      <w:r w:rsidR="007D540C">
        <w:t>,</w:t>
      </w:r>
      <w:r w:rsidRPr="00A73BCE">
        <w:t xml:space="preserve"> enforceable undertakings and applications to the Court to require compliance. </w:t>
      </w:r>
      <w:r w:rsidR="00E1491C">
        <w:t>T</w:t>
      </w:r>
      <w:r w:rsidR="00FD1318">
        <w:t xml:space="preserve">here should be a </w:t>
      </w:r>
      <w:r w:rsidR="00FD1318" w:rsidRPr="00365B20">
        <w:t>greater emphasis on systemic discrimination placing less pressure on individual complainants</w:t>
      </w:r>
      <w:r w:rsidR="006F28AD">
        <w:t xml:space="preserve">, </w:t>
      </w:r>
      <w:r>
        <w:t>increas</w:t>
      </w:r>
      <w:r w:rsidR="006F28AD">
        <w:t>ed</w:t>
      </w:r>
      <w:r>
        <w:t xml:space="preserve"> efforts to b</w:t>
      </w:r>
      <w:r w:rsidRPr="00A73BCE">
        <w:t>uild and support a culture of prevention</w:t>
      </w:r>
      <w:r w:rsidR="006F28AD">
        <w:t xml:space="preserve">, </w:t>
      </w:r>
      <w:r w:rsidR="00F120D8">
        <w:t xml:space="preserve">and </w:t>
      </w:r>
      <w:r w:rsidR="00E9766D">
        <w:t xml:space="preserve">a </w:t>
      </w:r>
      <w:r w:rsidR="00F120D8" w:rsidRPr="00871FCD">
        <w:t>review</w:t>
      </w:r>
      <w:r w:rsidR="00E9766D">
        <w:t xml:space="preserve"> of</w:t>
      </w:r>
      <w:r w:rsidR="00F120D8" w:rsidRPr="00871FCD">
        <w:t xml:space="preserve"> funding for community legal centres and legal aid to ensure adequate resources</w:t>
      </w:r>
      <w:r w:rsidR="00E9766D">
        <w:t xml:space="preserve"> to support people with disability</w:t>
      </w:r>
      <w:r w:rsidRPr="00A73BCE">
        <w:t>. </w:t>
      </w:r>
    </w:p>
    <w:p w14:paraId="119BE526" w14:textId="085D6BE4" w:rsidR="00675757" w:rsidRDefault="00675757" w:rsidP="006D1DEA">
      <w:pPr>
        <w:pStyle w:val="ListParagraph"/>
      </w:pPr>
      <w:r>
        <w:t>The AHRC should be sufficiently empowered and resourced to</w:t>
      </w:r>
      <w:r w:rsidRPr="00FB7288">
        <w:t xml:space="preserve"> investigate patterns of discrimination and take proactive action.</w:t>
      </w:r>
      <w:r>
        <w:t xml:space="preserve"> </w:t>
      </w:r>
      <w:r w:rsidR="009E3B16">
        <w:t>There needs to be much greater transparency in complaint outcomes and visibility of duty holders that are repeat offenders.</w:t>
      </w:r>
    </w:p>
    <w:p w14:paraId="7F04EF68" w14:textId="74C9B464" w:rsidR="00543C06" w:rsidRPr="00542689" w:rsidRDefault="00732C2A" w:rsidP="00542689">
      <w:pPr>
        <w:pStyle w:val="IntenseQuote"/>
        <w:rPr>
          <w:b/>
          <w:bCs/>
        </w:rPr>
      </w:pPr>
      <w:r w:rsidRPr="00732C2A">
        <w:rPr>
          <w:b/>
          <w:bCs/>
        </w:rPr>
        <w:t>“I've had the experience of going through the Human Rights Commission with no satisfactory outcome. There was no follow-up at all. It just ended, and I think that's a huge problem for us.”</w:t>
      </w:r>
      <w:r w:rsidR="00A95CD7">
        <w:rPr>
          <w:rStyle w:val="FootnoteReference"/>
          <w:b/>
          <w:bCs/>
        </w:rPr>
        <w:footnoteReference w:id="70"/>
      </w:r>
    </w:p>
    <w:p w14:paraId="107199B6" w14:textId="77777777" w:rsidR="00980894" w:rsidRDefault="00980894">
      <w:pPr>
        <w:spacing w:before="0" w:after="160" w:line="259" w:lineRule="auto"/>
      </w:pPr>
      <w:r>
        <w:br w:type="page"/>
      </w:r>
    </w:p>
    <w:p w14:paraId="55C24F05" w14:textId="4318C960" w:rsidR="00980894" w:rsidRPr="00980894" w:rsidRDefault="00980894" w:rsidP="00980894">
      <w:pPr>
        <w:pStyle w:val="IntenseQuote"/>
        <w:rPr>
          <w:b/>
          <w:bCs/>
        </w:rPr>
      </w:pPr>
      <w:r w:rsidRPr="00980894">
        <w:rPr>
          <w:b/>
          <w:bCs/>
        </w:rPr>
        <w:lastRenderedPageBreak/>
        <w:t>“I was going to take a [discrimination] complaint that I had against an organisation to the Federal court, because I got nowhere in the Commission. But I was told by the legal advisor, with whom I eventually spoke, that it would cost me up to $50,000. Who can afford that?”</w:t>
      </w:r>
      <w:r w:rsidR="004A57D1">
        <w:rPr>
          <w:rStyle w:val="FootnoteReference"/>
          <w:b/>
          <w:bCs/>
        </w:rPr>
        <w:footnoteReference w:id="71"/>
      </w:r>
    </w:p>
    <w:p w14:paraId="554CE7EE" w14:textId="71228E84" w:rsidR="002F7C08" w:rsidRDefault="002F7C08" w:rsidP="00AC6260">
      <w:r>
        <w:t>Recommendation: I</w:t>
      </w:r>
      <w:r w:rsidRPr="00332C72">
        <w:t>mpose meaningful penalties for non-compliance</w:t>
      </w:r>
      <w:r w:rsidR="00E10BD2">
        <w:t xml:space="preserve"> w</w:t>
      </w:r>
      <w:r w:rsidR="00637729">
        <w:t>ith the DDA</w:t>
      </w:r>
      <w:r w:rsidRPr="00332C72">
        <w:t xml:space="preserve"> to deter violations.</w:t>
      </w:r>
    </w:p>
    <w:p w14:paraId="0ABEFE8E" w14:textId="62D81E94" w:rsidR="00297026" w:rsidRDefault="00470AD1" w:rsidP="006D1DEA">
      <w:pPr>
        <w:pStyle w:val="ListParagraph"/>
      </w:pPr>
      <w:r w:rsidRPr="00470AD1">
        <w:t>Currently, the DDA relies on complaint-based conciliation through the AHRC, with limited escalation to civil remedies like compensation or injunctions, resulting in weak accountability and persistent non-compliance</w:t>
      </w:r>
      <w:r w:rsidR="00297026">
        <w:t>.</w:t>
      </w:r>
      <w:r w:rsidRPr="00470AD1">
        <w:t xml:space="preserve"> </w:t>
      </w:r>
    </w:p>
    <w:p w14:paraId="0C3D57AD" w14:textId="0978A608" w:rsidR="00470AD1" w:rsidRDefault="00470AD1" w:rsidP="006D1DEA">
      <w:pPr>
        <w:pStyle w:val="ListParagraph"/>
      </w:pPr>
      <w:r w:rsidRPr="00470AD1">
        <w:t>In contrast,</w:t>
      </w:r>
      <w:r w:rsidR="00272510">
        <w:t xml:space="preserve"> the </w:t>
      </w:r>
      <w:r w:rsidR="00272510" w:rsidRPr="00470AD1">
        <w:t>Australian Securities and Investments Commission (ASIC) and Australian Competition and Consumer Commission (ACCC)</w:t>
      </w:r>
      <w:r w:rsidR="00272510">
        <w:t xml:space="preserve"> w</w:t>
      </w:r>
      <w:r w:rsidRPr="00470AD1">
        <w:t>ield statutory powers to impose fines up to $50 million or 10% of annual turnover for serious breaches</w:t>
      </w:r>
      <w:r w:rsidR="00A8531C">
        <w:rPr>
          <w:rStyle w:val="FootnoteReference"/>
        </w:rPr>
        <w:footnoteReference w:id="72"/>
      </w:r>
      <w:r w:rsidRPr="00470AD1">
        <w:t xml:space="preserve">, as seen in the ACCC's $120 million penalty on Qantas in 2024 for misleading consumers. This model demonstrates that financial sanctions </w:t>
      </w:r>
      <w:r w:rsidR="009476A2">
        <w:t xml:space="preserve">can </w:t>
      </w:r>
      <w:r w:rsidRPr="00470AD1">
        <w:t xml:space="preserve">drive cultural </w:t>
      </w:r>
      <w:r w:rsidR="003C2E43">
        <w:t>change</w:t>
      </w:r>
      <w:r w:rsidR="009476A2">
        <w:t>.</w:t>
      </w:r>
    </w:p>
    <w:p w14:paraId="7BA4D09B" w14:textId="4799CC15" w:rsidR="008C6C45" w:rsidRDefault="005D131E" w:rsidP="006D1DEA">
      <w:pPr>
        <w:pStyle w:val="ListParagraph"/>
      </w:pPr>
      <w:r w:rsidRPr="00470AD1">
        <w:t xml:space="preserve">Imposing significant penalties on duty holders who breach the </w:t>
      </w:r>
      <w:r>
        <w:t xml:space="preserve">DDA </w:t>
      </w:r>
      <w:r w:rsidR="009B39E0">
        <w:t>c</w:t>
      </w:r>
      <w:r w:rsidRPr="00470AD1">
        <w:t xml:space="preserve">ould enhance deterrence, promote compliance, and </w:t>
      </w:r>
      <w:r w:rsidR="00DB44E6">
        <w:t xml:space="preserve">contribute to </w:t>
      </w:r>
      <w:r w:rsidRPr="00470AD1">
        <w:t>achiev</w:t>
      </w:r>
      <w:r w:rsidR="00DB44E6">
        <w:t>ing</w:t>
      </w:r>
      <w:r w:rsidRPr="00470AD1">
        <w:t xml:space="preserve"> substantive equality</w:t>
      </w:r>
      <w:r>
        <w:t>. P</w:t>
      </w:r>
      <w:r w:rsidR="008E5747" w:rsidRPr="008E5747">
        <w:t xml:space="preserve">enalties would address </w:t>
      </w:r>
      <w:r w:rsidR="001767C8">
        <w:t xml:space="preserve">the AHRC’s </w:t>
      </w:r>
      <w:r w:rsidR="00DB44E6">
        <w:t>‘</w:t>
      </w:r>
      <w:r w:rsidR="008E5747" w:rsidRPr="008E5747">
        <w:t>toothless</w:t>
      </w:r>
      <w:r w:rsidR="00DB44E6">
        <w:t>’</w:t>
      </w:r>
      <w:r w:rsidR="008E5747" w:rsidRPr="008E5747">
        <w:t xml:space="preserve"> reputation, where breaches like refusing </w:t>
      </w:r>
      <w:r w:rsidR="00DB44E6">
        <w:t xml:space="preserve">dog </w:t>
      </w:r>
      <w:r w:rsidR="008E5747" w:rsidRPr="008E5747">
        <w:t>guide access often go unpunished</w:t>
      </w:r>
      <w:r w:rsidR="00A6145C">
        <w:t>.</w:t>
      </w:r>
      <w:r w:rsidR="008E5747" w:rsidRPr="008E5747">
        <w:t xml:space="preserve"> The </w:t>
      </w:r>
      <w:r w:rsidR="001B70CC">
        <w:t>DRC</w:t>
      </w:r>
      <w:r w:rsidR="008E5747" w:rsidRPr="008E5747">
        <w:t xml:space="preserve"> Recommendation 7.19 (2023) explicitly calls for an empowered AHRC with penalty powers for non-compliance, noting that without them, systemic discrimination persists</w:t>
      </w:r>
      <w:r w:rsidR="008C6C45">
        <w:t>.</w:t>
      </w:r>
      <w:r w:rsidR="008E5747" w:rsidRPr="008E5747">
        <w:t xml:space="preserve"> </w:t>
      </w:r>
    </w:p>
    <w:p w14:paraId="66D45FA3" w14:textId="42E5854E" w:rsidR="00470AD1" w:rsidRDefault="008E5747" w:rsidP="006D1DEA">
      <w:pPr>
        <w:pStyle w:val="ListParagraph"/>
      </w:pPr>
      <w:r w:rsidRPr="008E5747">
        <w:t xml:space="preserve">Introducing tiered fines </w:t>
      </w:r>
      <w:r w:rsidR="00DA5E53">
        <w:t>(</w:t>
      </w:r>
      <w:r w:rsidR="009436C9">
        <w:t xml:space="preserve">e.g. </w:t>
      </w:r>
      <w:r w:rsidRPr="008E5747">
        <w:t xml:space="preserve">scaled by </w:t>
      </w:r>
      <w:r w:rsidR="009436C9">
        <w:t>entity</w:t>
      </w:r>
      <w:r w:rsidR="00DA5E53">
        <w:t xml:space="preserve"> </w:t>
      </w:r>
      <w:r w:rsidRPr="008E5747">
        <w:t>turnover</w:t>
      </w:r>
      <w:r w:rsidR="00DA5E53">
        <w:t>)</w:t>
      </w:r>
      <w:r w:rsidRPr="008E5747">
        <w:t xml:space="preserve"> would incentivi</w:t>
      </w:r>
      <w:r w:rsidR="00306A3A">
        <w:t>s</w:t>
      </w:r>
      <w:r w:rsidRPr="008E5747">
        <w:t>e proactive measures</w:t>
      </w:r>
      <w:r w:rsidR="00DA5E53">
        <w:t>,</w:t>
      </w:r>
      <w:r w:rsidRPr="008E5747">
        <w:t xml:space="preserve"> deter violations</w:t>
      </w:r>
      <w:r w:rsidR="006E0657">
        <w:t xml:space="preserve"> and could </w:t>
      </w:r>
      <w:r w:rsidRPr="008E5747">
        <w:t xml:space="preserve">fund redress (e.g. accessibility grants), fostering a preventive culture </w:t>
      </w:r>
      <w:r w:rsidR="003866DD" w:rsidRPr="008E5747">
        <w:t>like</w:t>
      </w:r>
      <w:r w:rsidRPr="008E5747">
        <w:t xml:space="preserve"> </w:t>
      </w:r>
      <w:r w:rsidR="003866DD">
        <w:t xml:space="preserve">the </w:t>
      </w:r>
      <w:r w:rsidRPr="008E5747">
        <w:t xml:space="preserve">ACCC's impact on consumer markets. </w:t>
      </w:r>
    </w:p>
    <w:p w14:paraId="6E792692" w14:textId="77777777" w:rsidR="00496E3A" w:rsidRPr="007765C8" w:rsidRDefault="00496E3A" w:rsidP="00496E3A">
      <w:pPr>
        <w:pStyle w:val="IntenseQuote"/>
        <w:ind w:left="360"/>
      </w:pPr>
      <w:r>
        <w:t>“</w:t>
      </w:r>
      <w:r w:rsidRPr="009B06EB">
        <w:rPr>
          <w:b/>
          <w:bCs/>
        </w:rPr>
        <w:t>There is almost no use in even getting a positive outcome from a [AHRC] decision in your favour as a complainant, because chances are it's not going to be enforced anyway.</w:t>
      </w:r>
      <w:r w:rsidRPr="009B06EB">
        <w:rPr>
          <w:rFonts w:ascii="Helvetica" w:eastAsia="Times New Roman" w:hAnsi="Helvetica" w:cs="Times New Roman"/>
          <w:b/>
          <w:bCs/>
          <w:color w:val="232333"/>
          <w:sz w:val="23"/>
          <w:szCs w:val="23"/>
          <w:lang w:eastAsia="en-AU"/>
        </w:rPr>
        <w:t xml:space="preserve"> </w:t>
      </w:r>
      <w:r w:rsidRPr="009B06EB">
        <w:rPr>
          <w:b/>
          <w:bCs/>
        </w:rPr>
        <w:t xml:space="preserve">That's the problem at the moment I think. </w:t>
      </w:r>
      <w:r w:rsidRPr="007765C8">
        <w:rPr>
          <w:b/>
          <w:bCs/>
        </w:rPr>
        <w:t>If an organi</w:t>
      </w:r>
      <w:r w:rsidRPr="009B06EB">
        <w:rPr>
          <w:b/>
          <w:bCs/>
        </w:rPr>
        <w:t>s</w:t>
      </w:r>
      <w:r w:rsidRPr="007765C8">
        <w:rPr>
          <w:b/>
          <w:bCs/>
        </w:rPr>
        <w:t xml:space="preserve">ation </w:t>
      </w:r>
      <w:r w:rsidRPr="009B06EB">
        <w:rPr>
          <w:b/>
          <w:bCs/>
        </w:rPr>
        <w:t>k</w:t>
      </w:r>
      <w:r w:rsidRPr="007765C8">
        <w:rPr>
          <w:b/>
          <w:bCs/>
        </w:rPr>
        <w:t xml:space="preserve">new there </w:t>
      </w:r>
      <w:r w:rsidRPr="007765C8">
        <w:rPr>
          <w:b/>
          <w:bCs/>
        </w:rPr>
        <w:lastRenderedPageBreak/>
        <w:t>was going to be a substantial fine they would weigh up</w:t>
      </w:r>
      <w:r w:rsidRPr="009B06EB">
        <w:rPr>
          <w:b/>
          <w:bCs/>
        </w:rPr>
        <w:t xml:space="preserve"> their o</w:t>
      </w:r>
      <w:r w:rsidRPr="007765C8">
        <w:rPr>
          <w:b/>
          <w:bCs/>
        </w:rPr>
        <w:t>bligations in the first</w:t>
      </w:r>
      <w:r w:rsidRPr="009B06EB">
        <w:rPr>
          <w:b/>
          <w:bCs/>
        </w:rPr>
        <w:t xml:space="preserve"> place.”</w:t>
      </w:r>
      <w:r>
        <w:rPr>
          <w:rStyle w:val="FootnoteReference"/>
          <w:b/>
          <w:bCs/>
        </w:rPr>
        <w:footnoteReference w:id="73"/>
      </w:r>
    </w:p>
    <w:p w14:paraId="16ADEAA2" w14:textId="0B3A6F26" w:rsidR="001836C1" w:rsidRDefault="001D75A5" w:rsidP="007350B7">
      <w:pPr>
        <w:pStyle w:val="Heading2"/>
      </w:pPr>
      <w:bookmarkStart w:id="62" w:name="_Toc208589124"/>
      <w:bookmarkStart w:id="63" w:name="_Toc212204025"/>
      <w:r>
        <w:t xml:space="preserve">Accessibility of </w:t>
      </w:r>
      <w:r w:rsidR="00E63063">
        <w:t xml:space="preserve">AHRC </w:t>
      </w:r>
      <w:r>
        <w:t>complaints system</w:t>
      </w:r>
      <w:bookmarkEnd w:id="63"/>
    </w:p>
    <w:p w14:paraId="7371961C" w14:textId="746925CA" w:rsidR="004F33C7" w:rsidRPr="00300CAA" w:rsidRDefault="003F082F" w:rsidP="003F082F">
      <w:r>
        <w:t>R</w:t>
      </w:r>
      <w:r w:rsidR="001836C1">
        <w:t xml:space="preserve">ecommendation: </w:t>
      </w:r>
      <w:r w:rsidR="004F33C7" w:rsidRPr="00300CAA">
        <w:t xml:space="preserve">Reform the </w:t>
      </w:r>
      <w:r w:rsidR="005E1435">
        <w:t xml:space="preserve">AHRC </w:t>
      </w:r>
      <w:r w:rsidR="004F33C7">
        <w:t xml:space="preserve">discrimination </w:t>
      </w:r>
      <w:r w:rsidR="004F33C7" w:rsidRPr="00300CAA">
        <w:t xml:space="preserve">complaints process to be fully accessible for people </w:t>
      </w:r>
      <w:r w:rsidR="003866DD">
        <w:t xml:space="preserve">who are blind or vision impaired. </w:t>
      </w:r>
      <w:bookmarkEnd w:id="62"/>
      <w:r w:rsidR="004F33C7" w:rsidRPr="00300CAA">
        <w:t xml:space="preserve"> </w:t>
      </w:r>
    </w:p>
    <w:p w14:paraId="1D628FCB" w14:textId="6EB39B99" w:rsidR="006142A7" w:rsidRDefault="00A3717C" w:rsidP="006D1DEA">
      <w:pPr>
        <w:pStyle w:val="ListParagraph"/>
        <w:numPr>
          <w:ilvl w:val="0"/>
          <w:numId w:val="10"/>
        </w:numPr>
      </w:pPr>
      <w:r>
        <w:t xml:space="preserve">People </w:t>
      </w:r>
      <w:r w:rsidR="006142A7" w:rsidRPr="00D62D2D">
        <w:t>who are blind or vision impaired struggle to navigate the AHRC’s online complaint lodg</w:t>
      </w:r>
      <w:r w:rsidR="006142A7">
        <w:t>e</w:t>
      </w:r>
      <w:r w:rsidR="006142A7" w:rsidRPr="00D62D2D">
        <w:t>ment system and website independently</w:t>
      </w:r>
      <w:r w:rsidR="006142A7">
        <w:t>, compromising</w:t>
      </w:r>
      <w:r w:rsidR="006142A7" w:rsidRPr="00D62D2D">
        <w:t xml:space="preserve"> autonomy and privacy.</w:t>
      </w:r>
      <w:r w:rsidR="006142A7">
        <w:t xml:space="preserve"> </w:t>
      </w:r>
      <w:r w:rsidR="006142A7" w:rsidRPr="00D62D2D">
        <w:t xml:space="preserve">Submitting evidence (e.g. screenshots of inaccessible websites or detailed descriptions of discrimination) </w:t>
      </w:r>
      <w:r w:rsidR="006142A7">
        <w:t>can be</w:t>
      </w:r>
      <w:r w:rsidR="006142A7" w:rsidRPr="00D62D2D">
        <w:t xml:space="preserve"> challenging for complainants who may not easily access or interpret visual data, requiring technical support they may not have.</w:t>
      </w:r>
    </w:p>
    <w:p w14:paraId="6798994B" w14:textId="6889015A" w:rsidR="004F33C7" w:rsidRPr="004D6775" w:rsidRDefault="00DA7798" w:rsidP="006D1DEA">
      <w:pPr>
        <w:pStyle w:val="ListParagraph"/>
        <w:numPr>
          <w:ilvl w:val="0"/>
          <w:numId w:val="10"/>
        </w:numPr>
      </w:pPr>
      <w:r>
        <w:t>The AHRC must e</w:t>
      </w:r>
      <w:r w:rsidR="004F33C7" w:rsidRPr="00300CAA">
        <w:t>nsur</w:t>
      </w:r>
      <w:r w:rsidR="006142A7">
        <w:t>e</w:t>
      </w:r>
      <w:r w:rsidR="004F33C7" w:rsidRPr="00300CAA">
        <w:t xml:space="preserve"> complaint lodgement </w:t>
      </w:r>
      <w:r w:rsidR="00EE05BD">
        <w:t xml:space="preserve">and processing </w:t>
      </w:r>
      <w:r w:rsidR="004F33C7" w:rsidRPr="00300CAA">
        <w:t xml:space="preserve">systems are </w:t>
      </w:r>
      <w:r w:rsidR="00E47F8F">
        <w:t xml:space="preserve">compliant with </w:t>
      </w:r>
      <w:r w:rsidR="00491F00">
        <w:t xml:space="preserve">the latest </w:t>
      </w:r>
      <w:r w:rsidR="00E47F8F">
        <w:t xml:space="preserve">WCAG and </w:t>
      </w:r>
      <w:r w:rsidR="004F33C7" w:rsidRPr="00300CAA">
        <w:t>compatible with assistive technologies (e.g</w:t>
      </w:r>
      <w:r>
        <w:t>.</w:t>
      </w:r>
      <w:r w:rsidR="004F33C7" w:rsidRPr="00300CAA">
        <w:t xml:space="preserve"> screen readers), </w:t>
      </w:r>
      <w:r w:rsidR="0078780A">
        <w:t xml:space="preserve">that </w:t>
      </w:r>
      <w:r w:rsidR="004F33C7" w:rsidRPr="00300CAA">
        <w:t>materials</w:t>
      </w:r>
      <w:r w:rsidR="0078780A">
        <w:t xml:space="preserve"> are provided</w:t>
      </w:r>
      <w:r w:rsidR="004F33C7" w:rsidRPr="00300CAA">
        <w:t xml:space="preserve"> in accessible formats (e.g</w:t>
      </w:r>
      <w:r>
        <w:t>.</w:t>
      </w:r>
      <w:r w:rsidR="004F33C7" w:rsidRPr="00300CAA">
        <w:t xml:space="preserve"> Braille, audio, </w:t>
      </w:r>
      <w:r w:rsidR="00D17C79">
        <w:t xml:space="preserve">Word document, </w:t>
      </w:r>
      <w:r w:rsidR="004F33C7" w:rsidRPr="00300CAA">
        <w:t xml:space="preserve">large print), </w:t>
      </w:r>
      <w:r w:rsidR="0078780A">
        <w:t xml:space="preserve">and </w:t>
      </w:r>
      <w:r w:rsidR="004F33C7" w:rsidRPr="00300CAA">
        <w:t>procedural requirements</w:t>
      </w:r>
      <w:r w:rsidR="00EA7F55">
        <w:t xml:space="preserve"> are simple</w:t>
      </w:r>
      <w:r w:rsidR="004F33C7" w:rsidRPr="00300CAA">
        <w:t>, reduc</w:t>
      </w:r>
      <w:r w:rsidR="00EF40CB">
        <w:t>ing</w:t>
      </w:r>
      <w:r w:rsidR="004F33C7" w:rsidRPr="00300CAA">
        <w:t xml:space="preserve"> </w:t>
      </w:r>
      <w:r w:rsidR="00EF40CB">
        <w:t xml:space="preserve">any </w:t>
      </w:r>
      <w:r w:rsidR="004F33C7" w:rsidRPr="00300CAA">
        <w:t>barriers</w:t>
      </w:r>
      <w:r w:rsidR="003B4E5D">
        <w:t xml:space="preserve"> to </w:t>
      </w:r>
      <w:r w:rsidR="00EF40CB">
        <w:t>independent</w:t>
      </w:r>
      <w:r w:rsidR="003B4E5D">
        <w:t xml:space="preserve"> access and participation</w:t>
      </w:r>
      <w:r w:rsidR="00EA7F55">
        <w:t xml:space="preserve"> by people who are blind or vision impaired.</w:t>
      </w:r>
    </w:p>
    <w:p w14:paraId="1C24D9B1" w14:textId="043ADF24" w:rsidR="00572855" w:rsidRPr="008400CE" w:rsidRDefault="008400CE" w:rsidP="008400CE">
      <w:pPr>
        <w:ind w:left="720" w:hanging="360"/>
        <w:rPr>
          <w:b/>
          <w:bCs/>
        </w:rPr>
      </w:pPr>
      <w:r>
        <w:rPr>
          <w:b/>
          <w:bCs/>
        </w:rPr>
        <w:t>(</w:t>
      </w:r>
      <w:r w:rsidR="00DF0210" w:rsidRPr="008400CE">
        <w:rPr>
          <w:b/>
          <w:bCs/>
        </w:rPr>
        <w:t>End</w:t>
      </w:r>
      <w:r>
        <w:rPr>
          <w:b/>
          <w:bCs/>
        </w:rPr>
        <w:t xml:space="preserve"> of document)</w:t>
      </w:r>
      <w:r w:rsidR="00DF0210" w:rsidRPr="008400CE">
        <w:rPr>
          <w:b/>
          <w:bCs/>
        </w:rPr>
        <w:t xml:space="preserve"> </w:t>
      </w:r>
    </w:p>
    <w:sectPr w:rsidR="00572855" w:rsidRPr="008400CE" w:rsidSect="005355BB">
      <w:headerReference w:type="default" r:id="rId14"/>
      <w:footerReference w:type="default" r:id="rId15"/>
      <w:headerReference w:type="first" r:id="rId16"/>
      <w:footerReference w:type="first" r:id="rId17"/>
      <w:endnotePr>
        <w:numFmt w:val="decimal"/>
      </w:endnotePr>
      <w:type w:val="continuous"/>
      <w:pgSz w:w="12240" w:h="15840" w:code="1"/>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F078" w14:textId="77777777" w:rsidR="005E22AB" w:rsidRDefault="005E22AB" w:rsidP="00E67E32">
      <w:pPr>
        <w:spacing w:before="0" w:line="240" w:lineRule="auto"/>
      </w:pPr>
      <w:r>
        <w:separator/>
      </w:r>
    </w:p>
  </w:endnote>
  <w:endnote w:type="continuationSeparator" w:id="0">
    <w:p w14:paraId="0037841C" w14:textId="77777777" w:rsidR="005E22AB" w:rsidRDefault="005E22AB" w:rsidP="00E67E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041" w14:textId="77777777" w:rsidR="007C4085" w:rsidRPr="00347BC4" w:rsidRDefault="009D49C7" w:rsidP="00BD4A76">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4801A73" w14:paraId="462D2CC8" w14:textId="77777777" w:rsidTr="74801A73">
      <w:trPr>
        <w:trHeight w:val="300"/>
      </w:trPr>
      <w:tc>
        <w:tcPr>
          <w:tcW w:w="3600" w:type="dxa"/>
        </w:tcPr>
        <w:p w14:paraId="7CB8D36A" w14:textId="7F78D68B" w:rsidR="74801A73" w:rsidRDefault="74801A73" w:rsidP="74801A73">
          <w:pPr>
            <w:pStyle w:val="Header"/>
            <w:ind w:left="-115"/>
          </w:pPr>
        </w:p>
      </w:tc>
      <w:tc>
        <w:tcPr>
          <w:tcW w:w="3600" w:type="dxa"/>
        </w:tcPr>
        <w:p w14:paraId="073FAB41" w14:textId="6DBDBF65" w:rsidR="74801A73" w:rsidRDefault="74801A73" w:rsidP="74801A73">
          <w:pPr>
            <w:pStyle w:val="Header"/>
            <w:jc w:val="center"/>
          </w:pPr>
        </w:p>
      </w:tc>
      <w:tc>
        <w:tcPr>
          <w:tcW w:w="3600" w:type="dxa"/>
        </w:tcPr>
        <w:p w14:paraId="7410D152" w14:textId="5EA0B335" w:rsidR="74801A73" w:rsidRDefault="74801A73" w:rsidP="74801A73">
          <w:pPr>
            <w:pStyle w:val="Header"/>
            <w:ind w:right="-115"/>
            <w:jc w:val="right"/>
          </w:pPr>
        </w:p>
      </w:tc>
    </w:tr>
  </w:tbl>
  <w:p w14:paraId="68D3778A" w14:textId="4C964EAF" w:rsidR="009E04B4" w:rsidRDefault="009E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5380" w14:textId="77777777" w:rsidR="005E22AB" w:rsidRDefault="005E22AB" w:rsidP="00E67E32">
      <w:pPr>
        <w:spacing w:before="0" w:line="240" w:lineRule="auto"/>
      </w:pPr>
      <w:r>
        <w:separator/>
      </w:r>
    </w:p>
  </w:footnote>
  <w:footnote w:type="continuationSeparator" w:id="0">
    <w:p w14:paraId="187FA296" w14:textId="77777777" w:rsidR="005E22AB" w:rsidRDefault="005E22AB" w:rsidP="00E67E32">
      <w:pPr>
        <w:spacing w:before="0" w:line="240" w:lineRule="auto"/>
      </w:pPr>
      <w:r>
        <w:continuationSeparator/>
      </w:r>
    </w:p>
  </w:footnote>
  <w:footnote w:id="1">
    <w:p w14:paraId="1B7EE7CE" w14:textId="1EFCCD86" w:rsidR="00286B37" w:rsidRPr="00286B37" w:rsidRDefault="00286B37" w:rsidP="00286B37">
      <w:pPr>
        <w:pStyle w:val="FootnoteText"/>
      </w:pPr>
      <w:r>
        <w:rPr>
          <w:rStyle w:val="FootnoteReference"/>
        </w:rPr>
        <w:footnoteRef/>
      </w:r>
      <w:r>
        <w:t xml:space="preserve"> </w:t>
      </w:r>
      <w:r w:rsidRPr="00286B37">
        <w:t>Australian Institute of Health and Welfare</w:t>
      </w:r>
      <w:r w:rsidR="00430ADA">
        <w:t>. (2023).</w:t>
      </w:r>
      <w:r w:rsidRPr="00286B37">
        <w:t xml:space="preserve"> Vision and Eye Health.</w:t>
      </w:r>
    </w:p>
    <w:p w14:paraId="2CB22342" w14:textId="6E8F9609" w:rsidR="00286B37" w:rsidRDefault="00286B37">
      <w:pPr>
        <w:pStyle w:val="FootnoteText"/>
      </w:pPr>
    </w:p>
  </w:footnote>
  <w:footnote w:id="2">
    <w:p w14:paraId="582627C4" w14:textId="3AD6A4BE" w:rsidR="00D108A7" w:rsidRDefault="00D108A7">
      <w:pPr>
        <w:pStyle w:val="FootnoteText"/>
      </w:pPr>
      <w:r>
        <w:rPr>
          <w:rStyle w:val="FootnoteReference"/>
        </w:rPr>
        <w:footnoteRef/>
      </w:r>
      <w:r>
        <w:t xml:space="preserve"> </w:t>
      </w:r>
      <w:hyperlink r:id="rId1" w:history="1">
        <w:r w:rsidRPr="009044EB">
          <w:rPr>
            <w:rStyle w:val="Hyperlink"/>
          </w:rPr>
          <w:t>https://www.ag.gov.au/sites/default/files/2025-08/dda-issues-paper-text.DOCX</w:t>
        </w:r>
      </w:hyperlink>
    </w:p>
  </w:footnote>
  <w:footnote w:id="3">
    <w:p w14:paraId="208E8E78" w14:textId="77777777" w:rsidR="00FD0727" w:rsidRDefault="00FD0727" w:rsidP="00FD0727">
      <w:pPr>
        <w:pStyle w:val="FootnoteText"/>
      </w:pPr>
      <w:r>
        <w:rPr>
          <w:rStyle w:val="FootnoteReference"/>
        </w:rPr>
        <w:footnoteRef/>
      </w:r>
      <w:r>
        <w:t xml:space="preserve"> Blind Citizens Australia (2025) DDA Consultation with members.</w:t>
      </w:r>
    </w:p>
  </w:footnote>
  <w:footnote w:id="4">
    <w:p w14:paraId="3378F6D6" w14:textId="77777777" w:rsidR="002C3A03" w:rsidRDefault="002C3A03" w:rsidP="002C3A03">
      <w:pPr>
        <w:pStyle w:val="FootnoteText"/>
      </w:pPr>
      <w:r>
        <w:rPr>
          <w:rStyle w:val="FootnoteReference"/>
        </w:rPr>
        <w:footnoteRef/>
      </w:r>
      <w:r>
        <w:t xml:space="preserve"> Blind Citizens Australia (2025) DDA Consultation with members.</w:t>
      </w:r>
    </w:p>
  </w:footnote>
  <w:footnote w:id="5">
    <w:p w14:paraId="2ED87D4D" w14:textId="5678674D" w:rsidR="00325F76" w:rsidRDefault="00325F76">
      <w:pPr>
        <w:pStyle w:val="FootnoteText"/>
      </w:pPr>
      <w:r>
        <w:rPr>
          <w:rStyle w:val="FootnoteReference"/>
        </w:rPr>
        <w:footnoteRef/>
      </w:r>
      <w:r>
        <w:t xml:space="preserve"> This feedback has </w:t>
      </w:r>
      <w:r w:rsidR="00B45A0C">
        <w:t xml:space="preserve">prompted a </w:t>
      </w:r>
      <w:r>
        <w:t>review by BCA of its own preferred terminology</w:t>
      </w:r>
      <w:r w:rsidR="00B45A0C">
        <w:t xml:space="preserve"> however for the purposes of this document vision impaired has continued to be used</w:t>
      </w:r>
      <w:r>
        <w:t>.</w:t>
      </w:r>
    </w:p>
  </w:footnote>
  <w:footnote w:id="6">
    <w:p w14:paraId="0E0E812F" w14:textId="77777777" w:rsidR="00A03A71" w:rsidRDefault="00A03A71" w:rsidP="00A03A71">
      <w:pPr>
        <w:pStyle w:val="FootnoteText"/>
      </w:pPr>
      <w:r>
        <w:rPr>
          <w:rStyle w:val="FootnoteReference"/>
        </w:rPr>
        <w:footnoteRef/>
      </w:r>
      <w:r>
        <w:t xml:space="preserve"> Blind Citizens Australia (2025) DDA Consultation with members.</w:t>
      </w:r>
    </w:p>
  </w:footnote>
  <w:footnote w:id="7">
    <w:p w14:paraId="6F6F14FD" w14:textId="5A76F0FA" w:rsidR="00332417" w:rsidRDefault="00332417" w:rsidP="003A1853">
      <w:pPr>
        <w:pStyle w:val="FootnoteText"/>
      </w:pPr>
      <w:r>
        <w:rPr>
          <w:rStyle w:val="FootnoteReference"/>
        </w:rPr>
        <w:footnoteRef/>
      </w:r>
      <w:r>
        <w:t xml:space="preserve"> </w:t>
      </w:r>
      <w:r w:rsidRPr="004E589D">
        <w:t>Productivity Commission</w:t>
      </w:r>
      <w:r>
        <w:t xml:space="preserve">. (2004). </w:t>
      </w:r>
      <w:r w:rsidRPr="004E589D">
        <w:t>Review of the Disability Discrimination Act 1992 Final Report</w:t>
      </w:r>
      <w:r>
        <w:t>.</w:t>
      </w:r>
    </w:p>
  </w:footnote>
  <w:footnote w:id="8">
    <w:p w14:paraId="6A924E87" w14:textId="13687273" w:rsidR="001355C7" w:rsidRDefault="001355C7" w:rsidP="003A1853">
      <w:pPr>
        <w:pStyle w:val="FootnoteText"/>
      </w:pPr>
      <w:r>
        <w:rPr>
          <w:rStyle w:val="FootnoteReference"/>
        </w:rPr>
        <w:footnoteRef/>
      </w:r>
      <w:r>
        <w:t xml:space="preserve"> </w:t>
      </w:r>
      <w:r w:rsidR="00F665B2">
        <w:t>Com</w:t>
      </w:r>
      <w:r w:rsidR="00104101">
        <w:t>m</w:t>
      </w:r>
      <w:r w:rsidR="00F665B2">
        <w:t>onwealt</w:t>
      </w:r>
      <w:r w:rsidR="00104101">
        <w:t>h of Australia</w:t>
      </w:r>
      <w:r w:rsidR="00CB2D7E">
        <w:t>.</w:t>
      </w:r>
      <w:r w:rsidR="00104101">
        <w:t xml:space="preserve"> </w:t>
      </w:r>
      <w:r w:rsidR="00CB2D7E">
        <w:t xml:space="preserve">(2023). </w:t>
      </w:r>
      <w:r w:rsidRPr="00E06442">
        <w:t>Royal Commission into Violence, Abuse, Neglect and Exploitation of People with Disability Final Report</w:t>
      </w:r>
      <w:r w:rsidR="00F665B2">
        <w:t>.</w:t>
      </w:r>
    </w:p>
  </w:footnote>
  <w:footnote w:id="9">
    <w:p w14:paraId="71D110A1" w14:textId="5654C7E6" w:rsidR="001A7F1E" w:rsidRDefault="001A7F1E" w:rsidP="003A1853">
      <w:pPr>
        <w:pStyle w:val="FootnoteText"/>
      </w:pPr>
      <w:r>
        <w:rPr>
          <w:rStyle w:val="FootnoteReference"/>
        </w:rPr>
        <w:footnoteRef/>
      </w:r>
      <w:r>
        <w:t xml:space="preserve"> </w:t>
      </w:r>
      <w:r w:rsidR="00836BC9" w:rsidRPr="00DD1128">
        <w:t>Australian Human Rights Commission</w:t>
      </w:r>
      <w:r w:rsidR="0008561F">
        <w:t>.</w:t>
      </w:r>
      <w:r w:rsidR="00836BC9" w:rsidRPr="00DD1128">
        <w:t xml:space="preserve"> (2021)</w:t>
      </w:r>
      <w:r w:rsidR="0008561F">
        <w:t>.</w:t>
      </w:r>
      <w:r w:rsidR="00836BC9" w:rsidRPr="00DD1128">
        <w:t xml:space="preserve"> Free &amp; Equal: A reform agenda for federal discrimination laws.</w:t>
      </w:r>
      <w:r w:rsidR="00836BC9" w:rsidRPr="006D0365">
        <w:rPr>
          <w:rStyle w:val="EndnoteReference"/>
        </w:rPr>
        <w:t xml:space="preserve">  </w:t>
      </w:r>
    </w:p>
  </w:footnote>
  <w:footnote w:id="10">
    <w:p w14:paraId="49AA2358" w14:textId="77777777" w:rsidR="00BE17F6" w:rsidRPr="001355C7" w:rsidRDefault="00BE17F6" w:rsidP="003A1853">
      <w:pPr>
        <w:pStyle w:val="FootnoteText"/>
      </w:pPr>
      <w:r>
        <w:rPr>
          <w:rStyle w:val="FootnoteReference"/>
        </w:rPr>
        <w:footnoteRef/>
      </w:r>
      <w:r>
        <w:t xml:space="preserve"> Commonwealth of Australia. (2023). </w:t>
      </w:r>
      <w:r w:rsidRPr="00E06442">
        <w:t>Royal Commission into Violence, Abuse, Neglect and Exploitation of People with Disability Final Report</w:t>
      </w:r>
      <w:r>
        <w:t>.</w:t>
      </w:r>
    </w:p>
    <w:p w14:paraId="1F1ABD70" w14:textId="77777777" w:rsidR="00BE17F6" w:rsidRDefault="00BE17F6" w:rsidP="00BE17F6">
      <w:pPr>
        <w:pStyle w:val="FootnoteText"/>
      </w:pPr>
    </w:p>
  </w:footnote>
  <w:footnote w:id="11">
    <w:p w14:paraId="7EAD4064" w14:textId="1AEDA7AF" w:rsidR="00EC3632" w:rsidRDefault="00EC3632">
      <w:pPr>
        <w:pStyle w:val="FootnoteText"/>
      </w:pPr>
      <w:r>
        <w:rPr>
          <w:rStyle w:val="FootnoteReference"/>
        </w:rPr>
        <w:footnoteRef/>
      </w:r>
      <w:r>
        <w:t xml:space="preserve"> Blind Citizens Australia (2025) DDA Consultation with members.</w:t>
      </w:r>
    </w:p>
  </w:footnote>
  <w:footnote w:id="12">
    <w:p w14:paraId="44313013" w14:textId="77777777" w:rsidR="0026330B" w:rsidRDefault="0026330B" w:rsidP="0026330B">
      <w:pPr>
        <w:pStyle w:val="FootnoteText"/>
      </w:pPr>
      <w:r>
        <w:rPr>
          <w:rStyle w:val="FootnoteReference"/>
        </w:rPr>
        <w:footnoteRef/>
      </w:r>
      <w:r>
        <w:t xml:space="preserve"> </w:t>
      </w:r>
      <w:r w:rsidRPr="00635D75">
        <w:t xml:space="preserve">Blind Citizens Australia </w:t>
      </w:r>
      <w:r>
        <w:t>(2003) Su</w:t>
      </w:r>
      <w:r w:rsidRPr="00635D75">
        <w:t>bmission to the Productivity Commission Inquiry into the Disability Discrimination Act</w:t>
      </w:r>
    </w:p>
  </w:footnote>
  <w:footnote w:id="13">
    <w:p w14:paraId="7CB489E9" w14:textId="7FDC7306" w:rsidR="009054C8" w:rsidRDefault="009054C8">
      <w:pPr>
        <w:pStyle w:val="FootnoteText"/>
      </w:pPr>
      <w:r>
        <w:rPr>
          <w:rStyle w:val="FootnoteReference"/>
        </w:rPr>
        <w:footnoteRef/>
      </w:r>
      <w:r>
        <w:t xml:space="preserve"> </w:t>
      </w:r>
      <w:r w:rsidR="00F94915" w:rsidRPr="00F94915">
        <w:t>dana.org.au/royal-commission-analysing-the-recommendations-on-disability-rights-act/</w:t>
      </w:r>
    </w:p>
  </w:footnote>
  <w:footnote w:id="14">
    <w:p w14:paraId="220AE619" w14:textId="377D6D98" w:rsidR="00AA7913" w:rsidRPr="00AA7913" w:rsidRDefault="00EB065B" w:rsidP="00AA7913">
      <w:pPr>
        <w:pStyle w:val="FootnoteText"/>
      </w:pPr>
      <w:r>
        <w:rPr>
          <w:rStyle w:val="FootnoteReference"/>
        </w:rPr>
        <w:footnoteRef/>
      </w:r>
      <w:r>
        <w:t xml:space="preserve"> </w:t>
      </w:r>
      <w:r w:rsidR="00AA7913" w:rsidRPr="00AA7913">
        <w:t>Australian Government Department of Education, Skills and Employment</w:t>
      </w:r>
      <w:r w:rsidR="003D3606">
        <w:t>. (2020)</w:t>
      </w:r>
      <w:r w:rsidR="00822255">
        <w:t>.</w:t>
      </w:r>
      <w:r w:rsidR="00AA7913" w:rsidRPr="00AA7913">
        <w:t xml:space="preserve"> Final Report: 2020 Review of the Disability Standards for Education 2005.</w:t>
      </w:r>
    </w:p>
    <w:p w14:paraId="725D129B" w14:textId="172A0714" w:rsidR="00EB065B" w:rsidRDefault="00EB065B">
      <w:pPr>
        <w:pStyle w:val="FootnoteText"/>
      </w:pPr>
    </w:p>
  </w:footnote>
  <w:footnote w:id="15">
    <w:p w14:paraId="7F7BBF45" w14:textId="0AF79245" w:rsidR="00E45957" w:rsidRDefault="00E45957">
      <w:pPr>
        <w:pStyle w:val="FootnoteText"/>
      </w:pPr>
      <w:r>
        <w:rPr>
          <w:rStyle w:val="FootnoteReference"/>
        </w:rPr>
        <w:footnoteRef/>
      </w:r>
      <w:r>
        <w:t xml:space="preserve"> </w:t>
      </w:r>
      <w:r>
        <w:t>Blind Citizens Australia (2025) DDA Consultation with members.</w:t>
      </w:r>
    </w:p>
  </w:footnote>
  <w:footnote w:id="16">
    <w:p w14:paraId="19CC6AEE" w14:textId="77777777" w:rsidR="00836395" w:rsidRPr="005F59AB" w:rsidRDefault="00836395" w:rsidP="00836395">
      <w:pPr>
        <w:pStyle w:val="FootnoteText"/>
      </w:pPr>
      <w:r>
        <w:rPr>
          <w:rStyle w:val="FootnoteReference"/>
        </w:rPr>
        <w:footnoteRef/>
      </w:r>
      <w:r>
        <w:t xml:space="preserve"> </w:t>
      </w:r>
      <w:r w:rsidRPr="005F59AB">
        <w:t>Dominique Allen, "An Evaluation of the Mechanisms Designed to Promote Substantive Equality in the Equal Opportunity Act 2010 (Vic)" (2020) 44(2) Melbourne University Law Review 459.</w:t>
      </w:r>
    </w:p>
    <w:p w14:paraId="522EE5A1" w14:textId="77777777" w:rsidR="00836395" w:rsidRDefault="00836395" w:rsidP="00836395">
      <w:pPr>
        <w:pStyle w:val="FootnoteText"/>
      </w:pPr>
    </w:p>
  </w:footnote>
  <w:footnote w:id="17">
    <w:p w14:paraId="78C154A5" w14:textId="23330B1D" w:rsidR="00E45957" w:rsidRDefault="00E45957">
      <w:pPr>
        <w:pStyle w:val="FootnoteText"/>
      </w:pPr>
      <w:r>
        <w:rPr>
          <w:rStyle w:val="FootnoteReference"/>
        </w:rPr>
        <w:footnoteRef/>
      </w:r>
      <w:r>
        <w:t xml:space="preserve"> </w:t>
      </w:r>
      <w:r>
        <w:t>Blind Citizens Australia (2025) DDA Consultation with members.</w:t>
      </w:r>
    </w:p>
  </w:footnote>
  <w:footnote w:id="18">
    <w:p w14:paraId="0E762C6B" w14:textId="53D70AF9" w:rsidR="00E276DB" w:rsidRDefault="00E276DB">
      <w:pPr>
        <w:pStyle w:val="FootnoteText"/>
      </w:pPr>
      <w:r>
        <w:rPr>
          <w:rStyle w:val="FootnoteReference"/>
        </w:rPr>
        <w:footnoteRef/>
      </w:r>
      <w:r>
        <w:t xml:space="preserve"> </w:t>
      </w:r>
      <w:hyperlink r:id="rId2" w:history="1">
        <w:r w:rsidRPr="00E276DB">
          <w:rPr>
            <w:rStyle w:val="Hyperlink"/>
          </w:rPr>
          <w:t>Joint media release: Action on red tape and approvals to build more homes, more quickly | Ministers</w:t>
        </w:r>
      </w:hyperlink>
    </w:p>
  </w:footnote>
  <w:footnote w:id="19">
    <w:p w14:paraId="49DA1B06" w14:textId="348B8C50" w:rsidR="005636D0" w:rsidRDefault="005636D0">
      <w:pPr>
        <w:pStyle w:val="FootnoteText"/>
      </w:pPr>
      <w:r>
        <w:rPr>
          <w:rStyle w:val="FootnoteReference"/>
        </w:rPr>
        <w:footnoteRef/>
      </w:r>
      <w:r>
        <w:t xml:space="preserve"> </w:t>
      </w:r>
      <w:hyperlink r:id="rId3" w:history="1">
        <w:r w:rsidRPr="00722C88">
          <w:rPr>
            <w:rStyle w:val="Hyperlink"/>
          </w:rPr>
          <w:t>‘So demeaning’: Melbourne woman denied service by 10 cabs in one booking over guide dog | Disability | The Guardian</w:t>
        </w:r>
      </w:hyperlink>
    </w:p>
  </w:footnote>
  <w:footnote w:id="20">
    <w:p w14:paraId="4442984D" w14:textId="1E22D9BE" w:rsidR="00EE6368" w:rsidRDefault="00EE6368">
      <w:pPr>
        <w:pStyle w:val="FootnoteText"/>
      </w:pPr>
      <w:r>
        <w:rPr>
          <w:rStyle w:val="FootnoteReference"/>
        </w:rPr>
        <w:footnoteRef/>
      </w:r>
      <w:r>
        <w:t xml:space="preserve"> </w:t>
      </w:r>
      <w:hyperlink r:id="rId4" w:history="1">
        <w:r w:rsidR="00210B94" w:rsidRPr="00210B94">
          <w:rPr>
            <w:rStyle w:val="Hyperlink"/>
          </w:rPr>
          <w:t>After 32 refusals, Guide Dog user Paula is taking on Uber for discrimination - Justice and Equity Centre</w:t>
        </w:r>
      </w:hyperlink>
    </w:p>
  </w:footnote>
  <w:footnote w:id="21">
    <w:p w14:paraId="6F95FD1C" w14:textId="6A087C0C" w:rsidR="00210B94" w:rsidRDefault="00210B94">
      <w:pPr>
        <w:pStyle w:val="FootnoteText"/>
      </w:pPr>
      <w:r>
        <w:rPr>
          <w:rStyle w:val="FootnoteReference"/>
        </w:rPr>
        <w:footnoteRef/>
      </w:r>
      <w:r>
        <w:t xml:space="preserve"> </w:t>
      </w:r>
      <w:hyperlink r:id="rId5" w:history="1">
        <w:r w:rsidRPr="00476CB3">
          <w:rPr>
            <w:rStyle w:val="Hyperlink"/>
            <w:szCs w:val="24"/>
          </w:rPr>
          <w:t>Paralympian Jeremy McClure refused multiple Uber rides with guide dog - ABC News</w:t>
        </w:r>
      </w:hyperlink>
    </w:p>
  </w:footnote>
  <w:footnote w:id="22">
    <w:p w14:paraId="39445EFB" w14:textId="39FAFA17" w:rsidR="0090111E" w:rsidRDefault="0090111E">
      <w:pPr>
        <w:pStyle w:val="FootnoteText"/>
      </w:pPr>
      <w:r>
        <w:rPr>
          <w:rStyle w:val="FootnoteReference"/>
        </w:rPr>
        <w:footnoteRef/>
      </w:r>
      <w:r>
        <w:t xml:space="preserve"> </w:t>
      </w:r>
      <w:r>
        <w:t>Blind Citizens Australia (2025) DDA Consultation with members.</w:t>
      </w:r>
    </w:p>
  </w:footnote>
  <w:footnote w:id="23">
    <w:p w14:paraId="6875ACDC" w14:textId="77777777" w:rsidR="001016E9" w:rsidRDefault="001016E9" w:rsidP="001016E9">
      <w:pPr>
        <w:pStyle w:val="FootnoteText"/>
      </w:pPr>
      <w:r>
        <w:rPr>
          <w:rStyle w:val="FootnoteReference"/>
        </w:rPr>
        <w:footnoteRef/>
      </w:r>
      <w:r>
        <w:t xml:space="preserve"> </w:t>
      </w:r>
      <w:r w:rsidRPr="00FC4907">
        <w:t>Australian Human Rights Commission (2025), Speaking from Experience: What needs to change to address workplace sexual harassment, Sydney: Australian Human Rights Commission.</w:t>
      </w:r>
      <w:r>
        <w:t xml:space="preserve"> </w:t>
      </w:r>
      <w:hyperlink r:id="rId6" w:history="1">
        <w:r w:rsidRPr="00806856">
          <w:rPr>
            <w:rStyle w:val="Hyperlink"/>
          </w:rPr>
          <w:t>Speaking from Experience Report - What needs to change to address workplace sexual harassment</w:t>
        </w:r>
      </w:hyperlink>
    </w:p>
  </w:footnote>
  <w:footnote w:id="24">
    <w:p w14:paraId="336312D8" w14:textId="683C0713" w:rsidR="00937BFE" w:rsidRDefault="00937BFE">
      <w:pPr>
        <w:pStyle w:val="FootnoteText"/>
      </w:pPr>
      <w:r>
        <w:rPr>
          <w:rStyle w:val="FootnoteReference"/>
        </w:rPr>
        <w:footnoteRef/>
      </w:r>
      <w:r>
        <w:t xml:space="preserve"> Consultation with Disability Discrimination Legal Service 2025</w:t>
      </w:r>
      <w:r w:rsidR="009F59AC">
        <w:t xml:space="preserve">. Unpublished. </w:t>
      </w:r>
    </w:p>
  </w:footnote>
  <w:footnote w:id="25">
    <w:p w14:paraId="14441035" w14:textId="3D2DEF0D" w:rsidR="002A414B" w:rsidRDefault="002A414B">
      <w:pPr>
        <w:pStyle w:val="FootnoteText"/>
      </w:pPr>
      <w:r>
        <w:rPr>
          <w:rStyle w:val="FootnoteReference"/>
        </w:rPr>
        <w:footnoteRef/>
      </w:r>
      <w:r>
        <w:t xml:space="preserve"> </w:t>
      </w:r>
      <w:hyperlink r:id="rId7" w:history="1">
        <w:r w:rsidR="006E30F0" w:rsidRPr="006E30F0">
          <w:rPr>
            <w:rStyle w:val="Hyperlink"/>
          </w:rPr>
          <w:t>Sex Discrimination Act’s positive duty - making workplaces safer | Australian Human Rights Commission</w:t>
        </w:r>
      </w:hyperlink>
    </w:p>
  </w:footnote>
  <w:footnote w:id="26">
    <w:p w14:paraId="5DCDCECE" w14:textId="77777777" w:rsidR="000A0F1D" w:rsidRPr="009F5F6A" w:rsidRDefault="000A0F1D" w:rsidP="000A0F1D">
      <w:pPr>
        <w:pStyle w:val="FootnoteText"/>
      </w:pPr>
      <w:r>
        <w:rPr>
          <w:rStyle w:val="FootnoteReference"/>
        </w:rPr>
        <w:footnoteRef/>
      </w:r>
      <w:r>
        <w:t xml:space="preserve"> P</w:t>
      </w:r>
      <w:r w:rsidRPr="009F5F6A">
        <w:t>eople with Disability Australia, Letter to the Attorney-General: Amending the Disability Discrimination Act (May 10, 2021).</w:t>
      </w:r>
    </w:p>
    <w:p w14:paraId="3B839F03" w14:textId="77777777" w:rsidR="000A0F1D" w:rsidRDefault="000A0F1D" w:rsidP="000A0F1D">
      <w:pPr>
        <w:pStyle w:val="FootnoteText"/>
      </w:pPr>
    </w:p>
  </w:footnote>
  <w:footnote w:id="27">
    <w:p w14:paraId="2C3E37F1" w14:textId="77777777" w:rsidR="009E6761" w:rsidRDefault="009E6761" w:rsidP="009E6761">
      <w:pPr>
        <w:pStyle w:val="FootnoteText"/>
      </w:pPr>
      <w:r>
        <w:rPr>
          <w:rStyle w:val="FootnoteReference"/>
        </w:rPr>
        <w:footnoteRef/>
      </w:r>
      <w:r>
        <w:t xml:space="preserve"> Vision Australia. (2021). Employer Research Report </w:t>
      </w:r>
    </w:p>
  </w:footnote>
  <w:footnote w:id="28">
    <w:p w14:paraId="61942FB9" w14:textId="725F0E7B" w:rsidR="00961063" w:rsidRDefault="00961063" w:rsidP="00961063">
      <w:pPr>
        <w:pStyle w:val="FootnoteText"/>
      </w:pPr>
      <w:r>
        <w:rPr>
          <w:rStyle w:val="FootnoteReference"/>
        </w:rPr>
        <w:footnoteRef/>
      </w:r>
      <w:r>
        <w:t xml:space="preserve"> Vision Australia Employer Research </w:t>
      </w:r>
      <w:r w:rsidR="00E077A0">
        <w:t>(</w:t>
      </w:r>
      <w:r>
        <w:t>2021</w:t>
      </w:r>
      <w:r w:rsidR="00E077A0">
        <w:t>)</w:t>
      </w:r>
      <w:r>
        <w:t>. Quantitative Report. EY Sweeney.</w:t>
      </w:r>
    </w:p>
  </w:footnote>
  <w:footnote w:id="29">
    <w:p w14:paraId="0F0E8622" w14:textId="77777777" w:rsidR="00A72CDE" w:rsidRDefault="00A72CDE" w:rsidP="00A72CDE">
      <w:pPr>
        <w:spacing w:before="0" w:after="160" w:line="278" w:lineRule="auto"/>
      </w:pPr>
      <w:r>
        <w:rPr>
          <w:rStyle w:val="FootnoteReference"/>
        </w:rPr>
        <w:footnoteRef/>
      </w:r>
      <w:r>
        <w:t xml:space="preserve"> </w:t>
      </w:r>
      <w:r>
        <w:rPr>
          <w:rStyle w:val="EndnoteTextChar"/>
        </w:rPr>
        <w:t>Th</w:t>
      </w:r>
      <w:r w:rsidRPr="004C7220">
        <w:rPr>
          <w:rStyle w:val="EndnoteTextChar"/>
        </w:rPr>
        <w:t xml:space="preserve">e Secret – Being secretive was ruining my life  </w:t>
      </w:r>
      <w:hyperlink r:id="rId8" w:tgtFrame="_blank" w:history="1">
        <w:r w:rsidRPr="004C7220">
          <w:rPr>
            <w:rStyle w:val="EndnoteTextChar"/>
          </w:rPr>
          <w:t>https://www.bca.org.au/2020/11/09/the-secret/</w:t>
        </w:r>
      </w:hyperlink>
    </w:p>
  </w:footnote>
  <w:footnote w:id="30">
    <w:p w14:paraId="580DD577" w14:textId="78FFF295" w:rsidR="00D42E7D" w:rsidRDefault="00D42E7D">
      <w:pPr>
        <w:pStyle w:val="FootnoteText"/>
      </w:pPr>
      <w:r>
        <w:rPr>
          <w:rStyle w:val="FootnoteReference"/>
        </w:rPr>
        <w:footnoteRef/>
      </w:r>
      <w:r>
        <w:t xml:space="preserve"> </w:t>
      </w:r>
      <w:r>
        <w:t>Blind Citizens Australia (2025) DDA Consultation with members.</w:t>
      </w:r>
    </w:p>
  </w:footnote>
  <w:footnote w:id="31">
    <w:p w14:paraId="0FFE3CDA" w14:textId="33867380" w:rsidR="005967D2" w:rsidRDefault="005967D2">
      <w:pPr>
        <w:pStyle w:val="FootnoteText"/>
      </w:pPr>
      <w:r>
        <w:rPr>
          <w:rStyle w:val="FootnoteReference"/>
        </w:rPr>
        <w:footnoteRef/>
      </w:r>
      <w:r>
        <w:t xml:space="preserve"> </w:t>
      </w:r>
      <w:hyperlink r:id="rId9" w:anchor="/" w:history="1">
        <w:r w:rsidRPr="005967D2">
          <w:rPr>
            <w:rStyle w:val="Hyperlink"/>
          </w:rPr>
          <w:t>Recognising the role volunteering plays for Australians living with disability - Volunteering Australia</w:t>
        </w:r>
      </w:hyperlink>
    </w:p>
  </w:footnote>
  <w:footnote w:id="32">
    <w:p w14:paraId="5CD1E80D" w14:textId="1A3201B8" w:rsidR="001C3C99" w:rsidRDefault="001C3C99">
      <w:pPr>
        <w:pStyle w:val="FootnoteText"/>
      </w:pPr>
      <w:r>
        <w:rPr>
          <w:rStyle w:val="FootnoteReference"/>
        </w:rPr>
        <w:footnoteRef/>
      </w:r>
      <w:r>
        <w:t xml:space="preserve"> </w:t>
      </w:r>
      <w:r w:rsidRPr="00112198">
        <w:t>Graffam, J. et al., 2002a, “Employer benefits and costs of employing a person with a disability”, Journal of Vocational Rehabilitation 17, pp.251-263.</w:t>
      </w:r>
    </w:p>
  </w:footnote>
  <w:footnote w:id="33">
    <w:p w14:paraId="38C6F12B" w14:textId="69D3A62B" w:rsidR="00C76CE1" w:rsidRDefault="00C76CE1">
      <w:pPr>
        <w:pStyle w:val="FootnoteText"/>
      </w:pPr>
      <w:r>
        <w:rPr>
          <w:rStyle w:val="FootnoteReference"/>
        </w:rPr>
        <w:footnoteRef/>
      </w:r>
      <w:r>
        <w:t xml:space="preserve"> </w:t>
      </w:r>
      <w:r w:rsidRPr="00112198">
        <w:t>Blind Citizens Australia.</w:t>
      </w:r>
      <w:r>
        <w:t xml:space="preserve"> (2023).</w:t>
      </w:r>
      <w:r w:rsidRPr="00112198">
        <w:t xml:space="preserve"> Employment Policy.</w:t>
      </w:r>
    </w:p>
  </w:footnote>
  <w:footnote w:id="34">
    <w:p w14:paraId="722DE5D7" w14:textId="358070D9" w:rsidR="00B45F19" w:rsidRDefault="00B45F19">
      <w:pPr>
        <w:pStyle w:val="FootnoteText"/>
      </w:pPr>
      <w:r>
        <w:rPr>
          <w:rStyle w:val="FootnoteReference"/>
        </w:rPr>
        <w:footnoteRef/>
      </w:r>
      <w:r>
        <w:t xml:space="preserve"> </w:t>
      </w:r>
      <w:r w:rsidRPr="00B45F19">
        <w:t>Australian Law Reform Commission, Equality Before the Law (2014). https://www.alrc.gov.au/publication/equality-before-the-law/.</w:t>
      </w:r>
    </w:p>
  </w:footnote>
  <w:footnote w:id="35">
    <w:p w14:paraId="6741EAF6" w14:textId="77777777" w:rsidR="00385A00" w:rsidRDefault="00385A00" w:rsidP="00385A00">
      <w:pPr>
        <w:pStyle w:val="FootnoteText"/>
      </w:pPr>
      <w:r>
        <w:rPr>
          <w:rStyle w:val="FootnoteReference"/>
        </w:rPr>
        <w:footnoteRef/>
      </w:r>
      <w:r>
        <w:t xml:space="preserve"> UNCRPD (</w:t>
      </w:r>
      <w:r w:rsidRPr="0039335F">
        <w:rPr>
          <w:lang w:eastAsia="en-AU"/>
        </w:rPr>
        <w:t>2005</w:t>
      </w:r>
      <w:r>
        <w:rPr>
          <w:lang w:eastAsia="en-AU"/>
        </w:rPr>
        <w:t xml:space="preserve">). </w:t>
      </w:r>
      <w:r w:rsidRPr="0039335F">
        <w:rPr>
          <w:lang w:eastAsia="en-AU"/>
        </w:rPr>
        <w:t>Article 24 Education, clause 2; Disability Standards in Education 4.3.</w:t>
      </w:r>
    </w:p>
  </w:footnote>
  <w:footnote w:id="36">
    <w:p w14:paraId="108BBAE0" w14:textId="77777777" w:rsidR="00044D61" w:rsidRPr="009A743A" w:rsidRDefault="00044D61" w:rsidP="00044D61">
      <w:pPr>
        <w:pStyle w:val="FootnoteText"/>
      </w:pPr>
      <w:r>
        <w:rPr>
          <w:rStyle w:val="FootnoteReference"/>
        </w:rPr>
        <w:footnoteRef/>
      </w:r>
      <w:r>
        <w:t xml:space="preserve"> </w:t>
      </w:r>
      <w:r w:rsidRPr="009A743A">
        <w:t>Association for Children with Disability (ACD) DRC Snapshot on Gatekeeping and Exclusionary Discipline (July 2024).</w:t>
      </w:r>
    </w:p>
    <w:p w14:paraId="5B8CCE9B" w14:textId="77777777" w:rsidR="00044D61" w:rsidRDefault="00044D61" w:rsidP="00044D61">
      <w:pPr>
        <w:pStyle w:val="FootnoteText"/>
      </w:pPr>
    </w:p>
  </w:footnote>
  <w:footnote w:id="37">
    <w:p w14:paraId="047158BB" w14:textId="77777777" w:rsidR="005736C7" w:rsidRDefault="005736C7" w:rsidP="005736C7">
      <w:pPr>
        <w:pStyle w:val="FootnoteText"/>
      </w:pPr>
      <w:r>
        <w:rPr>
          <w:rStyle w:val="FootnoteReference"/>
        </w:rPr>
        <w:footnoteRef/>
      </w:r>
      <w:r>
        <w:t xml:space="preserve"> </w:t>
      </w:r>
      <w:r w:rsidRPr="0039335F">
        <w:t>UNESCO. (2020)</w:t>
      </w:r>
      <w:r>
        <w:t>.</w:t>
      </w:r>
      <w:r w:rsidRPr="0039335F">
        <w:t> Global Education Monitoring Report: Inclusion and Education.</w:t>
      </w:r>
    </w:p>
  </w:footnote>
  <w:footnote w:id="38">
    <w:p w14:paraId="0B65A25A" w14:textId="77777777" w:rsidR="005736C7" w:rsidRDefault="005736C7" w:rsidP="005736C7">
      <w:pPr>
        <w:pStyle w:val="FootnoteText"/>
      </w:pPr>
      <w:r>
        <w:rPr>
          <w:rStyle w:val="FootnoteReference"/>
        </w:rPr>
        <w:footnoteRef/>
      </w:r>
      <w:r>
        <w:t xml:space="preserve"> </w:t>
      </w:r>
      <w:hyperlink r:id="rId10" w:tgtFrame="_blank" w:tooltip="International Institute for Educational Planning" w:history="1">
        <w:r w:rsidRPr="00865652">
          <w:t>UNESCO</w:t>
        </w:r>
        <w:r>
          <w:t>. (2021).</w:t>
        </w:r>
        <w:r w:rsidRPr="00865652">
          <w:t xml:space="preserve"> International Institute for Educational Planning</w:t>
        </w:r>
      </w:hyperlink>
      <w:r>
        <w:t>. Disability inclusive education and learning portal.</w:t>
      </w:r>
    </w:p>
  </w:footnote>
  <w:footnote w:id="39">
    <w:p w14:paraId="551214CF" w14:textId="77777777" w:rsidR="005736C7" w:rsidRDefault="005736C7" w:rsidP="005736C7">
      <w:pPr>
        <w:pStyle w:val="FootnoteText"/>
      </w:pPr>
      <w:r>
        <w:rPr>
          <w:rStyle w:val="FootnoteReference"/>
        </w:rPr>
        <w:footnoteRef/>
      </w:r>
      <w:r>
        <w:t xml:space="preserve"> </w:t>
      </w:r>
      <w:r w:rsidRPr="0039335F">
        <w:t>Blind Citizens Australia. Education Policy.</w:t>
      </w:r>
    </w:p>
  </w:footnote>
  <w:footnote w:id="40">
    <w:p w14:paraId="52CF5F58" w14:textId="4B0A70D0" w:rsidR="005523C8" w:rsidRDefault="005523C8">
      <w:pPr>
        <w:pStyle w:val="FootnoteText"/>
      </w:pPr>
      <w:r>
        <w:rPr>
          <w:rStyle w:val="FootnoteReference"/>
        </w:rPr>
        <w:footnoteRef/>
      </w:r>
      <w:r>
        <w:t xml:space="preserve"> Australian Institute of Health and Welfare. (2024). People with disability in Australia Educational Attainment (web report)</w:t>
      </w:r>
    </w:p>
  </w:footnote>
  <w:footnote w:id="41">
    <w:p w14:paraId="633EE4FD" w14:textId="74DCF353" w:rsidR="000A4042" w:rsidRDefault="000A4042" w:rsidP="000A4042">
      <w:pPr>
        <w:pStyle w:val="FootnoteText"/>
      </w:pPr>
      <w:r>
        <w:rPr>
          <w:rStyle w:val="FootnoteReference"/>
        </w:rPr>
        <w:footnoteRef/>
      </w:r>
      <w:r>
        <w:t xml:space="preserve"> </w:t>
      </w:r>
      <w:r w:rsidRPr="00EC0BFF">
        <w:t>Harpur, P., Stafford, L., &amp; Ellis, K. (2025). A disability-led disability inclusion strategy for the higher education sector. </w:t>
      </w:r>
      <w:r w:rsidRPr="00EC0BFF">
        <w:rPr>
          <w:i/>
          <w:iCs/>
        </w:rPr>
        <w:t>Journal of Higher Education Policy and Management</w:t>
      </w:r>
      <w:r w:rsidRPr="00EC0BFF">
        <w:t>, </w:t>
      </w:r>
      <w:r w:rsidRPr="00EC0BFF">
        <w:rPr>
          <w:i/>
          <w:iCs/>
        </w:rPr>
        <w:t>47</w:t>
      </w:r>
      <w:r w:rsidRPr="00EC0BFF">
        <w:t xml:space="preserve">(3), 368–385. </w:t>
      </w:r>
    </w:p>
  </w:footnote>
  <w:footnote w:id="42">
    <w:p w14:paraId="6536B7E3" w14:textId="77777777" w:rsidR="00B72368" w:rsidRDefault="00B72368" w:rsidP="00B72368">
      <w:pPr>
        <w:pStyle w:val="FootnoteText"/>
      </w:pPr>
      <w:r>
        <w:rPr>
          <w:rStyle w:val="FootnoteReference"/>
        </w:rPr>
        <w:footnoteRef/>
      </w:r>
      <w:r>
        <w:t xml:space="preserve"> </w:t>
      </w:r>
      <w:r w:rsidRPr="00E312DB">
        <w:rPr>
          <w:rFonts w:eastAsiaTheme="minorEastAsia"/>
          <w:szCs w:val="16"/>
        </w:rPr>
        <w:t>2020 Review of the Disability Standards for Education 2005 Final Report</w:t>
      </w:r>
    </w:p>
  </w:footnote>
  <w:footnote w:id="43">
    <w:p w14:paraId="0A0D525F" w14:textId="77777777" w:rsidR="000611A7" w:rsidRDefault="000611A7" w:rsidP="000611A7">
      <w:pPr>
        <w:pStyle w:val="FootnoteText"/>
      </w:pPr>
      <w:r>
        <w:rPr>
          <w:rStyle w:val="FootnoteReference"/>
        </w:rPr>
        <w:footnoteRef/>
      </w:r>
      <w:r>
        <w:t xml:space="preserve"> </w:t>
      </w:r>
      <w:hyperlink r:id="rId11" w:history="1">
        <w:r w:rsidRPr="003473FE">
          <w:rPr>
            <w:rStyle w:val="Hyperlink"/>
          </w:rPr>
          <w:t>"I Got Flagged for Supposed Bullying, Even Though It Was in Response to Someone Harassing Me About My Disability.": A Study of Blind TikTokers’ Content Moderation Experiences | Proceedings of the 2024 CHI Conference on Human Factors in Computing Systems</w:t>
        </w:r>
      </w:hyperlink>
    </w:p>
  </w:footnote>
  <w:footnote w:id="44">
    <w:p w14:paraId="357ECA53" w14:textId="77777777" w:rsidR="00A14529" w:rsidRDefault="00A14529" w:rsidP="00A14529">
      <w:pPr>
        <w:pStyle w:val="FootnoteText"/>
      </w:pPr>
      <w:r>
        <w:rPr>
          <w:rStyle w:val="FootnoteReference"/>
        </w:rPr>
        <w:footnoteRef/>
      </w:r>
      <w:r>
        <w:t xml:space="preserve"> </w:t>
      </w:r>
      <w:hyperlink r:id="rId12" w:history="1">
        <w:r w:rsidRPr="00EF456A">
          <w:rPr>
            <w:rStyle w:val="Hyperlink"/>
          </w:rPr>
          <w:t>Cornell Tech - Online Microaggressions Strongly Impact Disabled Users</w:t>
        </w:r>
      </w:hyperlink>
    </w:p>
  </w:footnote>
  <w:footnote w:id="45">
    <w:p w14:paraId="6B1B7740" w14:textId="7CCB2264" w:rsidR="008A58B5" w:rsidRDefault="008A58B5">
      <w:pPr>
        <w:pStyle w:val="FootnoteText"/>
      </w:pPr>
      <w:r>
        <w:rPr>
          <w:rStyle w:val="FootnoteReference"/>
        </w:rPr>
        <w:footnoteRef/>
      </w:r>
      <w:r>
        <w:t xml:space="preserve"> Blind Citizens Australia (2025) DDA Consultation with members.</w:t>
      </w:r>
    </w:p>
  </w:footnote>
  <w:footnote w:id="46">
    <w:p w14:paraId="391658F8" w14:textId="77777777" w:rsidR="001D1131" w:rsidRDefault="001D1131" w:rsidP="001D1131">
      <w:pPr>
        <w:pStyle w:val="FootnoteText"/>
      </w:pPr>
      <w:r>
        <w:rPr>
          <w:rStyle w:val="FootnoteReference"/>
        </w:rPr>
        <w:footnoteRef/>
      </w:r>
      <w:r>
        <w:t xml:space="preserve"> Australian Human Rights Commission, </w:t>
      </w:r>
      <w:r w:rsidRPr="007F2ECF">
        <w:rPr>
          <w:i/>
        </w:rPr>
        <w:t xml:space="preserve">Free and Equal: </w:t>
      </w:r>
      <w:r w:rsidRPr="00B96861">
        <w:rPr>
          <w:i/>
        </w:rPr>
        <w:t>An Australian Conversation on Human Rights</w:t>
      </w:r>
      <w:r>
        <w:t xml:space="preserve">, Australian Government, 2021, p 299. </w:t>
      </w:r>
    </w:p>
  </w:footnote>
  <w:footnote w:id="47">
    <w:p w14:paraId="09E7692E" w14:textId="048E22CB" w:rsidR="00EB779A" w:rsidRDefault="00EB779A">
      <w:pPr>
        <w:pStyle w:val="FootnoteText"/>
      </w:pPr>
      <w:r>
        <w:rPr>
          <w:rStyle w:val="FootnoteReference"/>
        </w:rPr>
        <w:footnoteRef/>
      </w:r>
      <w:r>
        <w:t xml:space="preserve"> </w:t>
      </w:r>
      <w:hyperlink r:id="rId13" w:history="1">
        <w:r w:rsidRPr="00EB779A">
          <w:rPr>
            <w:rStyle w:val="Hyperlink"/>
          </w:rPr>
          <w:t>Exemption applications under the Disability Discrimination Act 1992 (Cth) | Australian Human Rights Commission</w:t>
        </w:r>
      </w:hyperlink>
    </w:p>
  </w:footnote>
  <w:footnote w:id="48">
    <w:p w14:paraId="7B37DEF0" w14:textId="77777777" w:rsidR="0059564B" w:rsidRDefault="0059564B" w:rsidP="0059564B">
      <w:pPr>
        <w:pStyle w:val="FootnoteText"/>
      </w:pPr>
      <w:r>
        <w:rPr>
          <w:rStyle w:val="FootnoteReference"/>
        </w:rPr>
        <w:footnoteRef/>
      </w:r>
      <w:r>
        <w:t xml:space="preserve"> </w:t>
      </w:r>
      <w:hyperlink r:id="rId14" w:history="1">
        <w:r w:rsidRPr="00F13FA2">
          <w:rPr>
            <w:rStyle w:val="Hyperlink"/>
          </w:rPr>
          <w:t>Australasian Railway Association (ARA) | Australian Human Rights Commission</w:t>
        </w:r>
      </w:hyperlink>
    </w:p>
  </w:footnote>
  <w:footnote w:id="49">
    <w:p w14:paraId="223E4917" w14:textId="43791698" w:rsidR="00F530B1" w:rsidRDefault="00F530B1">
      <w:pPr>
        <w:pStyle w:val="FootnoteText"/>
      </w:pPr>
      <w:r>
        <w:rPr>
          <w:rStyle w:val="FootnoteReference"/>
        </w:rPr>
        <w:footnoteRef/>
      </w:r>
      <w:r>
        <w:t xml:space="preserve"> </w:t>
      </w:r>
      <w:hyperlink r:id="rId15" w:history="1">
        <w:r w:rsidRPr="00A76240">
          <w:rPr>
            <w:rStyle w:val="Hyperlink"/>
            <w:color w:val="auto"/>
          </w:rPr>
          <w:t>Pinjarra Resort motel refuses to allow guest to bring her seeing eye dog, despite laws prohibiting discrimination - ABC News</w:t>
        </w:r>
      </w:hyperlink>
    </w:p>
  </w:footnote>
  <w:footnote w:id="50">
    <w:p w14:paraId="72C061D6" w14:textId="79538A48" w:rsidR="00F530B1" w:rsidRPr="00F530B1" w:rsidRDefault="00F530B1" w:rsidP="00F530B1">
      <w:pPr>
        <w:rPr>
          <w:sz w:val="20"/>
          <w:szCs w:val="20"/>
          <w:lang w:val="en-US"/>
        </w:rPr>
      </w:pPr>
      <w:r>
        <w:rPr>
          <w:rStyle w:val="FootnoteReference"/>
        </w:rPr>
        <w:footnoteRef/>
      </w:r>
      <w:r>
        <w:t xml:space="preserve"> </w:t>
      </w:r>
      <w:hyperlink r:id="rId16" w:history="1">
        <w:r w:rsidRPr="00F530B1">
          <w:rPr>
            <w:rStyle w:val="Hyperlink"/>
            <w:color w:val="auto"/>
            <w:sz w:val="20"/>
            <w:szCs w:val="20"/>
          </w:rPr>
          <w:t>Paralympian Jeremy McClure refused multiple Uber rides with guide dog</w:t>
        </w:r>
      </w:hyperlink>
      <w:r w:rsidRPr="00F530B1">
        <w:rPr>
          <w:sz w:val="20"/>
          <w:szCs w:val="20"/>
        </w:rPr>
        <w:t xml:space="preserve"> </w:t>
      </w:r>
      <w:r w:rsidRPr="00F530B1">
        <w:rPr>
          <w:rStyle w:val="CommentReference"/>
          <w:sz w:val="20"/>
          <w:szCs w:val="20"/>
        </w:rPr>
        <w:t/>
      </w:r>
    </w:p>
    <w:p w14:paraId="56C07B99" w14:textId="597651DE" w:rsidR="00F530B1" w:rsidRDefault="00F530B1">
      <w:pPr>
        <w:pStyle w:val="FootnoteText"/>
      </w:pPr>
    </w:p>
  </w:footnote>
  <w:footnote w:id="51">
    <w:p w14:paraId="1524CA92" w14:textId="77777777" w:rsidR="005C0BC5" w:rsidRPr="003C074F" w:rsidRDefault="005C0BC5" w:rsidP="005C0BC5">
      <w:pPr>
        <w:pStyle w:val="FootnoteText"/>
      </w:pPr>
      <w:r>
        <w:rPr>
          <w:rStyle w:val="FootnoteReference"/>
        </w:rPr>
        <w:footnoteRef/>
      </w:r>
      <w:r>
        <w:t xml:space="preserve"> </w:t>
      </w:r>
      <w:r w:rsidRPr="00C45125">
        <w:t>Department of Social Services, Draft National Principles for the Regulation of Assistance Animals (March 2025).</w:t>
      </w:r>
      <w:r>
        <w:t xml:space="preserve"> </w:t>
      </w:r>
      <w:r w:rsidRPr="003C074F">
        <w:t>https://www.dss.gov.au/disability-and-carers/draft-national-principles-regulation-assistance-animals.</w:t>
      </w:r>
    </w:p>
    <w:p w14:paraId="3F7BF76A" w14:textId="77777777" w:rsidR="005C0BC5" w:rsidRPr="00C45125" w:rsidRDefault="005C0BC5" w:rsidP="005C0BC5">
      <w:pPr>
        <w:pStyle w:val="FootnoteText"/>
      </w:pPr>
    </w:p>
    <w:p w14:paraId="11CF7614" w14:textId="77777777" w:rsidR="005C0BC5" w:rsidRDefault="005C0BC5" w:rsidP="005C0BC5">
      <w:pPr>
        <w:pStyle w:val="FootnoteText"/>
      </w:pPr>
    </w:p>
  </w:footnote>
  <w:footnote w:id="52">
    <w:p w14:paraId="0390CD74" w14:textId="69AC284C" w:rsidR="00A05944" w:rsidRDefault="00A05944">
      <w:pPr>
        <w:pStyle w:val="FootnoteText"/>
      </w:pPr>
      <w:r>
        <w:rPr>
          <w:rStyle w:val="FootnoteReference"/>
        </w:rPr>
        <w:footnoteRef/>
      </w:r>
      <w:r>
        <w:t xml:space="preserve"> </w:t>
      </w:r>
      <w:r>
        <w:t>Blind Citizens Australia (2025) DDA Consultation with members.</w:t>
      </w:r>
    </w:p>
  </w:footnote>
  <w:footnote w:id="53">
    <w:p w14:paraId="401F9534" w14:textId="21779E58" w:rsidR="009122A9" w:rsidRPr="009122A9" w:rsidRDefault="009122A9" w:rsidP="009122A9">
      <w:pPr>
        <w:pStyle w:val="FootnoteText"/>
      </w:pPr>
      <w:r>
        <w:rPr>
          <w:rStyle w:val="FootnoteReference"/>
        </w:rPr>
        <w:footnoteRef/>
      </w:r>
      <w:r>
        <w:t xml:space="preserve"> </w:t>
      </w:r>
      <w:r w:rsidR="00C53DC9">
        <w:t>B</w:t>
      </w:r>
      <w:r w:rsidRPr="009122A9">
        <w:t>lind Citizens Australia, Response to the Draft Report – Productivity Commission Inquiry into the Disability Discrimination Act 1992 (Submission DR269, May 2015)</w:t>
      </w:r>
    </w:p>
    <w:p w14:paraId="6FF42AC4" w14:textId="16ABBC84" w:rsidR="009122A9" w:rsidRDefault="009122A9">
      <w:pPr>
        <w:pStyle w:val="FootnoteText"/>
      </w:pPr>
    </w:p>
  </w:footnote>
  <w:footnote w:id="54">
    <w:p w14:paraId="3216F56F" w14:textId="7A708ABB" w:rsidR="003C2230" w:rsidRDefault="003C2230">
      <w:pPr>
        <w:pStyle w:val="FootnoteText"/>
      </w:pPr>
      <w:r>
        <w:rPr>
          <w:rStyle w:val="FootnoteReference"/>
        </w:rPr>
        <w:footnoteRef/>
      </w:r>
      <w:r>
        <w:t xml:space="preserve"> </w:t>
      </w:r>
      <w:hyperlink r:id="rId17" w:history="1">
        <w:r w:rsidRPr="003C2230">
          <w:rPr>
            <w:rStyle w:val="Hyperlink"/>
          </w:rPr>
          <w:t>humanrights.gov.au/our-work/legal/exemption-applications-under-disability-discrimination-act-1992-cth</w:t>
        </w:r>
      </w:hyperlink>
    </w:p>
  </w:footnote>
  <w:footnote w:id="55">
    <w:p w14:paraId="168B3344" w14:textId="77777777" w:rsidR="00467B2F" w:rsidRDefault="00467B2F" w:rsidP="00467B2F">
      <w:pPr>
        <w:pStyle w:val="FootnoteText"/>
      </w:pPr>
      <w:r>
        <w:rPr>
          <w:rStyle w:val="FootnoteReference"/>
        </w:rPr>
        <w:footnoteRef/>
      </w:r>
      <w:r>
        <w:t xml:space="preserve"> Australian Government (2020) Department of Education, Skills and Employment. Disability Standards for Education 2005 2020 Review Findings</w:t>
      </w:r>
    </w:p>
  </w:footnote>
  <w:footnote w:id="56">
    <w:p w14:paraId="34EB0205" w14:textId="71227D81" w:rsidR="00AC2A25" w:rsidRDefault="00AC2A25" w:rsidP="00AC2A25">
      <w:pPr>
        <w:pStyle w:val="FootnoteText"/>
      </w:pPr>
      <w:r>
        <w:rPr>
          <w:rStyle w:val="FootnoteReference"/>
        </w:rPr>
        <w:footnoteRef/>
      </w:r>
      <w:r>
        <w:t xml:space="preserve"> </w:t>
      </w:r>
      <w:r w:rsidRPr="00F0716D">
        <w:t>Blind Citizens Australia</w:t>
      </w:r>
      <w:r w:rsidR="006D2165">
        <w:t>. (2022)</w:t>
      </w:r>
      <w:r w:rsidR="00BB4A63">
        <w:t>.</w:t>
      </w:r>
      <w:r w:rsidRPr="00F0716D">
        <w:t xml:space="preserve"> Submission to the Royal Commission into Violence, Abuse, Neglect and Exploitation of People with Disability – Audio Description</w:t>
      </w:r>
    </w:p>
  </w:footnote>
  <w:footnote w:id="57">
    <w:p w14:paraId="2D18969F" w14:textId="20B73BD4" w:rsidR="009B43D1" w:rsidRDefault="009B43D1">
      <w:pPr>
        <w:pStyle w:val="FootnoteText"/>
      </w:pPr>
      <w:r>
        <w:rPr>
          <w:rStyle w:val="FootnoteReference"/>
        </w:rPr>
        <w:footnoteRef/>
      </w:r>
      <w:r>
        <w:t xml:space="preserve"> BCA Consultation to inform DDA Submission 2025</w:t>
      </w:r>
    </w:p>
  </w:footnote>
  <w:footnote w:id="58">
    <w:p w14:paraId="29A1F02F" w14:textId="2F4717CD" w:rsidR="00F54DD3" w:rsidRPr="00F54DD3" w:rsidRDefault="00F54DD3" w:rsidP="00F54DD3">
      <w:pPr>
        <w:pStyle w:val="FootnoteText"/>
      </w:pPr>
      <w:r>
        <w:rPr>
          <w:rStyle w:val="FootnoteReference"/>
        </w:rPr>
        <w:footnoteRef/>
      </w:r>
      <w:r>
        <w:t xml:space="preserve"> </w:t>
      </w:r>
      <w:r w:rsidRPr="00F54DD3">
        <w:t>Australian Human Rights Commission</w:t>
      </w:r>
      <w:r w:rsidR="00041F48">
        <w:t xml:space="preserve">. </w:t>
      </w:r>
      <w:r w:rsidR="00041F48" w:rsidRPr="00F54DD3">
        <w:t>(2021)</w:t>
      </w:r>
      <w:r w:rsidR="00041F48">
        <w:t>.</w:t>
      </w:r>
      <w:r w:rsidRPr="00F54DD3">
        <w:t xml:space="preserve"> Human Rights and Technology Final Report </w:t>
      </w:r>
    </w:p>
    <w:p w14:paraId="5A8FB8EF" w14:textId="4487FFC9" w:rsidR="00F54DD3" w:rsidRDefault="00F54DD3">
      <w:pPr>
        <w:pStyle w:val="FootnoteText"/>
      </w:pPr>
    </w:p>
  </w:footnote>
  <w:footnote w:id="59">
    <w:p w14:paraId="75F10020" w14:textId="7D1A778E" w:rsidR="00343C04" w:rsidRDefault="00343C04">
      <w:pPr>
        <w:pStyle w:val="FootnoteText"/>
      </w:pPr>
      <w:r>
        <w:rPr>
          <w:rStyle w:val="FootnoteReference"/>
        </w:rPr>
        <w:footnoteRef/>
      </w:r>
      <w:r>
        <w:t xml:space="preserve"> </w:t>
      </w:r>
      <w:r w:rsidRPr="00343C04">
        <w:t>Australian Human Rights Commission (2025). Guidelines on equal access to digital goods and</w:t>
      </w:r>
      <w:r w:rsidRPr="00343C04">
        <w:br/>
        <w:t>services. Sydney: Australian Human Rights Commission</w:t>
      </w:r>
    </w:p>
  </w:footnote>
  <w:footnote w:id="60">
    <w:p w14:paraId="72772AF0" w14:textId="77777777" w:rsidR="0096738D" w:rsidRPr="005A1B31" w:rsidRDefault="0096738D" w:rsidP="0096738D">
      <w:pPr>
        <w:pStyle w:val="FootnoteText"/>
      </w:pPr>
      <w:r>
        <w:rPr>
          <w:rStyle w:val="FootnoteReference"/>
        </w:rPr>
        <w:footnoteRef/>
      </w:r>
      <w:r>
        <w:t xml:space="preserve"> WebAIM. </w:t>
      </w:r>
      <w:r w:rsidRPr="005A1B31">
        <w:t>(2023)</w:t>
      </w:r>
      <w:r>
        <w:t xml:space="preserve">. </w:t>
      </w:r>
      <w:r w:rsidRPr="005A1B31">
        <w:t xml:space="preserve">The WebAIM Million: An annual accessibility analysis of the top 1,000,000 home pages </w:t>
      </w:r>
    </w:p>
    <w:p w14:paraId="60B71DD1" w14:textId="77777777" w:rsidR="0096738D" w:rsidRDefault="0096738D" w:rsidP="0096738D">
      <w:pPr>
        <w:pStyle w:val="FootnoteText"/>
      </w:pPr>
    </w:p>
  </w:footnote>
  <w:footnote w:id="61">
    <w:p w14:paraId="38B9D881" w14:textId="436DDC2F" w:rsidR="00850FCD" w:rsidRDefault="00850FCD" w:rsidP="00850FCD">
      <w:pPr>
        <w:pStyle w:val="FootnoteText"/>
      </w:pPr>
      <w:r>
        <w:rPr>
          <w:rStyle w:val="FootnoteReference"/>
        </w:rPr>
        <w:footnoteRef/>
      </w:r>
      <w:r>
        <w:t xml:space="preserve"> </w:t>
      </w:r>
      <w:r w:rsidRPr="00E55189">
        <w:t>Blind Citizens Australia, D</w:t>
      </w:r>
      <w:r>
        <w:t xml:space="preserve">isability </w:t>
      </w:r>
      <w:r w:rsidRPr="00E55189">
        <w:t>R</w:t>
      </w:r>
      <w:r>
        <w:t xml:space="preserve">oyal </w:t>
      </w:r>
      <w:r w:rsidRPr="00E55189">
        <w:t>C</w:t>
      </w:r>
      <w:r>
        <w:t>ommission</w:t>
      </w:r>
      <w:r w:rsidRPr="00E55189">
        <w:t xml:space="preserve"> Submission (2022). </w:t>
      </w:r>
      <w:r w:rsidRPr="003A7191">
        <w:t xml:space="preserve">Promoting Inclusion Issues Paper: Technology </w:t>
      </w:r>
      <w:r w:rsidRPr="00E55189">
        <w:t>https://disability.royalcommission.gov.au/system/files/submission/ISS.001.00630.PDF</w:t>
      </w:r>
    </w:p>
  </w:footnote>
  <w:footnote w:id="62">
    <w:p w14:paraId="171B1ADD" w14:textId="77777777" w:rsidR="00CE1092" w:rsidRDefault="00CE1092" w:rsidP="00CE1092">
      <w:pPr>
        <w:pStyle w:val="FootnoteText"/>
      </w:pPr>
      <w:r>
        <w:rPr>
          <w:rStyle w:val="FootnoteReference"/>
        </w:rPr>
        <w:footnoteRef/>
      </w:r>
      <w:r>
        <w:t xml:space="preserve"> </w:t>
      </w:r>
      <w:r w:rsidRPr="00BB7C00">
        <w:t>Vision Australia</w:t>
      </w:r>
      <w:r>
        <w:t>. (2018).</w:t>
      </w:r>
      <w:r w:rsidRPr="00BB7C00">
        <w:t xml:space="preserve"> Report - Online, But Offtrack</w:t>
      </w:r>
    </w:p>
  </w:footnote>
  <w:footnote w:id="63">
    <w:p w14:paraId="6E7DF1EB" w14:textId="77777777" w:rsidR="00BA446C" w:rsidRDefault="00BA446C" w:rsidP="00BA446C">
      <w:pPr>
        <w:pStyle w:val="FootnoteText"/>
      </w:pPr>
      <w:r>
        <w:rPr>
          <w:rStyle w:val="FootnoteReference"/>
        </w:rPr>
        <w:footnoteRef/>
      </w:r>
      <w:r>
        <w:t xml:space="preserve"> </w:t>
      </w:r>
      <w:r w:rsidRPr="0039335F">
        <w:t>United Nations. (2006). Convention on the Rights of Persons with Disabilities.</w:t>
      </w:r>
    </w:p>
  </w:footnote>
  <w:footnote w:id="64">
    <w:p w14:paraId="2DC6C3DA" w14:textId="77777777" w:rsidR="002E53F4" w:rsidRDefault="002E53F4" w:rsidP="002E53F4">
      <w:pPr>
        <w:pStyle w:val="FootnoteText"/>
      </w:pPr>
      <w:r>
        <w:rPr>
          <w:rStyle w:val="FootnoteReference"/>
        </w:rPr>
        <w:footnoteRef/>
      </w:r>
      <w:r>
        <w:t xml:space="preserve"> </w:t>
      </w:r>
      <w:r w:rsidRPr="004A75DB">
        <w:t>ACCAN</w:t>
      </w:r>
      <w:r>
        <w:t xml:space="preserve">. </w:t>
      </w:r>
      <w:r w:rsidRPr="004A75DB">
        <w:t>National Disability Strategy (Policy submission, Department of Social Services, 30 October 2020) 6; ACCAN, Public Procurement of Accessible Information and Communications Technology (Community position paper, May 2022).</w:t>
      </w:r>
    </w:p>
  </w:footnote>
  <w:footnote w:id="65">
    <w:p w14:paraId="5DED6FE6" w14:textId="77777777" w:rsidR="00DE5028" w:rsidRDefault="00DE5028" w:rsidP="00DE5028">
      <w:pPr>
        <w:pStyle w:val="FootnoteText"/>
      </w:pPr>
      <w:r>
        <w:rPr>
          <w:rStyle w:val="FootnoteReference"/>
        </w:rPr>
        <w:footnoteRef/>
      </w:r>
      <w:r>
        <w:t xml:space="preserve"> </w:t>
      </w:r>
      <w:r w:rsidRPr="00F54DD3">
        <w:t>Australian Human Rights Commission</w:t>
      </w:r>
      <w:r>
        <w:t xml:space="preserve">. </w:t>
      </w:r>
      <w:r w:rsidRPr="00F54DD3">
        <w:t>(2021)</w:t>
      </w:r>
      <w:r>
        <w:t>.</w:t>
      </w:r>
      <w:r w:rsidRPr="00F54DD3">
        <w:t xml:space="preserve"> Human Rights and Technology Final Report</w:t>
      </w:r>
    </w:p>
  </w:footnote>
  <w:footnote w:id="66">
    <w:p w14:paraId="78EAAA29" w14:textId="77777777" w:rsidR="00DE5028" w:rsidRDefault="00DE5028" w:rsidP="00DE5028">
      <w:pPr>
        <w:pStyle w:val="FootnoteText"/>
      </w:pPr>
      <w:r>
        <w:rPr>
          <w:rStyle w:val="FootnoteReference"/>
        </w:rPr>
        <w:footnoteRef/>
      </w:r>
      <w:r>
        <w:t xml:space="preserve"> </w:t>
      </w:r>
      <w:r w:rsidRPr="001A40F9">
        <w:t>Australian Human Rights Commission, Human rights and technology final report: summary (Summary, 202</w:t>
      </w:r>
      <w:r>
        <w:t>1)</w:t>
      </w:r>
    </w:p>
  </w:footnote>
  <w:footnote w:id="67">
    <w:p w14:paraId="2FEDBA3A" w14:textId="086A33CA" w:rsidR="00E374CD" w:rsidRPr="0018064C" w:rsidRDefault="00E374CD" w:rsidP="00E374CD">
      <w:pPr>
        <w:pStyle w:val="FootnoteText"/>
      </w:pPr>
      <w:r w:rsidRPr="0018064C">
        <w:rPr>
          <w:rStyle w:val="FootnoteReference"/>
        </w:rPr>
        <w:footnoteRef/>
      </w:r>
      <w:r w:rsidRPr="0018064C">
        <w:t xml:space="preserve"> BCA Consultation to inform DDA Submission 2025</w:t>
      </w:r>
      <w:r w:rsidR="00C92925" w:rsidRPr="0018064C">
        <w:t xml:space="preserve"> </w:t>
      </w:r>
      <w:r w:rsidR="006A45E2" w:rsidRPr="0018064C">
        <w:t>(unpublished)</w:t>
      </w:r>
    </w:p>
  </w:footnote>
  <w:footnote w:id="68">
    <w:p w14:paraId="05B57266" w14:textId="77777777" w:rsidR="002C46F7" w:rsidRDefault="002C46F7" w:rsidP="002C46F7">
      <w:pPr>
        <w:pStyle w:val="FootnoteText"/>
      </w:pPr>
      <w:r w:rsidRPr="0018064C">
        <w:rPr>
          <w:rStyle w:val="FootnoteReference"/>
        </w:rPr>
        <w:footnoteRef/>
      </w:r>
      <w:r w:rsidRPr="0018064C">
        <w:t xml:space="preserve"> Blind Citizens Australia</w:t>
      </w:r>
      <w:r>
        <w:t>.</w:t>
      </w:r>
      <w:r w:rsidRPr="0018064C">
        <w:t xml:space="preserve"> (2022)</w:t>
      </w:r>
      <w:r>
        <w:t>.</w:t>
      </w:r>
      <w:r w:rsidRPr="0018064C">
        <w:t xml:space="preserve"> Submission to the Disability Royal Commission: Audio Description</w:t>
      </w:r>
      <w:r>
        <w:t xml:space="preserve"> </w:t>
      </w:r>
    </w:p>
  </w:footnote>
  <w:footnote w:id="69">
    <w:p w14:paraId="0131E234" w14:textId="2F70C6A7" w:rsidR="00ED6449" w:rsidRDefault="00ED6449">
      <w:pPr>
        <w:pStyle w:val="FootnoteText"/>
      </w:pPr>
      <w:r>
        <w:rPr>
          <w:rStyle w:val="FootnoteReference"/>
        </w:rPr>
        <w:footnoteRef/>
      </w:r>
      <w:r>
        <w:t xml:space="preserve"> </w:t>
      </w:r>
      <w:hyperlink r:id="rId18" w:history="1">
        <w:r w:rsidR="00D72402" w:rsidRPr="00D72402">
          <w:rPr>
            <w:rStyle w:val="Hyperlink"/>
          </w:rPr>
          <w:t>Free and Equal: An Australian conversation on human rights | Australian Human Rights Commission</w:t>
        </w:r>
      </w:hyperlink>
    </w:p>
  </w:footnote>
  <w:footnote w:id="70">
    <w:p w14:paraId="43395470" w14:textId="05D828CD" w:rsidR="00A95CD7" w:rsidRDefault="00A95CD7">
      <w:pPr>
        <w:pStyle w:val="FootnoteText"/>
      </w:pPr>
      <w:r>
        <w:rPr>
          <w:rStyle w:val="FootnoteReference"/>
        </w:rPr>
        <w:footnoteRef/>
      </w:r>
      <w:r>
        <w:t xml:space="preserve"> </w:t>
      </w:r>
      <w:r>
        <w:t>Blind Citizens Australia (2025) DDA Consultation with members.</w:t>
      </w:r>
    </w:p>
  </w:footnote>
  <w:footnote w:id="71">
    <w:p w14:paraId="28F22DDC" w14:textId="3A157671" w:rsidR="004A57D1" w:rsidRDefault="004A57D1">
      <w:pPr>
        <w:pStyle w:val="FootnoteText"/>
      </w:pPr>
      <w:r>
        <w:rPr>
          <w:rStyle w:val="FootnoteReference"/>
        </w:rPr>
        <w:footnoteRef/>
      </w:r>
      <w:r>
        <w:t xml:space="preserve"> </w:t>
      </w:r>
      <w:r>
        <w:t>Blind Citizens Australia (2025) DDA Consultation with members.</w:t>
      </w:r>
    </w:p>
  </w:footnote>
  <w:footnote w:id="72">
    <w:p w14:paraId="51FCE448" w14:textId="471229D9" w:rsidR="00A8531C" w:rsidRDefault="00A8531C">
      <w:pPr>
        <w:pStyle w:val="FootnoteText"/>
      </w:pPr>
      <w:r>
        <w:rPr>
          <w:rStyle w:val="FootnoteReference"/>
        </w:rPr>
        <w:footnoteRef/>
      </w:r>
      <w:r>
        <w:t xml:space="preserve"> </w:t>
      </w:r>
      <w:r w:rsidRPr="00470AD1">
        <w:t>Corporations Act 2001 (Cth) s1311; Competition and Consumer Act 2010 (Cth) s76</w:t>
      </w:r>
    </w:p>
  </w:footnote>
  <w:footnote w:id="73">
    <w:p w14:paraId="38C9B310" w14:textId="77777777" w:rsidR="00496E3A" w:rsidRDefault="00496E3A" w:rsidP="00496E3A">
      <w:pPr>
        <w:pStyle w:val="FootnoteText"/>
      </w:pPr>
      <w:r>
        <w:rPr>
          <w:rStyle w:val="FootnoteReference"/>
        </w:rPr>
        <w:footnoteRef/>
      </w:r>
      <w:r>
        <w:t xml:space="preserve"> Blind Citizens Australia (2025) DDA Consultation with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4801A73" w14:paraId="790D58BC" w14:textId="77777777" w:rsidTr="74801A73">
      <w:trPr>
        <w:trHeight w:val="300"/>
      </w:trPr>
      <w:tc>
        <w:tcPr>
          <w:tcW w:w="3600" w:type="dxa"/>
        </w:tcPr>
        <w:p w14:paraId="436544D9" w14:textId="3B3A9403" w:rsidR="74801A73" w:rsidRDefault="74801A73" w:rsidP="74801A73">
          <w:pPr>
            <w:pStyle w:val="Header"/>
            <w:ind w:left="-115"/>
          </w:pPr>
        </w:p>
      </w:tc>
      <w:tc>
        <w:tcPr>
          <w:tcW w:w="3600" w:type="dxa"/>
        </w:tcPr>
        <w:p w14:paraId="159A32A5" w14:textId="5C889F6C" w:rsidR="74801A73" w:rsidRDefault="74801A73" w:rsidP="74801A73">
          <w:pPr>
            <w:pStyle w:val="Header"/>
            <w:jc w:val="center"/>
          </w:pPr>
        </w:p>
      </w:tc>
      <w:tc>
        <w:tcPr>
          <w:tcW w:w="3600" w:type="dxa"/>
        </w:tcPr>
        <w:p w14:paraId="22E62EB2" w14:textId="596560BB" w:rsidR="74801A73" w:rsidRDefault="74801A73" w:rsidP="74801A73">
          <w:pPr>
            <w:pStyle w:val="Header"/>
            <w:ind w:right="-115"/>
            <w:jc w:val="right"/>
          </w:pPr>
        </w:p>
      </w:tc>
    </w:tr>
  </w:tbl>
  <w:p w14:paraId="68CDF2B7" w14:textId="1A28FC31" w:rsidR="009E04B4" w:rsidRDefault="009E0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4801A73" w14:paraId="07D2FB56" w14:textId="77777777" w:rsidTr="74801A73">
      <w:trPr>
        <w:trHeight w:val="300"/>
      </w:trPr>
      <w:tc>
        <w:tcPr>
          <w:tcW w:w="3600" w:type="dxa"/>
        </w:tcPr>
        <w:p w14:paraId="15E4984A" w14:textId="6888D3F5" w:rsidR="74801A73" w:rsidRDefault="74801A73" w:rsidP="74801A73">
          <w:pPr>
            <w:pStyle w:val="Header"/>
            <w:ind w:left="-115"/>
          </w:pPr>
        </w:p>
      </w:tc>
      <w:tc>
        <w:tcPr>
          <w:tcW w:w="3600" w:type="dxa"/>
        </w:tcPr>
        <w:p w14:paraId="0C360C95" w14:textId="6466128E" w:rsidR="74801A73" w:rsidRDefault="74801A73" w:rsidP="74801A73">
          <w:pPr>
            <w:pStyle w:val="Header"/>
            <w:jc w:val="center"/>
          </w:pPr>
        </w:p>
      </w:tc>
      <w:tc>
        <w:tcPr>
          <w:tcW w:w="3600" w:type="dxa"/>
        </w:tcPr>
        <w:p w14:paraId="14A1C154" w14:textId="1A829DAF" w:rsidR="74801A73" w:rsidRDefault="74801A73" w:rsidP="74801A73">
          <w:pPr>
            <w:pStyle w:val="Header"/>
            <w:ind w:right="-115"/>
            <w:jc w:val="right"/>
          </w:pPr>
        </w:p>
      </w:tc>
    </w:tr>
  </w:tbl>
  <w:p w14:paraId="57790F3A" w14:textId="2DA91554" w:rsidR="009E04B4" w:rsidRDefault="009E0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E627C88"/>
    <w:lvl w:ilvl="0">
      <w:start w:val="1"/>
      <w:numFmt w:val="decimal"/>
      <w:pStyle w:val="ListNumber"/>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Arial" w:eastAsiaTheme="minorEastAsia"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FFFFFF89"/>
    <w:multiLevelType w:val="singleLevel"/>
    <w:tmpl w:val="7D603A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218A6"/>
    <w:multiLevelType w:val="hybridMultilevel"/>
    <w:tmpl w:val="7AF8190A"/>
    <w:lvl w:ilvl="0" w:tplc="0562CD0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E60F6"/>
    <w:multiLevelType w:val="hybridMultilevel"/>
    <w:tmpl w:val="2E666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A193F"/>
    <w:multiLevelType w:val="hybridMultilevel"/>
    <w:tmpl w:val="F5CC17D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8F3DD4"/>
    <w:multiLevelType w:val="multilevel"/>
    <w:tmpl w:val="F96430A0"/>
    <w:lvl w:ilvl="0">
      <w:start w:val="1"/>
      <w:numFmt w:val="decimal"/>
      <w:pStyle w:val="ChapterHeading"/>
      <w:lvlText w:val="%1."/>
      <w:lvlJc w:val="left"/>
      <w:pPr>
        <w:ind w:left="644" w:hanging="360"/>
      </w:pPr>
      <w:rPr>
        <w:rFonts w:ascii="Public Sans" w:hAnsi="Public Sans" w:hint="default"/>
        <w:b/>
        <w:i w:val="0"/>
        <w:color w:val="002664"/>
        <w:sz w:val="48"/>
      </w:rPr>
    </w:lvl>
    <w:lvl w:ilvl="1">
      <w:start w:val="1"/>
      <w:numFmt w:val="decimal"/>
      <w:pStyle w:val="NormalAutoChapter"/>
      <w:lvlText w:val="%1.%2"/>
      <w:lvlJc w:val="left"/>
      <w:pPr>
        <w:tabs>
          <w:tab w:val="num" w:pos="720"/>
        </w:tabs>
        <w:ind w:left="720" w:hanging="720"/>
      </w:pPr>
      <w:rPr>
        <w:rFonts w:ascii="Public Sans" w:hAnsi="Public Sans" w:hint="default"/>
        <w:b w:val="0"/>
        <w:i w:val="0"/>
        <w:strike w:val="0"/>
        <w:color w:val="auto"/>
        <w:sz w:val="18"/>
      </w:rPr>
    </w:lvl>
    <w:lvl w:ilvl="2">
      <w:start w:val="1"/>
      <w:numFmt w:val="upperLetter"/>
      <w:lvlRestart w:val="0"/>
      <w:suff w:val="nothing"/>
      <w:lvlText w:val="%3"/>
      <w:lvlJc w:val="right"/>
      <w:pPr>
        <w:ind w:left="720" w:hanging="720"/>
      </w:pPr>
      <w:rPr>
        <w:rFonts w:hint="default"/>
        <w:b w:val="0"/>
        <w:i w:val="0"/>
        <w:vanish/>
        <w:color w:val="FFFFFF"/>
        <w:sz w:val="22"/>
      </w:rPr>
    </w:lvl>
    <w:lvl w:ilvl="3">
      <w:start w:val="1"/>
      <w:numFmt w:val="decimal"/>
      <w:lvlText w:val="%3.%4"/>
      <w:lvlJc w:val="left"/>
      <w:pPr>
        <w:tabs>
          <w:tab w:val="num" w:pos="720"/>
        </w:tabs>
        <w:ind w:left="720" w:hanging="720"/>
      </w:pPr>
      <w:rPr>
        <w:rFonts w:ascii="Arial" w:hAnsi="Arial" w:hint="default"/>
        <w:b w:val="0"/>
        <w:i w:val="0"/>
        <w:sz w:val="18"/>
      </w:rPr>
    </w:lvl>
    <w:lvl w:ilvl="4">
      <w:start w:val="1"/>
      <w:numFmt w:val="decimal"/>
      <w:lvlRestart w:val="3"/>
      <w:lvlText w:val="%5"/>
      <w:lvlJc w:val="left"/>
      <w:pPr>
        <w:tabs>
          <w:tab w:val="num" w:pos="720"/>
        </w:tabs>
        <w:ind w:left="720" w:hanging="720"/>
      </w:pPr>
      <w:rPr>
        <w:rFonts w:ascii="Arial" w:hAnsi="Arial" w:hint="default"/>
        <w:b w:val="0"/>
        <w:i w:val="0"/>
        <w:sz w:val="18"/>
      </w:rPr>
    </w:lvl>
    <w:lvl w:ilvl="5">
      <w:numFmt w:val="none"/>
      <w:lvlText w:val=""/>
      <w:lvlJc w:val="left"/>
      <w:pPr>
        <w:tabs>
          <w:tab w:val="num" w:pos="720"/>
        </w:tabs>
        <w:ind w:left="720" w:hanging="720"/>
      </w:pPr>
      <w:rPr>
        <w:rFonts w:hint="default"/>
      </w:rPr>
    </w:lvl>
    <w:lvl w:ilvl="6">
      <w:start w:val="32767"/>
      <w:numFmt w:val="none"/>
      <w:lvlText w:val=""/>
      <w:lvlJc w:val="left"/>
      <w:pPr>
        <w:tabs>
          <w:tab w:val="num" w:pos="720"/>
        </w:tabs>
        <w:ind w:left="720" w:hanging="720"/>
      </w:pPr>
      <w:rPr>
        <w:rFonts w:hint="default"/>
      </w:rPr>
    </w:lvl>
    <w:lvl w:ilvl="7">
      <w:start w:val="32767"/>
      <w:numFmt w:val="none"/>
      <w:lvlText w:val=""/>
      <w:lvlJc w:val="left"/>
      <w:pPr>
        <w:tabs>
          <w:tab w:val="num" w:pos="720"/>
        </w:tabs>
        <w:ind w:left="720" w:hanging="720"/>
      </w:pPr>
      <w:rPr>
        <w:rFonts w:hint="default"/>
      </w:rPr>
    </w:lvl>
    <w:lvl w:ilvl="8">
      <w:start w:val="32767"/>
      <w:numFmt w:val="none"/>
      <w:lvlText w:val=""/>
      <w:lvlJc w:val="left"/>
      <w:pPr>
        <w:tabs>
          <w:tab w:val="num" w:pos="720"/>
        </w:tabs>
        <w:ind w:left="720" w:hanging="720"/>
      </w:pPr>
      <w:rPr>
        <w:rFonts w:hint="default"/>
      </w:rPr>
    </w:lvl>
  </w:abstractNum>
  <w:abstractNum w:abstractNumId="6" w15:restartNumberingAfterBreak="0">
    <w:nsid w:val="18831242"/>
    <w:multiLevelType w:val="multilevel"/>
    <w:tmpl w:val="25C4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5E14"/>
    <w:multiLevelType w:val="multilevel"/>
    <w:tmpl w:val="CD7E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66BF8"/>
    <w:multiLevelType w:val="multilevel"/>
    <w:tmpl w:val="C66A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0070B"/>
    <w:multiLevelType w:val="multilevel"/>
    <w:tmpl w:val="D5D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85490"/>
    <w:multiLevelType w:val="hybridMultilevel"/>
    <w:tmpl w:val="E1C256E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FD64C2"/>
    <w:multiLevelType w:val="hybridMultilevel"/>
    <w:tmpl w:val="8A5EC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24C08"/>
    <w:multiLevelType w:val="multilevel"/>
    <w:tmpl w:val="376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32432"/>
    <w:multiLevelType w:val="multilevel"/>
    <w:tmpl w:val="77BC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B5F84"/>
    <w:multiLevelType w:val="multilevel"/>
    <w:tmpl w:val="15B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F615D"/>
    <w:multiLevelType w:val="multilevel"/>
    <w:tmpl w:val="0B5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C51A0"/>
    <w:multiLevelType w:val="hybridMultilevel"/>
    <w:tmpl w:val="03DC758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64A1298"/>
    <w:multiLevelType w:val="hybridMultilevel"/>
    <w:tmpl w:val="E43C8C1A"/>
    <w:lvl w:ilvl="0" w:tplc="1916C348">
      <w:start w:val="1"/>
      <w:numFmt w:val="bullet"/>
      <w:pStyle w:val="First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3C68CE"/>
    <w:multiLevelType w:val="hybridMultilevel"/>
    <w:tmpl w:val="DAA68F5E"/>
    <w:lvl w:ilvl="0" w:tplc="53C2CD68">
      <w:start w:val="1"/>
      <w:numFmt w:val="bullet"/>
      <w:pStyle w:val="Normalbullet"/>
      <w:lvlText w:val=""/>
      <w:lvlJc w:val="left"/>
      <w:pPr>
        <w:tabs>
          <w:tab w:val="num" w:pos="964"/>
        </w:tabs>
        <w:ind w:left="964" w:hanging="244"/>
      </w:pPr>
      <w:rPr>
        <w:rFonts w:ascii="Symbol" w:hAnsi="Symbol" w:cs="Symbol" w:hint="default"/>
        <w:color w:val="4F4F4F"/>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4430A"/>
    <w:multiLevelType w:val="hybridMultilevel"/>
    <w:tmpl w:val="7C4ABB2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7DD4867"/>
    <w:multiLevelType w:val="hybridMultilevel"/>
    <w:tmpl w:val="BC407CF8"/>
    <w:lvl w:ilvl="0" w:tplc="61DA64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E200F7"/>
    <w:multiLevelType w:val="hybridMultilevel"/>
    <w:tmpl w:val="09BE2378"/>
    <w:lvl w:ilvl="0" w:tplc="31C4A72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C0C4A67"/>
    <w:multiLevelType w:val="hybridMultilevel"/>
    <w:tmpl w:val="D5909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263626"/>
    <w:multiLevelType w:val="hybridMultilevel"/>
    <w:tmpl w:val="2350F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FC083E"/>
    <w:multiLevelType w:val="hybridMultilevel"/>
    <w:tmpl w:val="6F384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5" w15:restartNumberingAfterBreak="0">
    <w:nsid w:val="7A4B5B8B"/>
    <w:multiLevelType w:val="hybridMultilevel"/>
    <w:tmpl w:val="5FFE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167605">
    <w:abstractNumId w:val="17"/>
  </w:num>
  <w:num w:numId="2" w16cid:durableId="215045228">
    <w:abstractNumId w:val="18"/>
  </w:num>
  <w:num w:numId="3" w16cid:durableId="2083747310">
    <w:abstractNumId w:val="5"/>
  </w:num>
  <w:num w:numId="4" w16cid:durableId="1544632301">
    <w:abstractNumId w:val="1"/>
  </w:num>
  <w:num w:numId="5" w16cid:durableId="2094620651">
    <w:abstractNumId w:val="0"/>
  </w:num>
  <w:num w:numId="6" w16cid:durableId="1950116965">
    <w:abstractNumId w:val="24"/>
  </w:num>
  <w:num w:numId="7" w16cid:durableId="1129592447">
    <w:abstractNumId w:val="21"/>
  </w:num>
  <w:num w:numId="8" w16cid:durableId="1739132234">
    <w:abstractNumId w:val="10"/>
  </w:num>
  <w:num w:numId="9" w16cid:durableId="1762608442">
    <w:abstractNumId w:val="25"/>
  </w:num>
  <w:num w:numId="10" w16cid:durableId="114298853">
    <w:abstractNumId w:val="23"/>
  </w:num>
  <w:num w:numId="11" w16cid:durableId="2093579703">
    <w:abstractNumId w:val="11"/>
  </w:num>
  <w:num w:numId="12" w16cid:durableId="623317700">
    <w:abstractNumId w:val="19"/>
  </w:num>
  <w:num w:numId="13" w16cid:durableId="1407992680">
    <w:abstractNumId w:val="20"/>
  </w:num>
  <w:num w:numId="14" w16cid:durableId="882988190">
    <w:abstractNumId w:val="16"/>
  </w:num>
  <w:num w:numId="15" w16cid:durableId="1830557523">
    <w:abstractNumId w:val="2"/>
  </w:num>
  <w:num w:numId="16" w16cid:durableId="1148862257">
    <w:abstractNumId w:val="4"/>
  </w:num>
  <w:num w:numId="17" w16cid:durableId="367341441">
    <w:abstractNumId w:val="3"/>
  </w:num>
  <w:num w:numId="18" w16cid:durableId="674305953">
    <w:abstractNumId w:val="2"/>
  </w:num>
  <w:num w:numId="19" w16cid:durableId="1857956880">
    <w:abstractNumId w:val="5"/>
  </w:num>
  <w:num w:numId="20" w16cid:durableId="1659188656">
    <w:abstractNumId w:val="22"/>
  </w:num>
  <w:num w:numId="21" w16cid:durableId="2117098466">
    <w:abstractNumId w:val="17"/>
  </w:num>
  <w:num w:numId="22" w16cid:durableId="1121807503">
    <w:abstractNumId w:val="2"/>
  </w:num>
  <w:num w:numId="23" w16cid:durableId="2104841720">
    <w:abstractNumId w:val="2"/>
  </w:num>
  <w:num w:numId="24" w16cid:durableId="918442331">
    <w:abstractNumId w:val="5"/>
  </w:num>
  <w:num w:numId="25" w16cid:durableId="2128886384">
    <w:abstractNumId w:val="12"/>
  </w:num>
  <w:num w:numId="26" w16cid:durableId="1358458924">
    <w:abstractNumId w:val="14"/>
  </w:num>
  <w:num w:numId="27" w16cid:durableId="742487559">
    <w:abstractNumId w:val="9"/>
  </w:num>
  <w:num w:numId="28" w16cid:durableId="2020766938">
    <w:abstractNumId w:val="7"/>
  </w:num>
  <w:num w:numId="29" w16cid:durableId="191457093">
    <w:abstractNumId w:val="6"/>
  </w:num>
  <w:num w:numId="30" w16cid:durableId="1509368316">
    <w:abstractNumId w:val="13"/>
  </w:num>
  <w:num w:numId="31" w16cid:durableId="990208764">
    <w:abstractNumId w:val="15"/>
  </w:num>
  <w:num w:numId="32" w16cid:durableId="144488681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32"/>
    <w:rsid w:val="00000237"/>
    <w:rsid w:val="00001568"/>
    <w:rsid w:val="000027FE"/>
    <w:rsid w:val="00002E67"/>
    <w:rsid w:val="000030A0"/>
    <w:rsid w:val="00003956"/>
    <w:rsid w:val="000046B2"/>
    <w:rsid w:val="00004BB1"/>
    <w:rsid w:val="00004F44"/>
    <w:rsid w:val="00004FC5"/>
    <w:rsid w:val="00005602"/>
    <w:rsid w:val="000056C3"/>
    <w:rsid w:val="00005C86"/>
    <w:rsid w:val="00006110"/>
    <w:rsid w:val="00006A17"/>
    <w:rsid w:val="00006BB4"/>
    <w:rsid w:val="00006BF3"/>
    <w:rsid w:val="000071F5"/>
    <w:rsid w:val="000073E0"/>
    <w:rsid w:val="00007C16"/>
    <w:rsid w:val="0001003E"/>
    <w:rsid w:val="00010EFB"/>
    <w:rsid w:val="00011033"/>
    <w:rsid w:val="00011895"/>
    <w:rsid w:val="0001206C"/>
    <w:rsid w:val="000120DF"/>
    <w:rsid w:val="00012FCD"/>
    <w:rsid w:val="00012FE7"/>
    <w:rsid w:val="00013142"/>
    <w:rsid w:val="00014555"/>
    <w:rsid w:val="000147F8"/>
    <w:rsid w:val="000149D0"/>
    <w:rsid w:val="00014B51"/>
    <w:rsid w:val="000152F5"/>
    <w:rsid w:val="00016295"/>
    <w:rsid w:val="0001771F"/>
    <w:rsid w:val="00017FF7"/>
    <w:rsid w:val="00020180"/>
    <w:rsid w:val="00020A0D"/>
    <w:rsid w:val="00020A3F"/>
    <w:rsid w:val="000213B2"/>
    <w:rsid w:val="00021D4C"/>
    <w:rsid w:val="000228AF"/>
    <w:rsid w:val="00022AA0"/>
    <w:rsid w:val="00022B50"/>
    <w:rsid w:val="00023796"/>
    <w:rsid w:val="00023962"/>
    <w:rsid w:val="00023D97"/>
    <w:rsid w:val="00023DD4"/>
    <w:rsid w:val="00024019"/>
    <w:rsid w:val="000245D0"/>
    <w:rsid w:val="000251AD"/>
    <w:rsid w:val="00025522"/>
    <w:rsid w:val="000260E5"/>
    <w:rsid w:val="00026117"/>
    <w:rsid w:val="000263B4"/>
    <w:rsid w:val="000265EF"/>
    <w:rsid w:val="00026ECD"/>
    <w:rsid w:val="000272E4"/>
    <w:rsid w:val="000273BD"/>
    <w:rsid w:val="00027EBF"/>
    <w:rsid w:val="00031140"/>
    <w:rsid w:val="00031173"/>
    <w:rsid w:val="000320C6"/>
    <w:rsid w:val="00032CAE"/>
    <w:rsid w:val="00032D0A"/>
    <w:rsid w:val="0003306A"/>
    <w:rsid w:val="00034A0F"/>
    <w:rsid w:val="0003525F"/>
    <w:rsid w:val="0003623B"/>
    <w:rsid w:val="00036870"/>
    <w:rsid w:val="00036C16"/>
    <w:rsid w:val="0003727C"/>
    <w:rsid w:val="000402C2"/>
    <w:rsid w:val="00040454"/>
    <w:rsid w:val="00040A5A"/>
    <w:rsid w:val="00040B1F"/>
    <w:rsid w:val="00040DEA"/>
    <w:rsid w:val="00040F7E"/>
    <w:rsid w:val="00041591"/>
    <w:rsid w:val="000419D4"/>
    <w:rsid w:val="00041F48"/>
    <w:rsid w:val="000420D9"/>
    <w:rsid w:val="0004244F"/>
    <w:rsid w:val="0004287E"/>
    <w:rsid w:val="00042E65"/>
    <w:rsid w:val="0004401C"/>
    <w:rsid w:val="00044816"/>
    <w:rsid w:val="000448DC"/>
    <w:rsid w:val="00044D61"/>
    <w:rsid w:val="00044D78"/>
    <w:rsid w:val="00046D1D"/>
    <w:rsid w:val="000470B1"/>
    <w:rsid w:val="0004711A"/>
    <w:rsid w:val="000475BE"/>
    <w:rsid w:val="00047E50"/>
    <w:rsid w:val="00050490"/>
    <w:rsid w:val="00050F5C"/>
    <w:rsid w:val="00051790"/>
    <w:rsid w:val="00052C8E"/>
    <w:rsid w:val="00052F34"/>
    <w:rsid w:val="0005314F"/>
    <w:rsid w:val="000532A7"/>
    <w:rsid w:val="000534B6"/>
    <w:rsid w:val="00053BD1"/>
    <w:rsid w:val="0005402B"/>
    <w:rsid w:val="000543FC"/>
    <w:rsid w:val="000546ED"/>
    <w:rsid w:val="0005477A"/>
    <w:rsid w:val="00055750"/>
    <w:rsid w:val="00055785"/>
    <w:rsid w:val="000557BD"/>
    <w:rsid w:val="0005696B"/>
    <w:rsid w:val="00056ED6"/>
    <w:rsid w:val="00057132"/>
    <w:rsid w:val="00057EFC"/>
    <w:rsid w:val="0006019B"/>
    <w:rsid w:val="00060E4D"/>
    <w:rsid w:val="00060F6E"/>
    <w:rsid w:val="000611A7"/>
    <w:rsid w:val="00061470"/>
    <w:rsid w:val="000616F6"/>
    <w:rsid w:val="00062093"/>
    <w:rsid w:val="00062AC2"/>
    <w:rsid w:val="00063521"/>
    <w:rsid w:val="0006390C"/>
    <w:rsid w:val="00064283"/>
    <w:rsid w:val="0006571E"/>
    <w:rsid w:val="00065AFA"/>
    <w:rsid w:val="000663AB"/>
    <w:rsid w:val="00066C0B"/>
    <w:rsid w:val="00066D22"/>
    <w:rsid w:val="00066EF7"/>
    <w:rsid w:val="00067456"/>
    <w:rsid w:val="0006750D"/>
    <w:rsid w:val="00067C75"/>
    <w:rsid w:val="00070851"/>
    <w:rsid w:val="00071102"/>
    <w:rsid w:val="0007162D"/>
    <w:rsid w:val="00071E9D"/>
    <w:rsid w:val="00072300"/>
    <w:rsid w:val="00072AFC"/>
    <w:rsid w:val="00072CAB"/>
    <w:rsid w:val="0007306F"/>
    <w:rsid w:val="00073181"/>
    <w:rsid w:val="000734E6"/>
    <w:rsid w:val="00073712"/>
    <w:rsid w:val="00075822"/>
    <w:rsid w:val="00075AA2"/>
    <w:rsid w:val="00075ADE"/>
    <w:rsid w:val="000765B8"/>
    <w:rsid w:val="00076E49"/>
    <w:rsid w:val="00076E7C"/>
    <w:rsid w:val="0007705F"/>
    <w:rsid w:val="00077629"/>
    <w:rsid w:val="0007791D"/>
    <w:rsid w:val="00077A69"/>
    <w:rsid w:val="00080026"/>
    <w:rsid w:val="00080083"/>
    <w:rsid w:val="000800DF"/>
    <w:rsid w:val="000800E2"/>
    <w:rsid w:val="00080B05"/>
    <w:rsid w:val="00080E08"/>
    <w:rsid w:val="00081EAA"/>
    <w:rsid w:val="00082179"/>
    <w:rsid w:val="00082C33"/>
    <w:rsid w:val="00084E85"/>
    <w:rsid w:val="0008561F"/>
    <w:rsid w:val="00086357"/>
    <w:rsid w:val="00086B54"/>
    <w:rsid w:val="00086FC7"/>
    <w:rsid w:val="00087091"/>
    <w:rsid w:val="00091031"/>
    <w:rsid w:val="0009113B"/>
    <w:rsid w:val="0009151D"/>
    <w:rsid w:val="0009161C"/>
    <w:rsid w:val="00091675"/>
    <w:rsid w:val="00092663"/>
    <w:rsid w:val="00092972"/>
    <w:rsid w:val="00092CF7"/>
    <w:rsid w:val="00093CCF"/>
    <w:rsid w:val="0009400D"/>
    <w:rsid w:val="000944D2"/>
    <w:rsid w:val="00094774"/>
    <w:rsid w:val="00094A2B"/>
    <w:rsid w:val="00095303"/>
    <w:rsid w:val="00095637"/>
    <w:rsid w:val="000961E7"/>
    <w:rsid w:val="00096205"/>
    <w:rsid w:val="0009694A"/>
    <w:rsid w:val="00096988"/>
    <w:rsid w:val="00097060"/>
    <w:rsid w:val="00097A5A"/>
    <w:rsid w:val="00097C0F"/>
    <w:rsid w:val="000A01E6"/>
    <w:rsid w:val="000A0F1D"/>
    <w:rsid w:val="000A108A"/>
    <w:rsid w:val="000A19A8"/>
    <w:rsid w:val="000A1E8E"/>
    <w:rsid w:val="000A20B7"/>
    <w:rsid w:val="000A2162"/>
    <w:rsid w:val="000A21B4"/>
    <w:rsid w:val="000A2449"/>
    <w:rsid w:val="000A26BF"/>
    <w:rsid w:val="000A28C4"/>
    <w:rsid w:val="000A29CC"/>
    <w:rsid w:val="000A2D39"/>
    <w:rsid w:val="000A2E69"/>
    <w:rsid w:val="000A3B5A"/>
    <w:rsid w:val="000A3C3E"/>
    <w:rsid w:val="000A4042"/>
    <w:rsid w:val="000A4375"/>
    <w:rsid w:val="000A4509"/>
    <w:rsid w:val="000A4FD5"/>
    <w:rsid w:val="000A570F"/>
    <w:rsid w:val="000A59C0"/>
    <w:rsid w:val="000A5AD8"/>
    <w:rsid w:val="000A5D9E"/>
    <w:rsid w:val="000A692E"/>
    <w:rsid w:val="000B043C"/>
    <w:rsid w:val="000B0593"/>
    <w:rsid w:val="000B0B61"/>
    <w:rsid w:val="000B1116"/>
    <w:rsid w:val="000B16FC"/>
    <w:rsid w:val="000B1ED6"/>
    <w:rsid w:val="000B264D"/>
    <w:rsid w:val="000B2BA0"/>
    <w:rsid w:val="000B2EEF"/>
    <w:rsid w:val="000B2F94"/>
    <w:rsid w:val="000B3D5A"/>
    <w:rsid w:val="000B410A"/>
    <w:rsid w:val="000B435E"/>
    <w:rsid w:val="000B4638"/>
    <w:rsid w:val="000B472B"/>
    <w:rsid w:val="000B4AFC"/>
    <w:rsid w:val="000B4B16"/>
    <w:rsid w:val="000B5070"/>
    <w:rsid w:val="000B549F"/>
    <w:rsid w:val="000B5659"/>
    <w:rsid w:val="000B6BA9"/>
    <w:rsid w:val="000B6F07"/>
    <w:rsid w:val="000B748E"/>
    <w:rsid w:val="000C0698"/>
    <w:rsid w:val="000C0A32"/>
    <w:rsid w:val="000C0B36"/>
    <w:rsid w:val="000C0BD7"/>
    <w:rsid w:val="000C0BF4"/>
    <w:rsid w:val="000C10AC"/>
    <w:rsid w:val="000C110D"/>
    <w:rsid w:val="000C163E"/>
    <w:rsid w:val="000C1BC3"/>
    <w:rsid w:val="000C1FB9"/>
    <w:rsid w:val="000C21A5"/>
    <w:rsid w:val="000C2537"/>
    <w:rsid w:val="000C2A6D"/>
    <w:rsid w:val="000C5033"/>
    <w:rsid w:val="000C53A0"/>
    <w:rsid w:val="000C58ED"/>
    <w:rsid w:val="000C5965"/>
    <w:rsid w:val="000C6AC4"/>
    <w:rsid w:val="000C6F0A"/>
    <w:rsid w:val="000C7176"/>
    <w:rsid w:val="000C757C"/>
    <w:rsid w:val="000C7B0F"/>
    <w:rsid w:val="000D13F8"/>
    <w:rsid w:val="000D1404"/>
    <w:rsid w:val="000D1582"/>
    <w:rsid w:val="000D1765"/>
    <w:rsid w:val="000D17D6"/>
    <w:rsid w:val="000D205D"/>
    <w:rsid w:val="000D2641"/>
    <w:rsid w:val="000D28C7"/>
    <w:rsid w:val="000D2FFE"/>
    <w:rsid w:val="000D361F"/>
    <w:rsid w:val="000D380F"/>
    <w:rsid w:val="000D432F"/>
    <w:rsid w:val="000D495F"/>
    <w:rsid w:val="000D539F"/>
    <w:rsid w:val="000D57E3"/>
    <w:rsid w:val="000D652B"/>
    <w:rsid w:val="000D6C38"/>
    <w:rsid w:val="000D705B"/>
    <w:rsid w:val="000D73F8"/>
    <w:rsid w:val="000D7CDF"/>
    <w:rsid w:val="000E0E12"/>
    <w:rsid w:val="000E10D8"/>
    <w:rsid w:val="000E1BCB"/>
    <w:rsid w:val="000E20AC"/>
    <w:rsid w:val="000E2310"/>
    <w:rsid w:val="000E2B87"/>
    <w:rsid w:val="000E32E9"/>
    <w:rsid w:val="000E3B0F"/>
    <w:rsid w:val="000E3B19"/>
    <w:rsid w:val="000E3ECE"/>
    <w:rsid w:val="000E49FF"/>
    <w:rsid w:val="000E4AC8"/>
    <w:rsid w:val="000E570A"/>
    <w:rsid w:val="000E57A6"/>
    <w:rsid w:val="000E6618"/>
    <w:rsid w:val="000E6786"/>
    <w:rsid w:val="000E6F09"/>
    <w:rsid w:val="000E70C5"/>
    <w:rsid w:val="000E7130"/>
    <w:rsid w:val="000E725D"/>
    <w:rsid w:val="000E765B"/>
    <w:rsid w:val="000E7BD1"/>
    <w:rsid w:val="000F03E8"/>
    <w:rsid w:val="000F042D"/>
    <w:rsid w:val="000F0460"/>
    <w:rsid w:val="000F08D3"/>
    <w:rsid w:val="000F14FA"/>
    <w:rsid w:val="000F1BB0"/>
    <w:rsid w:val="000F2C04"/>
    <w:rsid w:val="000F39BE"/>
    <w:rsid w:val="000F48E1"/>
    <w:rsid w:val="000F51EC"/>
    <w:rsid w:val="000F607D"/>
    <w:rsid w:val="000F63FD"/>
    <w:rsid w:val="000F6526"/>
    <w:rsid w:val="000F6A11"/>
    <w:rsid w:val="000F6BAF"/>
    <w:rsid w:val="000F7222"/>
    <w:rsid w:val="000F7253"/>
    <w:rsid w:val="000F7AA1"/>
    <w:rsid w:val="000F7B4A"/>
    <w:rsid w:val="00100825"/>
    <w:rsid w:val="00100867"/>
    <w:rsid w:val="00100AFC"/>
    <w:rsid w:val="001016E9"/>
    <w:rsid w:val="00101D19"/>
    <w:rsid w:val="00102086"/>
    <w:rsid w:val="001020B0"/>
    <w:rsid w:val="00102206"/>
    <w:rsid w:val="00102AF6"/>
    <w:rsid w:val="00102BA8"/>
    <w:rsid w:val="001030D8"/>
    <w:rsid w:val="001032A5"/>
    <w:rsid w:val="00103A7B"/>
    <w:rsid w:val="00103F8E"/>
    <w:rsid w:val="00104101"/>
    <w:rsid w:val="001042BA"/>
    <w:rsid w:val="00104539"/>
    <w:rsid w:val="001051B0"/>
    <w:rsid w:val="00105377"/>
    <w:rsid w:val="00105ADF"/>
    <w:rsid w:val="0010643A"/>
    <w:rsid w:val="00106BB3"/>
    <w:rsid w:val="00107D83"/>
    <w:rsid w:val="001101B6"/>
    <w:rsid w:val="00110F12"/>
    <w:rsid w:val="00112198"/>
    <w:rsid w:val="00112541"/>
    <w:rsid w:val="00112BEE"/>
    <w:rsid w:val="00113FA6"/>
    <w:rsid w:val="00114476"/>
    <w:rsid w:val="001148AD"/>
    <w:rsid w:val="0011491A"/>
    <w:rsid w:val="00114D7F"/>
    <w:rsid w:val="00115778"/>
    <w:rsid w:val="001158EF"/>
    <w:rsid w:val="00116366"/>
    <w:rsid w:val="00116BF7"/>
    <w:rsid w:val="00117239"/>
    <w:rsid w:val="0011755E"/>
    <w:rsid w:val="00117F56"/>
    <w:rsid w:val="0012044C"/>
    <w:rsid w:val="001205E3"/>
    <w:rsid w:val="00120D73"/>
    <w:rsid w:val="00120DB6"/>
    <w:rsid w:val="00121001"/>
    <w:rsid w:val="00121E20"/>
    <w:rsid w:val="00123D23"/>
    <w:rsid w:val="00123E01"/>
    <w:rsid w:val="00123FD1"/>
    <w:rsid w:val="0012434A"/>
    <w:rsid w:val="0012453C"/>
    <w:rsid w:val="00125222"/>
    <w:rsid w:val="001252D7"/>
    <w:rsid w:val="00125F8A"/>
    <w:rsid w:val="0012600D"/>
    <w:rsid w:val="001261C0"/>
    <w:rsid w:val="00126398"/>
    <w:rsid w:val="0012643B"/>
    <w:rsid w:val="00126E33"/>
    <w:rsid w:val="0012768E"/>
    <w:rsid w:val="001301C9"/>
    <w:rsid w:val="00130C53"/>
    <w:rsid w:val="00131841"/>
    <w:rsid w:val="001319DA"/>
    <w:rsid w:val="00131F3B"/>
    <w:rsid w:val="00131F50"/>
    <w:rsid w:val="00132517"/>
    <w:rsid w:val="0013377F"/>
    <w:rsid w:val="00133ADD"/>
    <w:rsid w:val="001355C7"/>
    <w:rsid w:val="00135F91"/>
    <w:rsid w:val="001360D6"/>
    <w:rsid w:val="001366A6"/>
    <w:rsid w:val="00136FCB"/>
    <w:rsid w:val="00137C38"/>
    <w:rsid w:val="00141306"/>
    <w:rsid w:val="0014145D"/>
    <w:rsid w:val="0014180D"/>
    <w:rsid w:val="00141C2D"/>
    <w:rsid w:val="00141D9C"/>
    <w:rsid w:val="0014283D"/>
    <w:rsid w:val="001428F5"/>
    <w:rsid w:val="00142BB5"/>
    <w:rsid w:val="00143472"/>
    <w:rsid w:val="00143680"/>
    <w:rsid w:val="00143AD5"/>
    <w:rsid w:val="00143B2E"/>
    <w:rsid w:val="0014501E"/>
    <w:rsid w:val="00145B5D"/>
    <w:rsid w:val="0014614C"/>
    <w:rsid w:val="00146726"/>
    <w:rsid w:val="00146E8C"/>
    <w:rsid w:val="00146F18"/>
    <w:rsid w:val="0014713C"/>
    <w:rsid w:val="0014732A"/>
    <w:rsid w:val="0014779E"/>
    <w:rsid w:val="00147D5A"/>
    <w:rsid w:val="00151148"/>
    <w:rsid w:val="0015176D"/>
    <w:rsid w:val="00151CD1"/>
    <w:rsid w:val="00151D04"/>
    <w:rsid w:val="001523F3"/>
    <w:rsid w:val="001528B3"/>
    <w:rsid w:val="00152E2A"/>
    <w:rsid w:val="00152F0F"/>
    <w:rsid w:val="00152F36"/>
    <w:rsid w:val="0015310B"/>
    <w:rsid w:val="0015330B"/>
    <w:rsid w:val="00153E35"/>
    <w:rsid w:val="001545E8"/>
    <w:rsid w:val="00154E63"/>
    <w:rsid w:val="00154ECF"/>
    <w:rsid w:val="00155021"/>
    <w:rsid w:val="00155B70"/>
    <w:rsid w:val="00156E09"/>
    <w:rsid w:val="00157492"/>
    <w:rsid w:val="0015770E"/>
    <w:rsid w:val="00157C9E"/>
    <w:rsid w:val="00157FB4"/>
    <w:rsid w:val="00157FCC"/>
    <w:rsid w:val="00160330"/>
    <w:rsid w:val="00160939"/>
    <w:rsid w:val="00161319"/>
    <w:rsid w:val="00161FC2"/>
    <w:rsid w:val="00162EA5"/>
    <w:rsid w:val="00163425"/>
    <w:rsid w:val="0016390F"/>
    <w:rsid w:val="00163DE3"/>
    <w:rsid w:val="0016463C"/>
    <w:rsid w:val="00164671"/>
    <w:rsid w:val="001646CC"/>
    <w:rsid w:val="00164E2D"/>
    <w:rsid w:val="0016530A"/>
    <w:rsid w:val="0016552D"/>
    <w:rsid w:val="001657CC"/>
    <w:rsid w:val="0016651C"/>
    <w:rsid w:val="001678ED"/>
    <w:rsid w:val="00167CA2"/>
    <w:rsid w:val="00170AD0"/>
    <w:rsid w:val="00171228"/>
    <w:rsid w:val="001716E7"/>
    <w:rsid w:val="00171A55"/>
    <w:rsid w:val="00171AF3"/>
    <w:rsid w:val="00171F94"/>
    <w:rsid w:val="00172843"/>
    <w:rsid w:val="00172B10"/>
    <w:rsid w:val="00172DF3"/>
    <w:rsid w:val="00172E95"/>
    <w:rsid w:val="00173059"/>
    <w:rsid w:val="001730EB"/>
    <w:rsid w:val="00173461"/>
    <w:rsid w:val="00173B1B"/>
    <w:rsid w:val="00174828"/>
    <w:rsid w:val="00175869"/>
    <w:rsid w:val="0017611B"/>
    <w:rsid w:val="001767C8"/>
    <w:rsid w:val="00176A30"/>
    <w:rsid w:val="00176ABA"/>
    <w:rsid w:val="00176C98"/>
    <w:rsid w:val="001773B5"/>
    <w:rsid w:val="001777FC"/>
    <w:rsid w:val="0018064C"/>
    <w:rsid w:val="0018097B"/>
    <w:rsid w:val="0018104C"/>
    <w:rsid w:val="001815FE"/>
    <w:rsid w:val="001817C0"/>
    <w:rsid w:val="00181DC5"/>
    <w:rsid w:val="0018225F"/>
    <w:rsid w:val="00182744"/>
    <w:rsid w:val="0018289D"/>
    <w:rsid w:val="001836C1"/>
    <w:rsid w:val="00183DD2"/>
    <w:rsid w:val="00184460"/>
    <w:rsid w:val="001847CC"/>
    <w:rsid w:val="00184F16"/>
    <w:rsid w:val="001857F1"/>
    <w:rsid w:val="00185D84"/>
    <w:rsid w:val="001862D8"/>
    <w:rsid w:val="001867AC"/>
    <w:rsid w:val="0019013D"/>
    <w:rsid w:val="0019049F"/>
    <w:rsid w:val="001905A7"/>
    <w:rsid w:val="00190824"/>
    <w:rsid w:val="00190CD3"/>
    <w:rsid w:val="00191016"/>
    <w:rsid w:val="00191BD5"/>
    <w:rsid w:val="001927C5"/>
    <w:rsid w:val="001939CF"/>
    <w:rsid w:val="001943F4"/>
    <w:rsid w:val="001944F2"/>
    <w:rsid w:val="00194AB7"/>
    <w:rsid w:val="00194BDC"/>
    <w:rsid w:val="00195AA5"/>
    <w:rsid w:val="00196BD1"/>
    <w:rsid w:val="00197761"/>
    <w:rsid w:val="001A03C3"/>
    <w:rsid w:val="001A082E"/>
    <w:rsid w:val="001A09AA"/>
    <w:rsid w:val="001A0AD8"/>
    <w:rsid w:val="001A0F10"/>
    <w:rsid w:val="001A1383"/>
    <w:rsid w:val="001A175D"/>
    <w:rsid w:val="001A1B60"/>
    <w:rsid w:val="001A3932"/>
    <w:rsid w:val="001A40F9"/>
    <w:rsid w:val="001A495B"/>
    <w:rsid w:val="001A53B7"/>
    <w:rsid w:val="001A5A27"/>
    <w:rsid w:val="001A63C5"/>
    <w:rsid w:val="001A725B"/>
    <w:rsid w:val="001A77C6"/>
    <w:rsid w:val="001A7B34"/>
    <w:rsid w:val="001A7DA4"/>
    <w:rsid w:val="001A7F1E"/>
    <w:rsid w:val="001A7FCF"/>
    <w:rsid w:val="001B0022"/>
    <w:rsid w:val="001B025D"/>
    <w:rsid w:val="001B0521"/>
    <w:rsid w:val="001B116E"/>
    <w:rsid w:val="001B130E"/>
    <w:rsid w:val="001B1471"/>
    <w:rsid w:val="001B2305"/>
    <w:rsid w:val="001B2401"/>
    <w:rsid w:val="001B26C8"/>
    <w:rsid w:val="001B27CA"/>
    <w:rsid w:val="001B2CBA"/>
    <w:rsid w:val="001B3615"/>
    <w:rsid w:val="001B3C43"/>
    <w:rsid w:val="001B43F4"/>
    <w:rsid w:val="001B5451"/>
    <w:rsid w:val="001B5952"/>
    <w:rsid w:val="001B70CC"/>
    <w:rsid w:val="001B7CE6"/>
    <w:rsid w:val="001B7DEA"/>
    <w:rsid w:val="001B7E46"/>
    <w:rsid w:val="001B7EEC"/>
    <w:rsid w:val="001C000B"/>
    <w:rsid w:val="001C0197"/>
    <w:rsid w:val="001C0547"/>
    <w:rsid w:val="001C054D"/>
    <w:rsid w:val="001C0B82"/>
    <w:rsid w:val="001C0E72"/>
    <w:rsid w:val="001C0FA3"/>
    <w:rsid w:val="001C1585"/>
    <w:rsid w:val="001C1E7B"/>
    <w:rsid w:val="001C2EDC"/>
    <w:rsid w:val="001C380E"/>
    <w:rsid w:val="001C3A5D"/>
    <w:rsid w:val="001C3C99"/>
    <w:rsid w:val="001C3D93"/>
    <w:rsid w:val="001C3E59"/>
    <w:rsid w:val="001C44AA"/>
    <w:rsid w:val="001C47DF"/>
    <w:rsid w:val="001C4D7A"/>
    <w:rsid w:val="001C513F"/>
    <w:rsid w:val="001C5266"/>
    <w:rsid w:val="001C5A12"/>
    <w:rsid w:val="001C5ADF"/>
    <w:rsid w:val="001C6489"/>
    <w:rsid w:val="001C6AB8"/>
    <w:rsid w:val="001C6DE3"/>
    <w:rsid w:val="001C750C"/>
    <w:rsid w:val="001C77B0"/>
    <w:rsid w:val="001C78DF"/>
    <w:rsid w:val="001D0641"/>
    <w:rsid w:val="001D0F47"/>
    <w:rsid w:val="001D1131"/>
    <w:rsid w:val="001D2273"/>
    <w:rsid w:val="001D23FE"/>
    <w:rsid w:val="001D29BE"/>
    <w:rsid w:val="001D2F2A"/>
    <w:rsid w:val="001D2F54"/>
    <w:rsid w:val="001D3436"/>
    <w:rsid w:val="001D40F1"/>
    <w:rsid w:val="001D4401"/>
    <w:rsid w:val="001D473F"/>
    <w:rsid w:val="001D4F4A"/>
    <w:rsid w:val="001D573D"/>
    <w:rsid w:val="001D5980"/>
    <w:rsid w:val="001D5B12"/>
    <w:rsid w:val="001D5C99"/>
    <w:rsid w:val="001D619F"/>
    <w:rsid w:val="001D6D27"/>
    <w:rsid w:val="001D75A5"/>
    <w:rsid w:val="001D7960"/>
    <w:rsid w:val="001D7EC8"/>
    <w:rsid w:val="001E000E"/>
    <w:rsid w:val="001E0215"/>
    <w:rsid w:val="001E06D5"/>
    <w:rsid w:val="001E0757"/>
    <w:rsid w:val="001E07F5"/>
    <w:rsid w:val="001E0BB0"/>
    <w:rsid w:val="001E1630"/>
    <w:rsid w:val="001E16FA"/>
    <w:rsid w:val="001E17A0"/>
    <w:rsid w:val="001E1E71"/>
    <w:rsid w:val="001E2A71"/>
    <w:rsid w:val="001E2D12"/>
    <w:rsid w:val="001E3595"/>
    <w:rsid w:val="001E39AC"/>
    <w:rsid w:val="001E3B3F"/>
    <w:rsid w:val="001E402F"/>
    <w:rsid w:val="001E427F"/>
    <w:rsid w:val="001E48D1"/>
    <w:rsid w:val="001E4CC0"/>
    <w:rsid w:val="001E4F8A"/>
    <w:rsid w:val="001E52DA"/>
    <w:rsid w:val="001E5652"/>
    <w:rsid w:val="001E5904"/>
    <w:rsid w:val="001E5B4A"/>
    <w:rsid w:val="001E5E5C"/>
    <w:rsid w:val="001E671E"/>
    <w:rsid w:val="001E68DA"/>
    <w:rsid w:val="001F0991"/>
    <w:rsid w:val="001F0DB9"/>
    <w:rsid w:val="001F129E"/>
    <w:rsid w:val="001F1C58"/>
    <w:rsid w:val="001F1F18"/>
    <w:rsid w:val="001F253F"/>
    <w:rsid w:val="001F254F"/>
    <w:rsid w:val="001F2C25"/>
    <w:rsid w:val="001F2EB1"/>
    <w:rsid w:val="001F37C2"/>
    <w:rsid w:val="001F4010"/>
    <w:rsid w:val="001F5733"/>
    <w:rsid w:val="001F58A1"/>
    <w:rsid w:val="001F5970"/>
    <w:rsid w:val="001F60A3"/>
    <w:rsid w:val="001F63A2"/>
    <w:rsid w:val="001F78F8"/>
    <w:rsid w:val="001F7A7F"/>
    <w:rsid w:val="001F7D70"/>
    <w:rsid w:val="00200B0D"/>
    <w:rsid w:val="0020224A"/>
    <w:rsid w:val="00202330"/>
    <w:rsid w:val="00202670"/>
    <w:rsid w:val="0020314D"/>
    <w:rsid w:val="00203326"/>
    <w:rsid w:val="002036D8"/>
    <w:rsid w:val="00203806"/>
    <w:rsid w:val="00203C83"/>
    <w:rsid w:val="002040A4"/>
    <w:rsid w:val="00204494"/>
    <w:rsid w:val="00204752"/>
    <w:rsid w:val="00205218"/>
    <w:rsid w:val="00205284"/>
    <w:rsid w:val="00205384"/>
    <w:rsid w:val="00207938"/>
    <w:rsid w:val="00207AA8"/>
    <w:rsid w:val="00207C15"/>
    <w:rsid w:val="00207C77"/>
    <w:rsid w:val="002103D7"/>
    <w:rsid w:val="00210592"/>
    <w:rsid w:val="00210B94"/>
    <w:rsid w:val="00210F2B"/>
    <w:rsid w:val="002122BA"/>
    <w:rsid w:val="002122EB"/>
    <w:rsid w:val="002126BD"/>
    <w:rsid w:val="0021279F"/>
    <w:rsid w:val="00213185"/>
    <w:rsid w:val="002134B8"/>
    <w:rsid w:val="00213B2C"/>
    <w:rsid w:val="00213B9D"/>
    <w:rsid w:val="00213BB2"/>
    <w:rsid w:val="00213D45"/>
    <w:rsid w:val="00214291"/>
    <w:rsid w:val="0021497D"/>
    <w:rsid w:val="00214C16"/>
    <w:rsid w:val="0021567E"/>
    <w:rsid w:val="0021574A"/>
    <w:rsid w:val="00216172"/>
    <w:rsid w:val="0021715C"/>
    <w:rsid w:val="00217B03"/>
    <w:rsid w:val="00221103"/>
    <w:rsid w:val="002216D8"/>
    <w:rsid w:val="00221739"/>
    <w:rsid w:val="00222E14"/>
    <w:rsid w:val="00223772"/>
    <w:rsid w:val="00223A0F"/>
    <w:rsid w:val="00224122"/>
    <w:rsid w:val="00224143"/>
    <w:rsid w:val="00224249"/>
    <w:rsid w:val="00225E3B"/>
    <w:rsid w:val="00225FB9"/>
    <w:rsid w:val="002263FE"/>
    <w:rsid w:val="00227140"/>
    <w:rsid w:val="002278E0"/>
    <w:rsid w:val="0023006A"/>
    <w:rsid w:val="00230285"/>
    <w:rsid w:val="00230813"/>
    <w:rsid w:val="00231133"/>
    <w:rsid w:val="00231156"/>
    <w:rsid w:val="00231858"/>
    <w:rsid w:val="00231BD2"/>
    <w:rsid w:val="002323C1"/>
    <w:rsid w:val="0023272A"/>
    <w:rsid w:val="00232CBC"/>
    <w:rsid w:val="00232FF9"/>
    <w:rsid w:val="00233072"/>
    <w:rsid w:val="00233C7A"/>
    <w:rsid w:val="00233FBB"/>
    <w:rsid w:val="002341D4"/>
    <w:rsid w:val="00234BC8"/>
    <w:rsid w:val="00234F3E"/>
    <w:rsid w:val="0023556E"/>
    <w:rsid w:val="00236BB4"/>
    <w:rsid w:val="002379D1"/>
    <w:rsid w:val="00237BEB"/>
    <w:rsid w:val="00237C0A"/>
    <w:rsid w:val="0024016F"/>
    <w:rsid w:val="0024046D"/>
    <w:rsid w:val="00240731"/>
    <w:rsid w:val="002419BC"/>
    <w:rsid w:val="00241BC2"/>
    <w:rsid w:val="00241F26"/>
    <w:rsid w:val="00241FD8"/>
    <w:rsid w:val="002422FF"/>
    <w:rsid w:val="0024250E"/>
    <w:rsid w:val="0024253B"/>
    <w:rsid w:val="00242990"/>
    <w:rsid w:val="00242F8B"/>
    <w:rsid w:val="002434CC"/>
    <w:rsid w:val="00243ACA"/>
    <w:rsid w:val="002440AF"/>
    <w:rsid w:val="002441C8"/>
    <w:rsid w:val="00244455"/>
    <w:rsid w:val="0024465A"/>
    <w:rsid w:val="00244B7B"/>
    <w:rsid w:val="00245199"/>
    <w:rsid w:val="002453F6"/>
    <w:rsid w:val="00246301"/>
    <w:rsid w:val="0024641D"/>
    <w:rsid w:val="002464CA"/>
    <w:rsid w:val="00246A09"/>
    <w:rsid w:val="00246D7B"/>
    <w:rsid w:val="00246E62"/>
    <w:rsid w:val="00246F54"/>
    <w:rsid w:val="00247D11"/>
    <w:rsid w:val="002501DA"/>
    <w:rsid w:val="002505F8"/>
    <w:rsid w:val="002509D7"/>
    <w:rsid w:val="00250F57"/>
    <w:rsid w:val="002512B4"/>
    <w:rsid w:val="00252CDD"/>
    <w:rsid w:val="00252FF2"/>
    <w:rsid w:val="0025323F"/>
    <w:rsid w:val="002532AE"/>
    <w:rsid w:val="00253705"/>
    <w:rsid w:val="002541A2"/>
    <w:rsid w:val="00254643"/>
    <w:rsid w:val="00254737"/>
    <w:rsid w:val="00254F18"/>
    <w:rsid w:val="00255371"/>
    <w:rsid w:val="00255A7C"/>
    <w:rsid w:val="00255E40"/>
    <w:rsid w:val="002567C5"/>
    <w:rsid w:val="00256FC4"/>
    <w:rsid w:val="00257477"/>
    <w:rsid w:val="002574A7"/>
    <w:rsid w:val="002574E9"/>
    <w:rsid w:val="00257BA5"/>
    <w:rsid w:val="00257E82"/>
    <w:rsid w:val="00257F97"/>
    <w:rsid w:val="00257FBC"/>
    <w:rsid w:val="00257FBD"/>
    <w:rsid w:val="00261709"/>
    <w:rsid w:val="00262319"/>
    <w:rsid w:val="002623E0"/>
    <w:rsid w:val="00262B71"/>
    <w:rsid w:val="0026330B"/>
    <w:rsid w:val="0026343B"/>
    <w:rsid w:val="00263559"/>
    <w:rsid w:val="002636D9"/>
    <w:rsid w:val="00263F0D"/>
    <w:rsid w:val="0026402D"/>
    <w:rsid w:val="0026410D"/>
    <w:rsid w:val="0026412B"/>
    <w:rsid w:val="0026486E"/>
    <w:rsid w:val="00264C3F"/>
    <w:rsid w:val="00264FE1"/>
    <w:rsid w:val="002655D5"/>
    <w:rsid w:val="00265A34"/>
    <w:rsid w:val="00265FE7"/>
    <w:rsid w:val="0026620F"/>
    <w:rsid w:val="002663D0"/>
    <w:rsid w:val="00266F2E"/>
    <w:rsid w:val="00267870"/>
    <w:rsid w:val="00267BCD"/>
    <w:rsid w:val="00267F05"/>
    <w:rsid w:val="0027119C"/>
    <w:rsid w:val="002713CD"/>
    <w:rsid w:val="00271FE5"/>
    <w:rsid w:val="00272510"/>
    <w:rsid w:val="002726D0"/>
    <w:rsid w:val="00272773"/>
    <w:rsid w:val="00272AEB"/>
    <w:rsid w:val="00272C49"/>
    <w:rsid w:val="00272DDC"/>
    <w:rsid w:val="00274031"/>
    <w:rsid w:val="00274528"/>
    <w:rsid w:val="00274548"/>
    <w:rsid w:val="00275519"/>
    <w:rsid w:val="002758DB"/>
    <w:rsid w:val="00275CA4"/>
    <w:rsid w:val="00275EEA"/>
    <w:rsid w:val="002767AA"/>
    <w:rsid w:val="002769CD"/>
    <w:rsid w:val="00276FAB"/>
    <w:rsid w:val="00280CDD"/>
    <w:rsid w:val="00281096"/>
    <w:rsid w:val="0028114A"/>
    <w:rsid w:val="0028115A"/>
    <w:rsid w:val="002812A4"/>
    <w:rsid w:val="00282236"/>
    <w:rsid w:val="00282F59"/>
    <w:rsid w:val="00283305"/>
    <w:rsid w:val="00283D3C"/>
    <w:rsid w:val="002850B6"/>
    <w:rsid w:val="0028552F"/>
    <w:rsid w:val="002860EE"/>
    <w:rsid w:val="0028650C"/>
    <w:rsid w:val="002866CB"/>
    <w:rsid w:val="00286AAD"/>
    <w:rsid w:val="00286B37"/>
    <w:rsid w:val="002875DF"/>
    <w:rsid w:val="002878D6"/>
    <w:rsid w:val="0028793E"/>
    <w:rsid w:val="00290806"/>
    <w:rsid w:val="002908F6"/>
    <w:rsid w:val="0029099C"/>
    <w:rsid w:val="00290C6C"/>
    <w:rsid w:val="00290D86"/>
    <w:rsid w:val="00291DE5"/>
    <w:rsid w:val="002929DD"/>
    <w:rsid w:val="00293260"/>
    <w:rsid w:val="00293976"/>
    <w:rsid w:val="00293991"/>
    <w:rsid w:val="00293E63"/>
    <w:rsid w:val="00294139"/>
    <w:rsid w:val="00294190"/>
    <w:rsid w:val="00294403"/>
    <w:rsid w:val="00294C29"/>
    <w:rsid w:val="00295F12"/>
    <w:rsid w:val="0029619A"/>
    <w:rsid w:val="0029624A"/>
    <w:rsid w:val="0029651E"/>
    <w:rsid w:val="00296A88"/>
    <w:rsid w:val="00296CC1"/>
    <w:rsid w:val="00296D62"/>
    <w:rsid w:val="00296E44"/>
    <w:rsid w:val="00296F5F"/>
    <w:rsid w:val="00297026"/>
    <w:rsid w:val="002975AA"/>
    <w:rsid w:val="0029779E"/>
    <w:rsid w:val="002A00CD"/>
    <w:rsid w:val="002A06EB"/>
    <w:rsid w:val="002A0EBC"/>
    <w:rsid w:val="002A1675"/>
    <w:rsid w:val="002A1967"/>
    <w:rsid w:val="002A1FA4"/>
    <w:rsid w:val="002A20BC"/>
    <w:rsid w:val="002A2198"/>
    <w:rsid w:val="002A21FD"/>
    <w:rsid w:val="002A232F"/>
    <w:rsid w:val="002A315E"/>
    <w:rsid w:val="002A3CAF"/>
    <w:rsid w:val="002A414B"/>
    <w:rsid w:val="002A4A5E"/>
    <w:rsid w:val="002A4EF1"/>
    <w:rsid w:val="002A5D5F"/>
    <w:rsid w:val="002A5F54"/>
    <w:rsid w:val="002A6080"/>
    <w:rsid w:val="002A621A"/>
    <w:rsid w:val="002A6752"/>
    <w:rsid w:val="002A6993"/>
    <w:rsid w:val="002A6C23"/>
    <w:rsid w:val="002A6DF4"/>
    <w:rsid w:val="002A729F"/>
    <w:rsid w:val="002A73F8"/>
    <w:rsid w:val="002A7948"/>
    <w:rsid w:val="002B0C83"/>
    <w:rsid w:val="002B0CD8"/>
    <w:rsid w:val="002B20C4"/>
    <w:rsid w:val="002B27E4"/>
    <w:rsid w:val="002B2832"/>
    <w:rsid w:val="002B33C7"/>
    <w:rsid w:val="002B3D3E"/>
    <w:rsid w:val="002B4156"/>
    <w:rsid w:val="002B4198"/>
    <w:rsid w:val="002B4A0E"/>
    <w:rsid w:val="002B4D92"/>
    <w:rsid w:val="002B52F5"/>
    <w:rsid w:val="002B5753"/>
    <w:rsid w:val="002B59FA"/>
    <w:rsid w:val="002B5E85"/>
    <w:rsid w:val="002B6313"/>
    <w:rsid w:val="002B71BC"/>
    <w:rsid w:val="002B74AD"/>
    <w:rsid w:val="002B75FE"/>
    <w:rsid w:val="002B7DE5"/>
    <w:rsid w:val="002B7ED5"/>
    <w:rsid w:val="002C0CBE"/>
    <w:rsid w:val="002C1423"/>
    <w:rsid w:val="002C15AF"/>
    <w:rsid w:val="002C1BE3"/>
    <w:rsid w:val="002C2339"/>
    <w:rsid w:val="002C2A75"/>
    <w:rsid w:val="002C3139"/>
    <w:rsid w:val="002C387B"/>
    <w:rsid w:val="002C39BC"/>
    <w:rsid w:val="002C3A03"/>
    <w:rsid w:val="002C3A4C"/>
    <w:rsid w:val="002C3E0F"/>
    <w:rsid w:val="002C3EA4"/>
    <w:rsid w:val="002C42B2"/>
    <w:rsid w:val="002C46F4"/>
    <w:rsid w:val="002C46F7"/>
    <w:rsid w:val="002C4B37"/>
    <w:rsid w:val="002C5710"/>
    <w:rsid w:val="002C5B64"/>
    <w:rsid w:val="002C5C18"/>
    <w:rsid w:val="002C5F63"/>
    <w:rsid w:val="002C6126"/>
    <w:rsid w:val="002C6817"/>
    <w:rsid w:val="002C7546"/>
    <w:rsid w:val="002C7B6F"/>
    <w:rsid w:val="002D0518"/>
    <w:rsid w:val="002D0E85"/>
    <w:rsid w:val="002D17A1"/>
    <w:rsid w:val="002D1E10"/>
    <w:rsid w:val="002D200E"/>
    <w:rsid w:val="002D2444"/>
    <w:rsid w:val="002D2837"/>
    <w:rsid w:val="002D4653"/>
    <w:rsid w:val="002D4A9B"/>
    <w:rsid w:val="002D4D2D"/>
    <w:rsid w:val="002D4F28"/>
    <w:rsid w:val="002D6FA4"/>
    <w:rsid w:val="002D764C"/>
    <w:rsid w:val="002D7D22"/>
    <w:rsid w:val="002D7FF6"/>
    <w:rsid w:val="002E0032"/>
    <w:rsid w:val="002E0292"/>
    <w:rsid w:val="002E11A8"/>
    <w:rsid w:val="002E12EB"/>
    <w:rsid w:val="002E132D"/>
    <w:rsid w:val="002E137D"/>
    <w:rsid w:val="002E1C73"/>
    <w:rsid w:val="002E2956"/>
    <w:rsid w:val="002E3516"/>
    <w:rsid w:val="002E3FD6"/>
    <w:rsid w:val="002E4119"/>
    <w:rsid w:val="002E42CD"/>
    <w:rsid w:val="002E461B"/>
    <w:rsid w:val="002E4844"/>
    <w:rsid w:val="002E53F4"/>
    <w:rsid w:val="002E5703"/>
    <w:rsid w:val="002E58B7"/>
    <w:rsid w:val="002E5E23"/>
    <w:rsid w:val="002E64B9"/>
    <w:rsid w:val="002E6763"/>
    <w:rsid w:val="002E6A3A"/>
    <w:rsid w:val="002E6BB1"/>
    <w:rsid w:val="002E6DA7"/>
    <w:rsid w:val="002E7167"/>
    <w:rsid w:val="002E7A63"/>
    <w:rsid w:val="002F0165"/>
    <w:rsid w:val="002F0941"/>
    <w:rsid w:val="002F0E0C"/>
    <w:rsid w:val="002F0E42"/>
    <w:rsid w:val="002F13C1"/>
    <w:rsid w:val="002F14AC"/>
    <w:rsid w:val="002F1AAD"/>
    <w:rsid w:val="002F2EB2"/>
    <w:rsid w:val="002F410C"/>
    <w:rsid w:val="002F4450"/>
    <w:rsid w:val="002F47BA"/>
    <w:rsid w:val="002F4929"/>
    <w:rsid w:val="002F5542"/>
    <w:rsid w:val="002F561B"/>
    <w:rsid w:val="002F5B83"/>
    <w:rsid w:val="002F6250"/>
    <w:rsid w:val="002F63C8"/>
    <w:rsid w:val="002F6515"/>
    <w:rsid w:val="002F6623"/>
    <w:rsid w:val="002F6A14"/>
    <w:rsid w:val="002F6D0D"/>
    <w:rsid w:val="002F6FEE"/>
    <w:rsid w:val="002F7B9E"/>
    <w:rsid w:val="002F7C08"/>
    <w:rsid w:val="00300892"/>
    <w:rsid w:val="00300FA6"/>
    <w:rsid w:val="0030189E"/>
    <w:rsid w:val="00302566"/>
    <w:rsid w:val="003028AA"/>
    <w:rsid w:val="00304380"/>
    <w:rsid w:val="0030585A"/>
    <w:rsid w:val="00306A3A"/>
    <w:rsid w:val="00306B1F"/>
    <w:rsid w:val="00306E07"/>
    <w:rsid w:val="00306FB3"/>
    <w:rsid w:val="003074A7"/>
    <w:rsid w:val="0030778A"/>
    <w:rsid w:val="00307BB9"/>
    <w:rsid w:val="003102A7"/>
    <w:rsid w:val="0031075F"/>
    <w:rsid w:val="00310A9A"/>
    <w:rsid w:val="00310D8A"/>
    <w:rsid w:val="00311EAE"/>
    <w:rsid w:val="0031245C"/>
    <w:rsid w:val="00312FFF"/>
    <w:rsid w:val="0031356E"/>
    <w:rsid w:val="003140CE"/>
    <w:rsid w:val="0031471B"/>
    <w:rsid w:val="003147C9"/>
    <w:rsid w:val="00314BE8"/>
    <w:rsid w:val="003155B9"/>
    <w:rsid w:val="00315AA7"/>
    <w:rsid w:val="00315BBD"/>
    <w:rsid w:val="00315ED1"/>
    <w:rsid w:val="00316DAC"/>
    <w:rsid w:val="00317188"/>
    <w:rsid w:val="003171C1"/>
    <w:rsid w:val="00320CF6"/>
    <w:rsid w:val="00321687"/>
    <w:rsid w:val="00321AE6"/>
    <w:rsid w:val="00322289"/>
    <w:rsid w:val="00324BE6"/>
    <w:rsid w:val="00325F76"/>
    <w:rsid w:val="00326D8D"/>
    <w:rsid w:val="003270DC"/>
    <w:rsid w:val="00327C78"/>
    <w:rsid w:val="00327F80"/>
    <w:rsid w:val="0033024E"/>
    <w:rsid w:val="00332417"/>
    <w:rsid w:val="0033291A"/>
    <w:rsid w:val="00332DDD"/>
    <w:rsid w:val="00333620"/>
    <w:rsid w:val="003337D5"/>
    <w:rsid w:val="003342A6"/>
    <w:rsid w:val="00334840"/>
    <w:rsid w:val="00334FA4"/>
    <w:rsid w:val="00335BCB"/>
    <w:rsid w:val="00335CF0"/>
    <w:rsid w:val="00336678"/>
    <w:rsid w:val="00337289"/>
    <w:rsid w:val="00337427"/>
    <w:rsid w:val="00337C35"/>
    <w:rsid w:val="0034069C"/>
    <w:rsid w:val="0034097C"/>
    <w:rsid w:val="00341B13"/>
    <w:rsid w:val="00341B22"/>
    <w:rsid w:val="00341CFC"/>
    <w:rsid w:val="00341DE6"/>
    <w:rsid w:val="0034200C"/>
    <w:rsid w:val="0034213A"/>
    <w:rsid w:val="00342AF2"/>
    <w:rsid w:val="00342B0E"/>
    <w:rsid w:val="00343469"/>
    <w:rsid w:val="00343C04"/>
    <w:rsid w:val="00344754"/>
    <w:rsid w:val="00344981"/>
    <w:rsid w:val="003450EB"/>
    <w:rsid w:val="00345D97"/>
    <w:rsid w:val="00346449"/>
    <w:rsid w:val="00346734"/>
    <w:rsid w:val="00346795"/>
    <w:rsid w:val="00346799"/>
    <w:rsid w:val="003473FE"/>
    <w:rsid w:val="00347550"/>
    <w:rsid w:val="003475AE"/>
    <w:rsid w:val="00347888"/>
    <w:rsid w:val="00347B41"/>
    <w:rsid w:val="00347E5F"/>
    <w:rsid w:val="00347E90"/>
    <w:rsid w:val="00350883"/>
    <w:rsid w:val="003508F9"/>
    <w:rsid w:val="00350C0C"/>
    <w:rsid w:val="00350D6E"/>
    <w:rsid w:val="00350D71"/>
    <w:rsid w:val="00351000"/>
    <w:rsid w:val="00351560"/>
    <w:rsid w:val="00351C26"/>
    <w:rsid w:val="00352030"/>
    <w:rsid w:val="00352D61"/>
    <w:rsid w:val="00352EE1"/>
    <w:rsid w:val="0035306E"/>
    <w:rsid w:val="003538A2"/>
    <w:rsid w:val="00353A7A"/>
    <w:rsid w:val="00353F1E"/>
    <w:rsid w:val="00354F71"/>
    <w:rsid w:val="0035602C"/>
    <w:rsid w:val="0035690E"/>
    <w:rsid w:val="00356F2E"/>
    <w:rsid w:val="00356F6B"/>
    <w:rsid w:val="00357404"/>
    <w:rsid w:val="00357808"/>
    <w:rsid w:val="00357C6A"/>
    <w:rsid w:val="00357F65"/>
    <w:rsid w:val="003600D9"/>
    <w:rsid w:val="003604E6"/>
    <w:rsid w:val="00360502"/>
    <w:rsid w:val="00360E5A"/>
    <w:rsid w:val="00361239"/>
    <w:rsid w:val="00361301"/>
    <w:rsid w:val="003634D3"/>
    <w:rsid w:val="00363A5C"/>
    <w:rsid w:val="00363B6F"/>
    <w:rsid w:val="00363E6B"/>
    <w:rsid w:val="00364A57"/>
    <w:rsid w:val="00365B20"/>
    <w:rsid w:val="00365D06"/>
    <w:rsid w:val="00365FE9"/>
    <w:rsid w:val="003669B2"/>
    <w:rsid w:val="00366A7B"/>
    <w:rsid w:val="00366C9E"/>
    <w:rsid w:val="00366D9D"/>
    <w:rsid w:val="00366FD5"/>
    <w:rsid w:val="00367015"/>
    <w:rsid w:val="00367991"/>
    <w:rsid w:val="00367C40"/>
    <w:rsid w:val="00367FC5"/>
    <w:rsid w:val="003703D7"/>
    <w:rsid w:val="00371170"/>
    <w:rsid w:val="0037125C"/>
    <w:rsid w:val="00371AEB"/>
    <w:rsid w:val="00371B5F"/>
    <w:rsid w:val="00372147"/>
    <w:rsid w:val="003725E8"/>
    <w:rsid w:val="003734FC"/>
    <w:rsid w:val="0037489E"/>
    <w:rsid w:val="0037538B"/>
    <w:rsid w:val="00375819"/>
    <w:rsid w:val="00376752"/>
    <w:rsid w:val="003767A6"/>
    <w:rsid w:val="00376A28"/>
    <w:rsid w:val="00376A2B"/>
    <w:rsid w:val="00376AA5"/>
    <w:rsid w:val="003778E1"/>
    <w:rsid w:val="00377A7D"/>
    <w:rsid w:val="00377D03"/>
    <w:rsid w:val="00377E5F"/>
    <w:rsid w:val="003803F7"/>
    <w:rsid w:val="003807AB"/>
    <w:rsid w:val="003807E6"/>
    <w:rsid w:val="00382150"/>
    <w:rsid w:val="003824A3"/>
    <w:rsid w:val="00382C28"/>
    <w:rsid w:val="00382E26"/>
    <w:rsid w:val="0038390D"/>
    <w:rsid w:val="00383A94"/>
    <w:rsid w:val="00383B84"/>
    <w:rsid w:val="00384349"/>
    <w:rsid w:val="00384EF5"/>
    <w:rsid w:val="003852A8"/>
    <w:rsid w:val="00385888"/>
    <w:rsid w:val="00385A00"/>
    <w:rsid w:val="00386082"/>
    <w:rsid w:val="003866DD"/>
    <w:rsid w:val="00386864"/>
    <w:rsid w:val="003870FA"/>
    <w:rsid w:val="003871E6"/>
    <w:rsid w:val="00387B7E"/>
    <w:rsid w:val="00387EE8"/>
    <w:rsid w:val="00390B51"/>
    <w:rsid w:val="00391E7D"/>
    <w:rsid w:val="003924A7"/>
    <w:rsid w:val="003929AF"/>
    <w:rsid w:val="00392B8A"/>
    <w:rsid w:val="0039335F"/>
    <w:rsid w:val="0039360E"/>
    <w:rsid w:val="00393633"/>
    <w:rsid w:val="00393660"/>
    <w:rsid w:val="00393E79"/>
    <w:rsid w:val="0039413D"/>
    <w:rsid w:val="00394344"/>
    <w:rsid w:val="00394391"/>
    <w:rsid w:val="00395B38"/>
    <w:rsid w:val="00395D4B"/>
    <w:rsid w:val="0039630D"/>
    <w:rsid w:val="00396F1C"/>
    <w:rsid w:val="0039715A"/>
    <w:rsid w:val="003A007C"/>
    <w:rsid w:val="003A0178"/>
    <w:rsid w:val="003A089B"/>
    <w:rsid w:val="003A0B4F"/>
    <w:rsid w:val="003A0CE7"/>
    <w:rsid w:val="003A1853"/>
    <w:rsid w:val="003A1A4E"/>
    <w:rsid w:val="003A2788"/>
    <w:rsid w:val="003A3786"/>
    <w:rsid w:val="003A3F23"/>
    <w:rsid w:val="003A3F24"/>
    <w:rsid w:val="003A433F"/>
    <w:rsid w:val="003A4C34"/>
    <w:rsid w:val="003A537F"/>
    <w:rsid w:val="003A543F"/>
    <w:rsid w:val="003A564D"/>
    <w:rsid w:val="003A5A03"/>
    <w:rsid w:val="003A64A3"/>
    <w:rsid w:val="003A679E"/>
    <w:rsid w:val="003A7191"/>
    <w:rsid w:val="003A7414"/>
    <w:rsid w:val="003B028E"/>
    <w:rsid w:val="003B0977"/>
    <w:rsid w:val="003B12C5"/>
    <w:rsid w:val="003B1514"/>
    <w:rsid w:val="003B1B98"/>
    <w:rsid w:val="003B3124"/>
    <w:rsid w:val="003B4201"/>
    <w:rsid w:val="003B4394"/>
    <w:rsid w:val="003B49C7"/>
    <w:rsid w:val="003B4C62"/>
    <w:rsid w:val="003B4D43"/>
    <w:rsid w:val="003B4E5D"/>
    <w:rsid w:val="003B687F"/>
    <w:rsid w:val="003B6C30"/>
    <w:rsid w:val="003B793C"/>
    <w:rsid w:val="003C0718"/>
    <w:rsid w:val="003C074F"/>
    <w:rsid w:val="003C0858"/>
    <w:rsid w:val="003C0CA2"/>
    <w:rsid w:val="003C142B"/>
    <w:rsid w:val="003C143F"/>
    <w:rsid w:val="003C2230"/>
    <w:rsid w:val="003C2E43"/>
    <w:rsid w:val="003C2E8C"/>
    <w:rsid w:val="003C2F95"/>
    <w:rsid w:val="003C3C9A"/>
    <w:rsid w:val="003C4C89"/>
    <w:rsid w:val="003C57F2"/>
    <w:rsid w:val="003C628A"/>
    <w:rsid w:val="003C6789"/>
    <w:rsid w:val="003C6B19"/>
    <w:rsid w:val="003C7685"/>
    <w:rsid w:val="003D03EC"/>
    <w:rsid w:val="003D0DD1"/>
    <w:rsid w:val="003D0EDE"/>
    <w:rsid w:val="003D13DE"/>
    <w:rsid w:val="003D146D"/>
    <w:rsid w:val="003D15E5"/>
    <w:rsid w:val="003D28E2"/>
    <w:rsid w:val="003D2BE1"/>
    <w:rsid w:val="003D3606"/>
    <w:rsid w:val="003D44D3"/>
    <w:rsid w:val="003D45A1"/>
    <w:rsid w:val="003D48F6"/>
    <w:rsid w:val="003D4CD9"/>
    <w:rsid w:val="003D4E39"/>
    <w:rsid w:val="003D539D"/>
    <w:rsid w:val="003D6B9E"/>
    <w:rsid w:val="003D79EB"/>
    <w:rsid w:val="003D7A4D"/>
    <w:rsid w:val="003D7DE2"/>
    <w:rsid w:val="003D7DF3"/>
    <w:rsid w:val="003D7F29"/>
    <w:rsid w:val="003E0699"/>
    <w:rsid w:val="003E0D03"/>
    <w:rsid w:val="003E0D09"/>
    <w:rsid w:val="003E10B7"/>
    <w:rsid w:val="003E1C86"/>
    <w:rsid w:val="003E1DFD"/>
    <w:rsid w:val="003E2046"/>
    <w:rsid w:val="003E2118"/>
    <w:rsid w:val="003E23AC"/>
    <w:rsid w:val="003E3F62"/>
    <w:rsid w:val="003E4E79"/>
    <w:rsid w:val="003E5ADC"/>
    <w:rsid w:val="003E6422"/>
    <w:rsid w:val="003E6D6A"/>
    <w:rsid w:val="003E7002"/>
    <w:rsid w:val="003E7333"/>
    <w:rsid w:val="003E740A"/>
    <w:rsid w:val="003F082F"/>
    <w:rsid w:val="003F0E9A"/>
    <w:rsid w:val="003F1E40"/>
    <w:rsid w:val="003F3D10"/>
    <w:rsid w:val="003F53DB"/>
    <w:rsid w:val="003F5949"/>
    <w:rsid w:val="003F6326"/>
    <w:rsid w:val="003F6370"/>
    <w:rsid w:val="003F6693"/>
    <w:rsid w:val="003F72CD"/>
    <w:rsid w:val="003F7919"/>
    <w:rsid w:val="003F7ABC"/>
    <w:rsid w:val="003F7B4D"/>
    <w:rsid w:val="0040010B"/>
    <w:rsid w:val="0040013A"/>
    <w:rsid w:val="004010FB"/>
    <w:rsid w:val="004027C5"/>
    <w:rsid w:val="00402A07"/>
    <w:rsid w:val="00402AC1"/>
    <w:rsid w:val="004031F9"/>
    <w:rsid w:val="00403886"/>
    <w:rsid w:val="004041A3"/>
    <w:rsid w:val="00404361"/>
    <w:rsid w:val="004043AA"/>
    <w:rsid w:val="004043C1"/>
    <w:rsid w:val="00404F8B"/>
    <w:rsid w:val="00405454"/>
    <w:rsid w:val="00405793"/>
    <w:rsid w:val="00406E55"/>
    <w:rsid w:val="0040719E"/>
    <w:rsid w:val="0040752B"/>
    <w:rsid w:val="0040799B"/>
    <w:rsid w:val="00410156"/>
    <w:rsid w:val="004101FB"/>
    <w:rsid w:val="00410570"/>
    <w:rsid w:val="00410D94"/>
    <w:rsid w:val="00410FFB"/>
    <w:rsid w:val="004111F3"/>
    <w:rsid w:val="0041143E"/>
    <w:rsid w:val="00412695"/>
    <w:rsid w:val="004127E8"/>
    <w:rsid w:val="00412900"/>
    <w:rsid w:val="004129D0"/>
    <w:rsid w:val="00412E5A"/>
    <w:rsid w:val="00413103"/>
    <w:rsid w:val="00413108"/>
    <w:rsid w:val="00413A2B"/>
    <w:rsid w:val="00413CB0"/>
    <w:rsid w:val="00413E49"/>
    <w:rsid w:val="0041490A"/>
    <w:rsid w:val="00415373"/>
    <w:rsid w:val="00415753"/>
    <w:rsid w:val="00416938"/>
    <w:rsid w:val="00416D87"/>
    <w:rsid w:val="00416DBB"/>
    <w:rsid w:val="0041719C"/>
    <w:rsid w:val="00417423"/>
    <w:rsid w:val="0041750A"/>
    <w:rsid w:val="00417CDC"/>
    <w:rsid w:val="00417F8D"/>
    <w:rsid w:val="004206B6"/>
    <w:rsid w:val="0042072B"/>
    <w:rsid w:val="0042138A"/>
    <w:rsid w:val="004234F8"/>
    <w:rsid w:val="004243A1"/>
    <w:rsid w:val="00424BE1"/>
    <w:rsid w:val="00424D94"/>
    <w:rsid w:val="004251EF"/>
    <w:rsid w:val="00425B99"/>
    <w:rsid w:val="00425FC9"/>
    <w:rsid w:val="00426001"/>
    <w:rsid w:val="00426EFE"/>
    <w:rsid w:val="00426FF8"/>
    <w:rsid w:val="004277AE"/>
    <w:rsid w:val="00430ADA"/>
    <w:rsid w:val="004316D6"/>
    <w:rsid w:val="004317E0"/>
    <w:rsid w:val="00432001"/>
    <w:rsid w:val="004320AD"/>
    <w:rsid w:val="00433878"/>
    <w:rsid w:val="004339FF"/>
    <w:rsid w:val="00433E51"/>
    <w:rsid w:val="00434478"/>
    <w:rsid w:val="0043472C"/>
    <w:rsid w:val="00434A73"/>
    <w:rsid w:val="00435748"/>
    <w:rsid w:val="00435B46"/>
    <w:rsid w:val="00435BFD"/>
    <w:rsid w:val="0043641A"/>
    <w:rsid w:val="0043686A"/>
    <w:rsid w:val="0043749F"/>
    <w:rsid w:val="0043750A"/>
    <w:rsid w:val="00437C64"/>
    <w:rsid w:val="00437EA1"/>
    <w:rsid w:val="00440253"/>
    <w:rsid w:val="0044097B"/>
    <w:rsid w:val="00441263"/>
    <w:rsid w:val="00441403"/>
    <w:rsid w:val="00441713"/>
    <w:rsid w:val="00442044"/>
    <w:rsid w:val="00442623"/>
    <w:rsid w:val="00442BDD"/>
    <w:rsid w:val="00442CA6"/>
    <w:rsid w:val="00444274"/>
    <w:rsid w:val="00444320"/>
    <w:rsid w:val="004448CA"/>
    <w:rsid w:val="00444903"/>
    <w:rsid w:val="00444B68"/>
    <w:rsid w:val="00444ECC"/>
    <w:rsid w:val="0044523B"/>
    <w:rsid w:val="00445FC7"/>
    <w:rsid w:val="0044602A"/>
    <w:rsid w:val="00446AD4"/>
    <w:rsid w:val="00446C43"/>
    <w:rsid w:val="00446DD0"/>
    <w:rsid w:val="00446F46"/>
    <w:rsid w:val="0044788C"/>
    <w:rsid w:val="00447A93"/>
    <w:rsid w:val="00447AC0"/>
    <w:rsid w:val="00447BAB"/>
    <w:rsid w:val="004500A7"/>
    <w:rsid w:val="004513D3"/>
    <w:rsid w:val="004514E8"/>
    <w:rsid w:val="0045286F"/>
    <w:rsid w:val="00452A0E"/>
    <w:rsid w:val="00452F58"/>
    <w:rsid w:val="0045307F"/>
    <w:rsid w:val="0045319F"/>
    <w:rsid w:val="0045378D"/>
    <w:rsid w:val="004539CB"/>
    <w:rsid w:val="00453E23"/>
    <w:rsid w:val="004545A5"/>
    <w:rsid w:val="00454E94"/>
    <w:rsid w:val="00455012"/>
    <w:rsid w:val="00455145"/>
    <w:rsid w:val="00455FC8"/>
    <w:rsid w:val="00456068"/>
    <w:rsid w:val="00456A60"/>
    <w:rsid w:val="00457CDA"/>
    <w:rsid w:val="00460314"/>
    <w:rsid w:val="00460D5F"/>
    <w:rsid w:val="00460DE3"/>
    <w:rsid w:val="00460EB5"/>
    <w:rsid w:val="00460F07"/>
    <w:rsid w:val="004611FD"/>
    <w:rsid w:val="00461AB3"/>
    <w:rsid w:val="00462122"/>
    <w:rsid w:val="00462C26"/>
    <w:rsid w:val="00462CFF"/>
    <w:rsid w:val="004631EE"/>
    <w:rsid w:val="0046371B"/>
    <w:rsid w:val="00464483"/>
    <w:rsid w:val="00464EBB"/>
    <w:rsid w:val="00465923"/>
    <w:rsid w:val="00466C5B"/>
    <w:rsid w:val="00467279"/>
    <w:rsid w:val="004676F6"/>
    <w:rsid w:val="00467B2F"/>
    <w:rsid w:val="00467BC5"/>
    <w:rsid w:val="00467D60"/>
    <w:rsid w:val="00470526"/>
    <w:rsid w:val="00470AD1"/>
    <w:rsid w:val="00471121"/>
    <w:rsid w:val="00471689"/>
    <w:rsid w:val="004724BC"/>
    <w:rsid w:val="00472EBD"/>
    <w:rsid w:val="004736CA"/>
    <w:rsid w:val="00473710"/>
    <w:rsid w:val="00473963"/>
    <w:rsid w:val="004739E9"/>
    <w:rsid w:val="0047442E"/>
    <w:rsid w:val="00474737"/>
    <w:rsid w:val="0047497D"/>
    <w:rsid w:val="00474B5D"/>
    <w:rsid w:val="00474BDF"/>
    <w:rsid w:val="00475EF0"/>
    <w:rsid w:val="004760F8"/>
    <w:rsid w:val="00476145"/>
    <w:rsid w:val="0047654F"/>
    <w:rsid w:val="00476CB3"/>
    <w:rsid w:val="004772E2"/>
    <w:rsid w:val="004777C2"/>
    <w:rsid w:val="0047781D"/>
    <w:rsid w:val="004801DC"/>
    <w:rsid w:val="00480AAC"/>
    <w:rsid w:val="0048101E"/>
    <w:rsid w:val="00481078"/>
    <w:rsid w:val="0048137D"/>
    <w:rsid w:val="004813BF"/>
    <w:rsid w:val="004815D7"/>
    <w:rsid w:val="004817F0"/>
    <w:rsid w:val="00481A0C"/>
    <w:rsid w:val="00481C46"/>
    <w:rsid w:val="004824D0"/>
    <w:rsid w:val="00482D39"/>
    <w:rsid w:val="00482E4B"/>
    <w:rsid w:val="004837A8"/>
    <w:rsid w:val="00483973"/>
    <w:rsid w:val="00483C93"/>
    <w:rsid w:val="00483DDE"/>
    <w:rsid w:val="00484E81"/>
    <w:rsid w:val="00485362"/>
    <w:rsid w:val="004854D4"/>
    <w:rsid w:val="00486139"/>
    <w:rsid w:val="00487A1D"/>
    <w:rsid w:val="004906BD"/>
    <w:rsid w:val="004908F7"/>
    <w:rsid w:val="00491F00"/>
    <w:rsid w:val="00491F76"/>
    <w:rsid w:val="004922B1"/>
    <w:rsid w:val="004923BB"/>
    <w:rsid w:val="00492AA1"/>
    <w:rsid w:val="00492E00"/>
    <w:rsid w:val="00493316"/>
    <w:rsid w:val="004933F0"/>
    <w:rsid w:val="00493888"/>
    <w:rsid w:val="00494249"/>
    <w:rsid w:val="00494593"/>
    <w:rsid w:val="004946F2"/>
    <w:rsid w:val="0049542C"/>
    <w:rsid w:val="00495A3B"/>
    <w:rsid w:val="00496B7D"/>
    <w:rsid w:val="00496E3A"/>
    <w:rsid w:val="00497787"/>
    <w:rsid w:val="00497960"/>
    <w:rsid w:val="00497D3F"/>
    <w:rsid w:val="00497F00"/>
    <w:rsid w:val="004A0079"/>
    <w:rsid w:val="004A0118"/>
    <w:rsid w:val="004A0A1E"/>
    <w:rsid w:val="004A0AF8"/>
    <w:rsid w:val="004A0D0A"/>
    <w:rsid w:val="004A0E0E"/>
    <w:rsid w:val="004A1344"/>
    <w:rsid w:val="004A2ABE"/>
    <w:rsid w:val="004A2EE3"/>
    <w:rsid w:val="004A373A"/>
    <w:rsid w:val="004A4C36"/>
    <w:rsid w:val="004A5498"/>
    <w:rsid w:val="004A57D1"/>
    <w:rsid w:val="004A5CBF"/>
    <w:rsid w:val="004A75DB"/>
    <w:rsid w:val="004A7A69"/>
    <w:rsid w:val="004A7B74"/>
    <w:rsid w:val="004A7F0B"/>
    <w:rsid w:val="004B0402"/>
    <w:rsid w:val="004B05F7"/>
    <w:rsid w:val="004B072D"/>
    <w:rsid w:val="004B088B"/>
    <w:rsid w:val="004B0C59"/>
    <w:rsid w:val="004B0E8B"/>
    <w:rsid w:val="004B1607"/>
    <w:rsid w:val="004B2FAA"/>
    <w:rsid w:val="004B2FD7"/>
    <w:rsid w:val="004B39DC"/>
    <w:rsid w:val="004B42B9"/>
    <w:rsid w:val="004B5700"/>
    <w:rsid w:val="004B661E"/>
    <w:rsid w:val="004B6E2F"/>
    <w:rsid w:val="004B74A0"/>
    <w:rsid w:val="004B7B6C"/>
    <w:rsid w:val="004C089E"/>
    <w:rsid w:val="004C0DDA"/>
    <w:rsid w:val="004C1D5D"/>
    <w:rsid w:val="004C25E5"/>
    <w:rsid w:val="004C27D2"/>
    <w:rsid w:val="004C2C4C"/>
    <w:rsid w:val="004C2C79"/>
    <w:rsid w:val="004C2FEF"/>
    <w:rsid w:val="004C3022"/>
    <w:rsid w:val="004C3D2A"/>
    <w:rsid w:val="004C3D7D"/>
    <w:rsid w:val="004C4E01"/>
    <w:rsid w:val="004C5DF1"/>
    <w:rsid w:val="004C6871"/>
    <w:rsid w:val="004C6A61"/>
    <w:rsid w:val="004C6C7E"/>
    <w:rsid w:val="004C7157"/>
    <w:rsid w:val="004C7220"/>
    <w:rsid w:val="004C745E"/>
    <w:rsid w:val="004C7547"/>
    <w:rsid w:val="004C768C"/>
    <w:rsid w:val="004D180C"/>
    <w:rsid w:val="004D1A46"/>
    <w:rsid w:val="004D1F73"/>
    <w:rsid w:val="004D2317"/>
    <w:rsid w:val="004D2A8A"/>
    <w:rsid w:val="004D2F50"/>
    <w:rsid w:val="004D310B"/>
    <w:rsid w:val="004D34A2"/>
    <w:rsid w:val="004D35CD"/>
    <w:rsid w:val="004D3772"/>
    <w:rsid w:val="004D3C79"/>
    <w:rsid w:val="004D412B"/>
    <w:rsid w:val="004D4BB4"/>
    <w:rsid w:val="004D5321"/>
    <w:rsid w:val="004D590F"/>
    <w:rsid w:val="004D6929"/>
    <w:rsid w:val="004D6C7E"/>
    <w:rsid w:val="004D76DF"/>
    <w:rsid w:val="004D7DBE"/>
    <w:rsid w:val="004E05D7"/>
    <w:rsid w:val="004E08BF"/>
    <w:rsid w:val="004E14E1"/>
    <w:rsid w:val="004E206A"/>
    <w:rsid w:val="004E243D"/>
    <w:rsid w:val="004E2588"/>
    <w:rsid w:val="004E2A2A"/>
    <w:rsid w:val="004E318B"/>
    <w:rsid w:val="004E31A5"/>
    <w:rsid w:val="004E394B"/>
    <w:rsid w:val="004E39A6"/>
    <w:rsid w:val="004E4010"/>
    <w:rsid w:val="004E439F"/>
    <w:rsid w:val="004E44FF"/>
    <w:rsid w:val="004E4514"/>
    <w:rsid w:val="004E4869"/>
    <w:rsid w:val="004E4A00"/>
    <w:rsid w:val="004E4DFE"/>
    <w:rsid w:val="004E54FE"/>
    <w:rsid w:val="004E586C"/>
    <w:rsid w:val="004E589D"/>
    <w:rsid w:val="004E5EC6"/>
    <w:rsid w:val="004E6346"/>
    <w:rsid w:val="004E6A63"/>
    <w:rsid w:val="004E6CCE"/>
    <w:rsid w:val="004E7358"/>
    <w:rsid w:val="004E7A1A"/>
    <w:rsid w:val="004E7CA3"/>
    <w:rsid w:val="004F019E"/>
    <w:rsid w:val="004F1980"/>
    <w:rsid w:val="004F1DA8"/>
    <w:rsid w:val="004F274F"/>
    <w:rsid w:val="004F2BC3"/>
    <w:rsid w:val="004F2E36"/>
    <w:rsid w:val="004F331E"/>
    <w:rsid w:val="004F33C7"/>
    <w:rsid w:val="004F3C5B"/>
    <w:rsid w:val="004F42DD"/>
    <w:rsid w:val="004F46BB"/>
    <w:rsid w:val="004F47D6"/>
    <w:rsid w:val="004F4928"/>
    <w:rsid w:val="004F4BCE"/>
    <w:rsid w:val="004F5468"/>
    <w:rsid w:val="004F5892"/>
    <w:rsid w:val="004F591D"/>
    <w:rsid w:val="004F5E65"/>
    <w:rsid w:val="004F5F8B"/>
    <w:rsid w:val="004F5FE6"/>
    <w:rsid w:val="004F6367"/>
    <w:rsid w:val="004F669A"/>
    <w:rsid w:val="004F6A90"/>
    <w:rsid w:val="004F7067"/>
    <w:rsid w:val="00500790"/>
    <w:rsid w:val="00500939"/>
    <w:rsid w:val="0050163B"/>
    <w:rsid w:val="00501E6C"/>
    <w:rsid w:val="00502722"/>
    <w:rsid w:val="0050279A"/>
    <w:rsid w:val="00503600"/>
    <w:rsid w:val="0050371C"/>
    <w:rsid w:val="005038A6"/>
    <w:rsid w:val="00504411"/>
    <w:rsid w:val="00504DE2"/>
    <w:rsid w:val="0050592F"/>
    <w:rsid w:val="00505A5C"/>
    <w:rsid w:val="005066BF"/>
    <w:rsid w:val="00507098"/>
    <w:rsid w:val="005071D0"/>
    <w:rsid w:val="00507F48"/>
    <w:rsid w:val="00511070"/>
    <w:rsid w:val="005111FA"/>
    <w:rsid w:val="005118DE"/>
    <w:rsid w:val="00511D11"/>
    <w:rsid w:val="00511E2C"/>
    <w:rsid w:val="0051261B"/>
    <w:rsid w:val="00512DC9"/>
    <w:rsid w:val="00512FB7"/>
    <w:rsid w:val="0051379A"/>
    <w:rsid w:val="0051391A"/>
    <w:rsid w:val="00513ABC"/>
    <w:rsid w:val="00513C91"/>
    <w:rsid w:val="00514122"/>
    <w:rsid w:val="005144D3"/>
    <w:rsid w:val="005154DF"/>
    <w:rsid w:val="00515521"/>
    <w:rsid w:val="0051622C"/>
    <w:rsid w:val="005165FF"/>
    <w:rsid w:val="00516843"/>
    <w:rsid w:val="00517342"/>
    <w:rsid w:val="0051749F"/>
    <w:rsid w:val="00517618"/>
    <w:rsid w:val="00517E58"/>
    <w:rsid w:val="00517E7F"/>
    <w:rsid w:val="00520127"/>
    <w:rsid w:val="00520289"/>
    <w:rsid w:val="00520674"/>
    <w:rsid w:val="00520D20"/>
    <w:rsid w:val="005213B8"/>
    <w:rsid w:val="00521462"/>
    <w:rsid w:val="005216C3"/>
    <w:rsid w:val="00521E93"/>
    <w:rsid w:val="0052211F"/>
    <w:rsid w:val="0052265E"/>
    <w:rsid w:val="00522820"/>
    <w:rsid w:val="00522E25"/>
    <w:rsid w:val="00523B7A"/>
    <w:rsid w:val="00523E22"/>
    <w:rsid w:val="005241E5"/>
    <w:rsid w:val="005242DA"/>
    <w:rsid w:val="005248C7"/>
    <w:rsid w:val="00524D35"/>
    <w:rsid w:val="00525CB6"/>
    <w:rsid w:val="0052603C"/>
    <w:rsid w:val="0052692D"/>
    <w:rsid w:val="00526F33"/>
    <w:rsid w:val="005271B1"/>
    <w:rsid w:val="0052735E"/>
    <w:rsid w:val="005276D4"/>
    <w:rsid w:val="005276E1"/>
    <w:rsid w:val="00527A4A"/>
    <w:rsid w:val="00527F9F"/>
    <w:rsid w:val="005307CE"/>
    <w:rsid w:val="00530A2E"/>
    <w:rsid w:val="005324F0"/>
    <w:rsid w:val="00532978"/>
    <w:rsid w:val="0053320C"/>
    <w:rsid w:val="00534B42"/>
    <w:rsid w:val="005355BB"/>
    <w:rsid w:val="005357C9"/>
    <w:rsid w:val="00535E59"/>
    <w:rsid w:val="00536819"/>
    <w:rsid w:val="00536939"/>
    <w:rsid w:val="0054010E"/>
    <w:rsid w:val="005403D4"/>
    <w:rsid w:val="005404BD"/>
    <w:rsid w:val="00540642"/>
    <w:rsid w:val="0054096F"/>
    <w:rsid w:val="005411ED"/>
    <w:rsid w:val="00541835"/>
    <w:rsid w:val="00541CCD"/>
    <w:rsid w:val="00542689"/>
    <w:rsid w:val="00542BCC"/>
    <w:rsid w:val="00542D4C"/>
    <w:rsid w:val="00543139"/>
    <w:rsid w:val="00543BCB"/>
    <w:rsid w:val="00543C06"/>
    <w:rsid w:val="00543D9C"/>
    <w:rsid w:val="00545097"/>
    <w:rsid w:val="0054552A"/>
    <w:rsid w:val="00547133"/>
    <w:rsid w:val="005472CA"/>
    <w:rsid w:val="0054744B"/>
    <w:rsid w:val="00547715"/>
    <w:rsid w:val="0054779A"/>
    <w:rsid w:val="00547B49"/>
    <w:rsid w:val="00547D9F"/>
    <w:rsid w:val="0055099B"/>
    <w:rsid w:val="00550C9B"/>
    <w:rsid w:val="005523C8"/>
    <w:rsid w:val="0055292F"/>
    <w:rsid w:val="00553340"/>
    <w:rsid w:val="005548B2"/>
    <w:rsid w:val="00554A22"/>
    <w:rsid w:val="00555B16"/>
    <w:rsid w:val="00555CD5"/>
    <w:rsid w:val="00555F1C"/>
    <w:rsid w:val="0055647F"/>
    <w:rsid w:val="005572B9"/>
    <w:rsid w:val="00557B83"/>
    <w:rsid w:val="0056122D"/>
    <w:rsid w:val="00561F2E"/>
    <w:rsid w:val="00562130"/>
    <w:rsid w:val="0056241C"/>
    <w:rsid w:val="00562596"/>
    <w:rsid w:val="005627E4"/>
    <w:rsid w:val="00562978"/>
    <w:rsid w:val="00562E51"/>
    <w:rsid w:val="00563203"/>
    <w:rsid w:val="005636D0"/>
    <w:rsid w:val="00563C7E"/>
    <w:rsid w:val="00563D00"/>
    <w:rsid w:val="0056438A"/>
    <w:rsid w:val="005647CF"/>
    <w:rsid w:val="0056494B"/>
    <w:rsid w:val="00564B5D"/>
    <w:rsid w:val="00565D4A"/>
    <w:rsid w:val="0056603B"/>
    <w:rsid w:val="00566336"/>
    <w:rsid w:val="005665A0"/>
    <w:rsid w:val="0056683F"/>
    <w:rsid w:val="005673E3"/>
    <w:rsid w:val="00567A25"/>
    <w:rsid w:val="00567FCB"/>
    <w:rsid w:val="00570025"/>
    <w:rsid w:val="00571203"/>
    <w:rsid w:val="005713E0"/>
    <w:rsid w:val="005716BA"/>
    <w:rsid w:val="00571AFB"/>
    <w:rsid w:val="00571E92"/>
    <w:rsid w:val="00571F0F"/>
    <w:rsid w:val="0057228B"/>
    <w:rsid w:val="00572855"/>
    <w:rsid w:val="00572948"/>
    <w:rsid w:val="00572BF4"/>
    <w:rsid w:val="00572E0F"/>
    <w:rsid w:val="005736C7"/>
    <w:rsid w:val="00573737"/>
    <w:rsid w:val="00573866"/>
    <w:rsid w:val="00574075"/>
    <w:rsid w:val="00574A2D"/>
    <w:rsid w:val="00574F38"/>
    <w:rsid w:val="00575074"/>
    <w:rsid w:val="00575850"/>
    <w:rsid w:val="005758D3"/>
    <w:rsid w:val="00576766"/>
    <w:rsid w:val="00576CCB"/>
    <w:rsid w:val="00577246"/>
    <w:rsid w:val="0057726A"/>
    <w:rsid w:val="005773ED"/>
    <w:rsid w:val="0057767A"/>
    <w:rsid w:val="0057774D"/>
    <w:rsid w:val="00577BC0"/>
    <w:rsid w:val="005800F2"/>
    <w:rsid w:val="005803BF"/>
    <w:rsid w:val="00580731"/>
    <w:rsid w:val="00581E72"/>
    <w:rsid w:val="00582386"/>
    <w:rsid w:val="005827ED"/>
    <w:rsid w:val="005835C9"/>
    <w:rsid w:val="00583E90"/>
    <w:rsid w:val="005847DA"/>
    <w:rsid w:val="00584A00"/>
    <w:rsid w:val="00584A70"/>
    <w:rsid w:val="00586733"/>
    <w:rsid w:val="005877B6"/>
    <w:rsid w:val="005902A9"/>
    <w:rsid w:val="00590B72"/>
    <w:rsid w:val="00591602"/>
    <w:rsid w:val="005916F3"/>
    <w:rsid w:val="00591971"/>
    <w:rsid w:val="00592005"/>
    <w:rsid w:val="00592B2E"/>
    <w:rsid w:val="005937E0"/>
    <w:rsid w:val="00593ABB"/>
    <w:rsid w:val="00593D08"/>
    <w:rsid w:val="00594D7C"/>
    <w:rsid w:val="0059564B"/>
    <w:rsid w:val="00595688"/>
    <w:rsid w:val="005966A5"/>
    <w:rsid w:val="005966CE"/>
    <w:rsid w:val="005967D2"/>
    <w:rsid w:val="00597159"/>
    <w:rsid w:val="0059762F"/>
    <w:rsid w:val="005A038C"/>
    <w:rsid w:val="005A041A"/>
    <w:rsid w:val="005A0C02"/>
    <w:rsid w:val="005A0C63"/>
    <w:rsid w:val="005A1B31"/>
    <w:rsid w:val="005A1C03"/>
    <w:rsid w:val="005A2DFF"/>
    <w:rsid w:val="005A3975"/>
    <w:rsid w:val="005A4CF1"/>
    <w:rsid w:val="005A4EA3"/>
    <w:rsid w:val="005A517A"/>
    <w:rsid w:val="005A53EC"/>
    <w:rsid w:val="005A54C1"/>
    <w:rsid w:val="005A67C0"/>
    <w:rsid w:val="005A69F6"/>
    <w:rsid w:val="005A6D17"/>
    <w:rsid w:val="005A715B"/>
    <w:rsid w:val="005A719B"/>
    <w:rsid w:val="005A7687"/>
    <w:rsid w:val="005A79F9"/>
    <w:rsid w:val="005B044D"/>
    <w:rsid w:val="005B0496"/>
    <w:rsid w:val="005B0DD6"/>
    <w:rsid w:val="005B0F93"/>
    <w:rsid w:val="005B2687"/>
    <w:rsid w:val="005B2F66"/>
    <w:rsid w:val="005B31A6"/>
    <w:rsid w:val="005B37F6"/>
    <w:rsid w:val="005B4316"/>
    <w:rsid w:val="005B4853"/>
    <w:rsid w:val="005B5087"/>
    <w:rsid w:val="005B543D"/>
    <w:rsid w:val="005B5B57"/>
    <w:rsid w:val="005B5F44"/>
    <w:rsid w:val="005B6184"/>
    <w:rsid w:val="005B63FC"/>
    <w:rsid w:val="005B64E1"/>
    <w:rsid w:val="005B659C"/>
    <w:rsid w:val="005B65DB"/>
    <w:rsid w:val="005B6AB8"/>
    <w:rsid w:val="005B7400"/>
    <w:rsid w:val="005B7C12"/>
    <w:rsid w:val="005B7EC8"/>
    <w:rsid w:val="005C02E5"/>
    <w:rsid w:val="005C03B5"/>
    <w:rsid w:val="005C06DF"/>
    <w:rsid w:val="005C0BC5"/>
    <w:rsid w:val="005C0EC3"/>
    <w:rsid w:val="005C0EDA"/>
    <w:rsid w:val="005C0F80"/>
    <w:rsid w:val="005C14CF"/>
    <w:rsid w:val="005C15F8"/>
    <w:rsid w:val="005C1943"/>
    <w:rsid w:val="005C1A47"/>
    <w:rsid w:val="005C1AEB"/>
    <w:rsid w:val="005C238A"/>
    <w:rsid w:val="005C29C9"/>
    <w:rsid w:val="005C32EF"/>
    <w:rsid w:val="005C356B"/>
    <w:rsid w:val="005C4B2A"/>
    <w:rsid w:val="005C4DB2"/>
    <w:rsid w:val="005C56ED"/>
    <w:rsid w:val="005C5B4B"/>
    <w:rsid w:val="005C6A39"/>
    <w:rsid w:val="005C7A46"/>
    <w:rsid w:val="005D0C12"/>
    <w:rsid w:val="005D1213"/>
    <w:rsid w:val="005D1309"/>
    <w:rsid w:val="005D131E"/>
    <w:rsid w:val="005D1338"/>
    <w:rsid w:val="005D190F"/>
    <w:rsid w:val="005D1E76"/>
    <w:rsid w:val="005D260C"/>
    <w:rsid w:val="005D2914"/>
    <w:rsid w:val="005D45C7"/>
    <w:rsid w:val="005D49A4"/>
    <w:rsid w:val="005D4F76"/>
    <w:rsid w:val="005D51F3"/>
    <w:rsid w:val="005D5907"/>
    <w:rsid w:val="005D5987"/>
    <w:rsid w:val="005D598B"/>
    <w:rsid w:val="005D5A49"/>
    <w:rsid w:val="005D6CB2"/>
    <w:rsid w:val="005D6DA2"/>
    <w:rsid w:val="005D702D"/>
    <w:rsid w:val="005D70C8"/>
    <w:rsid w:val="005D73B0"/>
    <w:rsid w:val="005D7594"/>
    <w:rsid w:val="005D75F9"/>
    <w:rsid w:val="005D795C"/>
    <w:rsid w:val="005E00F4"/>
    <w:rsid w:val="005E0139"/>
    <w:rsid w:val="005E0B43"/>
    <w:rsid w:val="005E0D8D"/>
    <w:rsid w:val="005E0E3D"/>
    <w:rsid w:val="005E1435"/>
    <w:rsid w:val="005E170C"/>
    <w:rsid w:val="005E22AB"/>
    <w:rsid w:val="005E250F"/>
    <w:rsid w:val="005E29C4"/>
    <w:rsid w:val="005E2D8A"/>
    <w:rsid w:val="005E2DF5"/>
    <w:rsid w:val="005E4F20"/>
    <w:rsid w:val="005E5565"/>
    <w:rsid w:val="005E5569"/>
    <w:rsid w:val="005E58F2"/>
    <w:rsid w:val="005E5EC0"/>
    <w:rsid w:val="005E73CA"/>
    <w:rsid w:val="005E7586"/>
    <w:rsid w:val="005E76B5"/>
    <w:rsid w:val="005E7DEB"/>
    <w:rsid w:val="005E7F26"/>
    <w:rsid w:val="005F0581"/>
    <w:rsid w:val="005F082D"/>
    <w:rsid w:val="005F0D68"/>
    <w:rsid w:val="005F10CB"/>
    <w:rsid w:val="005F16CF"/>
    <w:rsid w:val="005F1C49"/>
    <w:rsid w:val="005F26A5"/>
    <w:rsid w:val="005F2812"/>
    <w:rsid w:val="005F2A3B"/>
    <w:rsid w:val="005F2DD6"/>
    <w:rsid w:val="005F3595"/>
    <w:rsid w:val="005F428A"/>
    <w:rsid w:val="005F4A13"/>
    <w:rsid w:val="005F4BE6"/>
    <w:rsid w:val="005F502D"/>
    <w:rsid w:val="005F55A9"/>
    <w:rsid w:val="005F59AB"/>
    <w:rsid w:val="005F66F7"/>
    <w:rsid w:val="005F6DD1"/>
    <w:rsid w:val="005F7393"/>
    <w:rsid w:val="005F74B7"/>
    <w:rsid w:val="005F7F2C"/>
    <w:rsid w:val="00600113"/>
    <w:rsid w:val="00601D01"/>
    <w:rsid w:val="00601E6C"/>
    <w:rsid w:val="00602323"/>
    <w:rsid w:val="006023DF"/>
    <w:rsid w:val="00602A08"/>
    <w:rsid w:val="006032D0"/>
    <w:rsid w:val="006034F3"/>
    <w:rsid w:val="006044BD"/>
    <w:rsid w:val="006049A8"/>
    <w:rsid w:val="006062BE"/>
    <w:rsid w:val="00606805"/>
    <w:rsid w:val="0060699C"/>
    <w:rsid w:val="00606D4E"/>
    <w:rsid w:val="006079C3"/>
    <w:rsid w:val="00607A2D"/>
    <w:rsid w:val="00607F42"/>
    <w:rsid w:val="00610EDA"/>
    <w:rsid w:val="0061184B"/>
    <w:rsid w:val="00611F88"/>
    <w:rsid w:val="006126C2"/>
    <w:rsid w:val="00612DAB"/>
    <w:rsid w:val="00612F75"/>
    <w:rsid w:val="006130EA"/>
    <w:rsid w:val="0061313A"/>
    <w:rsid w:val="0061313F"/>
    <w:rsid w:val="006135D0"/>
    <w:rsid w:val="006138AA"/>
    <w:rsid w:val="00613DB1"/>
    <w:rsid w:val="006142A7"/>
    <w:rsid w:val="00614B80"/>
    <w:rsid w:val="00615387"/>
    <w:rsid w:val="006156C0"/>
    <w:rsid w:val="0061587A"/>
    <w:rsid w:val="00615DD1"/>
    <w:rsid w:val="00615E8D"/>
    <w:rsid w:val="006161A1"/>
    <w:rsid w:val="00616496"/>
    <w:rsid w:val="0061665C"/>
    <w:rsid w:val="00616DD4"/>
    <w:rsid w:val="0061711A"/>
    <w:rsid w:val="00617756"/>
    <w:rsid w:val="00620847"/>
    <w:rsid w:val="00620C0F"/>
    <w:rsid w:val="00621E93"/>
    <w:rsid w:val="006221CE"/>
    <w:rsid w:val="00622316"/>
    <w:rsid w:val="00622556"/>
    <w:rsid w:val="0062261C"/>
    <w:rsid w:val="00622E2A"/>
    <w:rsid w:val="00622E94"/>
    <w:rsid w:val="0062311E"/>
    <w:rsid w:val="006237F0"/>
    <w:rsid w:val="0062412F"/>
    <w:rsid w:val="00624A28"/>
    <w:rsid w:val="0062529B"/>
    <w:rsid w:val="006257B4"/>
    <w:rsid w:val="00625FCA"/>
    <w:rsid w:val="0062656C"/>
    <w:rsid w:val="006266B8"/>
    <w:rsid w:val="00626740"/>
    <w:rsid w:val="00627203"/>
    <w:rsid w:val="006300C5"/>
    <w:rsid w:val="0063014D"/>
    <w:rsid w:val="00630E60"/>
    <w:rsid w:val="00631039"/>
    <w:rsid w:val="006310BB"/>
    <w:rsid w:val="0063180B"/>
    <w:rsid w:val="00631AD6"/>
    <w:rsid w:val="006323F6"/>
    <w:rsid w:val="00632DCC"/>
    <w:rsid w:val="00632EC4"/>
    <w:rsid w:val="0063331A"/>
    <w:rsid w:val="00633C97"/>
    <w:rsid w:val="006346F9"/>
    <w:rsid w:val="00634AAC"/>
    <w:rsid w:val="00635D75"/>
    <w:rsid w:val="00636758"/>
    <w:rsid w:val="00637729"/>
    <w:rsid w:val="00637977"/>
    <w:rsid w:val="006379E9"/>
    <w:rsid w:val="006405F5"/>
    <w:rsid w:val="00640CF5"/>
    <w:rsid w:val="00640E2D"/>
    <w:rsid w:val="00640EC5"/>
    <w:rsid w:val="00640F92"/>
    <w:rsid w:val="006412CA"/>
    <w:rsid w:val="00641B8C"/>
    <w:rsid w:val="0064311A"/>
    <w:rsid w:val="006434A9"/>
    <w:rsid w:val="006440EA"/>
    <w:rsid w:val="006441C4"/>
    <w:rsid w:val="0064428B"/>
    <w:rsid w:val="00644659"/>
    <w:rsid w:val="006448A1"/>
    <w:rsid w:val="006455F3"/>
    <w:rsid w:val="00645FB2"/>
    <w:rsid w:val="00646956"/>
    <w:rsid w:val="00646D35"/>
    <w:rsid w:val="006471F2"/>
    <w:rsid w:val="0064783D"/>
    <w:rsid w:val="00650FD2"/>
    <w:rsid w:val="0065133B"/>
    <w:rsid w:val="00652260"/>
    <w:rsid w:val="00652373"/>
    <w:rsid w:val="0065281B"/>
    <w:rsid w:val="00652E01"/>
    <w:rsid w:val="00652F29"/>
    <w:rsid w:val="00652F66"/>
    <w:rsid w:val="00653D22"/>
    <w:rsid w:val="00654161"/>
    <w:rsid w:val="0065420D"/>
    <w:rsid w:val="0065438C"/>
    <w:rsid w:val="0065459A"/>
    <w:rsid w:val="006549FF"/>
    <w:rsid w:val="00655445"/>
    <w:rsid w:val="0065599B"/>
    <w:rsid w:val="00656589"/>
    <w:rsid w:val="0065722F"/>
    <w:rsid w:val="00657D51"/>
    <w:rsid w:val="00660302"/>
    <w:rsid w:val="00660623"/>
    <w:rsid w:val="00661665"/>
    <w:rsid w:val="00661C96"/>
    <w:rsid w:val="00661D7E"/>
    <w:rsid w:val="0066239B"/>
    <w:rsid w:val="00662BB0"/>
    <w:rsid w:val="0066321A"/>
    <w:rsid w:val="0066377F"/>
    <w:rsid w:val="00664B75"/>
    <w:rsid w:val="00664C30"/>
    <w:rsid w:val="00666320"/>
    <w:rsid w:val="0066637E"/>
    <w:rsid w:val="006664D8"/>
    <w:rsid w:val="00666831"/>
    <w:rsid w:val="00666856"/>
    <w:rsid w:val="0066702B"/>
    <w:rsid w:val="0066761D"/>
    <w:rsid w:val="00670D64"/>
    <w:rsid w:val="006711C2"/>
    <w:rsid w:val="00671388"/>
    <w:rsid w:val="00671868"/>
    <w:rsid w:val="00671FC6"/>
    <w:rsid w:val="006723BA"/>
    <w:rsid w:val="006723C3"/>
    <w:rsid w:val="0067273D"/>
    <w:rsid w:val="0067302B"/>
    <w:rsid w:val="006736B5"/>
    <w:rsid w:val="00673B93"/>
    <w:rsid w:val="00674419"/>
    <w:rsid w:val="006748B2"/>
    <w:rsid w:val="00674EBD"/>
    <w:rsid w:val="006755E5"/>
    <w:rsid w:val="00675702"/>
    <w:rsid w:val="00675757"/>
    <w:rsid w:val="00675968"/>
    <w:rsid w:val="00675AC0"/>
    <w:rsid w:val="006761D1"/>
    <w:rsid w:val="006774A8"/>
    <w:rsid w:val="00677B19"/>
    <w:rsid w:val="00677B7A"/>
    <w:rsid w:val="00680CA5"/>
    <w:rsid w:val="0068153A"/>
    <w:rsid w:val="006817AA"/>
    <w:rsid w:val="00682256"/>
    <w:rsid w:val="006829C0"/>
    <w:rsid w:val="00682FB5"/>
    <w:rsid w:val="006838CC"/>
    <w:rsid w:val="00683C73"/>
    <w:rsid w:val="006841D0"/>
    <w:rsid w:val="00684A23"/>
    <w:rsid w:val="00684F41"/>
    <w:rsid w:val="00686361"/>
    <w:rsid w:val="00686837"/>
    <w:rsid w:val="00686D81"/>
    <w:rsid w:val="00686D9F"/>
    <w:rsid w:val="006871AB"/>
    <w:rsid w:val="00687459"/>
    <w:rsid w:val="00687585"/>
    <w:rsid w:val="006875A4"/>
    <w:rsid w:val="006879C7"/>
    <w:rsid w:val="006879CD"/>
    <w:rsid w:val="00690A55"/>
    <w:rsid w:val="00690D68"/>
    <w:rsid w:val="00690E19"/>
    <w:rsid w:val="00690EA9"/>
    <w:rsid w:val="006915AA"/>
    <w:rsid w:val="00691610"/>
    <w:rsid w:val="00692086"/>
    <w:rsid w:val="006924A2"/>
    <w:rsid w:val="00692DA0"/>
    <w:rsid w:val="00693352"/>
    <w:rsid w:val="0069352A"/>
    <w:rsid w:val="0069390D"/>
    <w:rsid w:val="00693A1A"/>
    <w:rsid w:val="00693F8F"/>
    <w:rsid w:val="006944F3"/>
    <w:rsid w:val="0069459B"/>
    <w:rsid w:val="00694CF9"/>
    <w:rsid w:val="00695069"/>
    <w:rsid w:val="00695A8D"/>
    <w:rsid w:val="00695BA5"/>
    <w:rsid w:val="00696607"/>
    <w:rsid w:val="006966F5"/>
    <w:rsid w:val="00696B36"/>
    <w:rsid w:val="0069729B"/>
    <w:rsid w:val="006A03E3"/>
    <w:rsid w:val="006A0D79"/>
    <w:rsid w:val="006A0EAA"/>
    <w:rsid w:val="006A208F"/>
    <w:rsid w:val="006A2101"/>
    <w:rsid w:val="006A2828"/>
    <w:rsid w:val="006A2A7C"/>
    <w:rsid w:val="006A3187"/>
    <w:rsid w:val="006A34EC"/>
    <w:rsid w:val="006A370B"/>
    <w:rsid w:val="006A38FA"/>
    <w:rsid w:val="006A45E2"/>
    <w:rsid w:val="006A4ACE"/>
    <w:rsid w:val="006A4B5D"/>
    <w:rsid w:val="006A4CA1"/>
    <w:rsid w:val="006A4DAA"/>
    <w:rsid w:val="006A5492"/>
    <w:rsid w:val="006A57B4"/>
    <w:rsid w:val="006A58C5"/>
    <w:rsid w:val="006A68F2"/>
    <w:rsid w:val="006A692F"/>
    <w:rsid w:val="006A7B29"/>
    <w:rsid w:val="006B0057"/>
    <w:rsid w:val="006B073E"/>
    <w:rsid w:val="006B09ED"/>
    <w:rsid w:val="006B0E83"/>
    <w:rsid w:val="006B13C8"/>
    <w:rsid w:val="006B1A9F"/>
    <w:rsid w:val="006B2202"/>
    <w:rsid w:val="006B367B"/>
    <w:rsid w:val="006B3E2F"/>
    <w:rsid w:val="006B4174"/>
    <w:rsid w:val="006B48B6"/>
    <w:rsid w:val="006B5A84"/>
    <w:rsid w:val="006B6D00"/>
    <w:rsid w:val="006B7138"/>
    <w:rsid w:val="006C0280"/>
    <w:rsid w:val="006C0C01"/>
    <w:rsid w:val="006C0D16"/>
    <w:rsid w:val="006C0E0E"/>
    <w:rsid w:val="006C0FA4"/>
    <w:rsid w:val="006C14AE"/>
    <w:rsid w:val="006C2570"/>
    <w:rsid w:val="006C27B6"/>
    <w:rsid w:val="006C29E2"/>
    <w:rsid w:val="006C2A2A"/>
    <w:rsid w:val="006C2E49"/>
    <w:rsid w:val="006C30C2"/>
    <w:rsid w:val="006C3375"/>
    <w:rsid w:val="006C35B5"/>
    <w:rsid w:val="006C4171"/>
    <w:rsid w:val="006C419C"/>
    <w:rsid w:val="006C484B"/>
    <w:rsid w:val="006C4972"/>
    <w:rsid w:val="006C49A9"/>
    <w:rsid w:val="006C587F"/>
    <w:rsid w:val="006C6A41"/>
    <w:rsid w:val="006C6A82"/>
    <w:rsid w:val="006C6D48"/>
    <w:rsid w:val="006C702B"/>
    <w:rsid w:val="006C730C"/>
    <w:rsid w:val="006D0365"/>
    <w:rsid w:val="006D0369"/>
    <w:rsid w:val="006D1DEA"/>
    <w:rsid w:val="006D2165"/>
    <w:rsid w:val="006D2818"/>
    <w:rsid w:val="006D30E8"/>
    <w:rsid w:val="006D32F8"/>
    <w:rsid w:val="006D355A"/>
    <w:rsid w:val="006D39F4"/>
    <w:rsid w:val="006D47E1"/>
    <w:rsid w:val="006D4901"/>
    <w:rsid w:val="006D4F18"/>
    <w:rsid w:val="006D5D2E"/>
    <w:rsid w:val="006D61CB"/>
    <w:rsid w:val="006D63B7"/>
    <w:rsid w:val="006D671F"/>
    <w:rsid w:val="006D727F"/>
    <w:rsid w:val="006D737B"/>
    <w:rsid w:val="006D7572"/>
    <w:rsid w:val="006D7B6F"/>
    <w:rsid w:val="006D7BEC"/>
    <w:rsid w:val="006E0657"/>
    <w:rsid w:val="006E07F3"/>
    <w:rsid w:val="006E0B21"/>
    <w:rsid w:val="006E0C18"/>
    <w:rsid w:val="006E0DC7"/>
    <w:rsid w:val="006E1B50"/>
    <w:rsid w:val="006E1E3F"/>
    <w:rsid w:val="006E1EB9"/>
    <w:rsid w:val="006E2026"/>
    <w:rsid w:val="006E228B"/>
    <w:rsid w:val="006E26EC"/>
    <w:rsid w:val="006E30F0"/>
    <w:rsid w:val="006E3282"/>
    <w:rsid w:val="006E354C"/>
    <w:rsid w:val="006E3793"/>
    <w:rsid w:val="006E391A"/>
    <w:rsid w:val="006E3CDF"/>
    <w:rsid w:val="006E3E1C"/>
    <w:rsid w:val="006E3E3E"/>
    <w:rsid w:val="006E44D1"/>
    <w:rsid w:val="006E4681"/>
    <w:rsid w:val="006E46E5"/>
    <w:rsid w:val="006E4CE1"/>
    <w:rsid w:val="006E54A8"/>
    <w:rsid w:val="006E54AA"/>
    <w:rsid w:val="006E5E13"/>
    <w:rsid w:val="006E6340"/>
    <w:rsid w:val="006E6DF0"/>
    <w:rsid w:val="006E7086"/>
    <w:rsid w:val="006E7C78"/>
    <w:rsid w:val="006E7CDC"/>
    <w:rsid w:val="006F0202"/>
    <w:rsid w:val="006F070D"/>
    <w:rsid w:val="006F0FA2"/>
    <w:rsid w:val="006F1C31"/>
    <w:rsid w:val="006F28AD"/>
    <w:rsid w:val="006F2D3F"/>
    <w:rsid w:val="006F40F1"/>
    <w:rsid w:val="006F4541"/>
    <w:rsid w:val="006F45D8"/>
    <w:rsid w:val="006F5294"/>
    <w:rsid w:val="006F5FC1"/>
    <w:rsid w:val="006F63A8"/>
    <w:rsid w:val="006F64CD"/>
    <w:rsid w:val="006F6D2A"/>
    <w:rsid w:val="006F719E"/>
    <w:rsid w:val="006F71FD"/>
    <w:rsid w:val="006F73F5"/>
    <w:rsid w:val="006F7A77"/>
    <w:rsid w:val="006F7EF7"/>
    <w:rsid w:val="00701C5B"/>
    <w:rsid w:val="00701F4C"/>
    <w:rsid w:val="00701F5C"/>
    <w:rsid w:val="00703C68"/>
    <w:rsid w:val="00704241"/>
    <w:rsid w:val="00704540"/>
    <w:rsid w:val="00705602"/>
    <w:rsid w:val="0070597F"/>
    <w:rsid w:val="00705BB7"/>
    <w:rsid w:val="00705D17"/>
    <w:rsid w:val="00705E1F"/>
    <w:rsid w:val="00705EBE"/>
    <w:rsid w:val="007065E6"/>
    <w:rsid w:val="00706989"/>
    <w:rsid w:val="00706CE3"/>
    <w:rsid w:val="0070709A"/>
    <w:rsid w:val="00707C4D"/>
    <w:rsid w:val="00707DCA"/>
    <w:rsid w:val="00707EF5"/>
    <w:rsid w:val="0071011B"/>
    <w:rsid w:val="00710197"/>
    <w:rsid w:val="007107A8"/>
    <w:rsid w:val="007119BF"/>
    <w:rsid w:val="00711A43"/>
    <w:rsid w:val="00712139"/>
    <w:rsid w:val="00712204"/>
    <w:rsid w:val="007123E4"/>
    <w:rsid w:val="00712E9B"/>
    <w:rsid w:val="00712EE7"/>
    <w:rsid w:val="00713016"/>
    <w:rsid w:val="00713069"/>
    <w:rsid w:val="0071314C"/>
    <w:rsid w:val="0071322F"/>
    <w:rsid w:val="007135A7"/>
    <w:rsid w:val="007137AB"/>
    <w:rsid w:val="00714C0C"/>
    <w:rsid w:val="00714C55"/>
    <w:rsid w:val="0071549D"/>
    <w:rsid w:val="00715669"/>
    <w:rsid w:val="00715966"/>
    <w:rsid w:val="00716198"/>
    <w:rsid w:val="00716678"/>
    <w:rsid w:val="007166D2"/>
    <w:rsid w:val="007171A7"/>
    <w:rsid w:val="0071735F"/>
    <w:rsid w:val="00717483"/>
    <w:rsid w:val="0071799F"/>
    <w:rsid w:val="00717CAB"/>
    <w:rsid w:val="007200C2"/>
    <w:rsid w:val="0072021E"/>
    <w:rsid w:val="007218B0"/>
    <w:rsid w:val="00721CE6"/>
    <w:rsid w:val="00722506"/>
    <w:rsid w:val="00722A95"/>
    <w:rsid w:val="00722A9E"/>
    <w:rsid w:val="00722C88"/>
    <w:rsid w:val="0072349C"/>
    <w:rsid w:val="00723E6C"/>
    <w:rsid w:val="00724162"/>
    <w:rsid w:val="00724805"/>
    <w:rsid w:val="00724B4C"/>
    <w:rsid w:val="00726207"/>
    <w:rsid w:val="007264C6"/>
    <w:rsid w:val="007266AA"/>
    <w:rsid w:val="00726AB6"/>
    <w:rsid w:val="00727935"/>
    <w:rsid w:val="00727959"/>
    <w:rsid w:val="00730018"/>
    <w:rsid w:val="007302B9"/>
    <w:rsid w:val="00730652"/>
    <w:rsid w:val="00730748"/>
    <w:rsid w:val="007310F9"/>
    <w:rsid w:val="00731572"/>
    <w:rsid w:val="00732358"/>
    <w:rsid w:val="00732436"/>
    <w:rsid w:val="00732993"/>
    <w:rsid w:val="00732C2A"/>
    <w:rsid w:val="00732C7E"/>
    <w:rsid w:val="00732D3E"/>
    <w:rsid w:val="00732F04"/>
    <w:rsid w:val="0073319F"/>
    <w:rsid w:val="007333FF"/>
    <w:rsid w:val="00733A8F"/>
    <w:rsid w:val="00733AB3"/>
    <w:rsid w:val="00734D1E"/>
    <w:rsid w:val="00734DA7"/>
    <w:rsid w:val="007350B7"/>
    <w:rsid w:val="00735153"/>
    <w:rsid w:val="00735275"/>
    <w:rsid w:val="007353DC"/>
    <w:rsid w:val="00735477"/>
    <w:rsid w:val="0073594A"/>
    <w:rsid w:val="00735BC2"/>
    <w:rsid w:val="007365A5"/>
    <w:rsid w:val="00736902"/>
    <w:rsid w:val="00736F41"/>
    <w:rsid w:val="00736FA5"/>
    <w:rsid w:val="007371CA"/>
    <w:rsid w:val="007374DF"/>
    <w:rsid w:val="00740262"/>
    <w:rsid w:val="00740917"/>
    <w:rsid w:val="00740E11"/>
    <w:rsid w:val="00741805"/>
    <w:rsid w:val="00741CB3"/>
    <w:rsid w:val="0074366E"/>
    <w:rsid w:val="00743B7C"/>
    <w:rsid w:val="007446B0"/>
    <w:rsid w:val="0074516A"/>
    <w:rsid w:val="0074523E"/>
    <w:rsid w:val="00746090"/>
    <w:rsid w:val="00746E6A"/>
    <w:rsid w:val="0074710F"/>
    <w:rsid w:val="00747A4F"/>
    <w:rsid w:val="00747AD1"/>
    <w:rsid w:val="00747DB1"/>
    <w:rsid w:val="00750034"/>
    <w:rsid w:val="00750498"/>
    <w:rsid w:val="00751403"/>
    <w:rsid w:val="007517E3"/>
    <w:rsid w:val="00751B01"/>
    <w:rsid w:val="0075205B"/>
    <w:rsid w:val="0075279F"/>
    <w:rsid w:val="0075307C"/>
    <w:rsid w:val="007532DD"/>
    <w:rsid w:val="00753578"/>
    <w:rsid w:val="00754A3D"/>
    <w:rsid w:val="00754B6B"/>
    <w:rsid w:val="00754B80"/>
    <w:rsid w:val="00755BB2"/>
    <w:rsid w:val="00755FD2"/>
    <w:rsid w:val="00756828"/>
    <w:rsid w:val="00756937"/>
    <w:rsid w:val="00757DC3"/>
    <w:rsid w:val="00760036"/>
    <w:rsid w:val="00760D3C"/>
    <w:rsid w:val="007616F5"/>
    <w:rsid w:val="00762503"/>
    <w:rsid w:val="00762C22"/>
    <w:rsid w:val="00763BE4"/>
    <w:rsid w:val="00763CFB"/>
    <w:rsid w:val="00765138"/>
    <w:rsid w:val="00765263"/>
    <w:rsid w:val="0076542B"/>
    <w:rsid w:val="007657A4"/>
    <w:rsid w:val="00765F17"/>
    <w:rsid w:val="007667C0"/>
    <w:rsid w:val="00766C0D"/>
    <w:rsid w:val="00766EF8"/>
    <w:rsid w:val="00767F47"/>
    <w:rsid w:val="007716A4"/>
    <w:rsid w:val="00771778"/>
    <w:rsid w:val="007719F8"/>
    <w:rsid w:val="00771FD2"/>
    <w:rsid w:val="007722A4"/>
    <w:rsid w:val="00772909"/>
    <w:rsid w:val="00773F7C"/>
    <w:rsid w:val="007745F6"/>
    <w:rsid w:val="00774E18"/>
    <w:rsid w:val="007765C8"/>
    <w:rsid w:val="00776654"/>
    <w:rsid w:val="00776A91"/>
    <w:rsid w:val="00776BB9"/>
    <w:rsid w:val="007772BC"/>
    <w:rsid w:val="0077788C"/>
    <w:rsid w:val="007803C1"/>
    <w:rsid w:val="007808A5"/>
    <w:rsid w:val="00780F0F"/>
    <w:rsid w:val="0078121B"/>
    <w:rsid w:val="007814F2"/>
    <w:rsid w:val="007817E2"/>
    <w:rsid w:val="00781843"/>
    <w:rsid w:val="00781FEC"/>
    <w:rsid w:val="007821A7"/>
    <w:rsid w:val="007821EC"/>
    <w:rsid w:val="00782235"/>
    <w:rsid w:val="007824DD"/>
    <w:rsid w:val="00782942"/>
    <w:rsid w:val="00782AC9"/>
    <w:rsid w:val="00782B4C"/>
    <w:rsid w:val="007834F9"/>
    <w:rsid w:val="007837DE"/>
    <w:rsid w:val="00783ADA"/>
    <w:rsid w:val="00783E6A"/>
    <w:rsid w:val="007854FC"/>
    <w:rsid w:val="00785A9A"/>
    <w:rsid w:val="00786594"/>
    <w:rsid w:val="0078729F"/>
    <w:rsid w:val="007872FD"/>
    <w:rsid w:val="0078780A"/>
    <w:rsid w:val="007900E5"/>
    <w:rsid w:val="00790A57"/>
    <w:rsid w:val="00790CE3"/>
    <w:rsid w:val="00791429"/>
    <w:rsid w:val="007919A3"/>
    <w:rsid w:val="0079263E"/>
    <w:rsid w:val="00792A05"/>
    <w:rsid w:val="007932B7"/>
    <w:rsid w:val="007939E0"/>
    <w:rsid w:val="00793EF1"/>
    <w:rsid w:val="007945FF"/>
    <w:rsid w:val="007946A6"/>
    <w:rsid w:val="00795616"/>
    <w:rsid w:val="00795EF3"/>
    <w:rsid w:val="00796719"/>
    <w:rsid w:val="00796D36"/>
    <w:rsid w:val="00797AF5"/>
    <w:rsid w:val="00797F06"/>
    <w:rsid w:val="007A06DD"/>
    <w:rsid w:val="007A07AF"/>
    <w:rsid w:val="007A0C2E"/>
    <w:rsid w:val="007A13E0"/>
    <w:rsid w:val="007A2524"/>
    <w:rsid w:val="007A26D4"/>
    <w:rsid w:val="007A2D30"/>
    <w:rsid w:val="007A2D4F"/>
    <w:rsid w:val="007A334F"/>
    <w:rsid w:val="007A4180"/>
    <w:rsid w:val="007A48E7"/>
    <w:rsid w:val="007A4B78"/>
    <w:rsid w:val="007A4D5C"/>
    <w:rsid w:val="007A4F06"/>
    <w:rsid w:val="007A54F6"/>
    <w:rsid w:val="007A5C50"/>
    <w:rsid w:val="007A6751"/>
    <w:rsid w:val="007B0131"/>
    <w:rsid w:val="007B0620"/>
    <w:rsid w:val="007B0BBC"/>
    <w:rsid w:val="007B0E42"/>
    <w:rsid w:val="007B1021"/>
    <w:rsid w:val="007B1289"/>
    <w:rsid w:val="007B14CA"/>
    <w:rsid w:val="007B14FC"/>
    <w:rsid w:val="007B15F3"/>
    <w:rsid w:val="007B1C72"/>
    <w:rsid w:val="007B1E10"/>
    <w:rsid w:val="007B1F74"/>
    <w:rsid w:val="007B2942"/>
    <w:rsid w:val="007B2DA0"/>
    <w:rsid w:val="007B3201"/>
    <w:rsid w:val="007B33EE"/>
    <w:rsid w:val="007B3967"/>
    <w:rsid w:val="007B3F06"/>
    <w:rsid w:val="007B492A"/>
    <w:rsid w:val="007B4AAF"/>
    <w:rsid w:val="007B538B"/>
    <w:rsid w:val="007B53CA"/>
    <w:rsid w:val="007B5583"/>
    <w:rsid w:val="007B5747"/>
    <w:rsid w:val="007B5A7B"/>
    <w:rsid w:val="007B5ACD"/>
    <w:rsid w:val="007B6E73"/>
    <w:rsid w:val="007B773D"/>
    <w:rsid w:val="007B7C1B"/>
    <w:rsid w:val="007B7CF9"/>
    <w:rsid w:val="007C05B8"/>
    <w:rsid w:val="007C0A14"/>
    <w:rsid w:val="007C0AD2"/>
    <w:rsid w:val="007C13A0"/>
    <w:rsid w:val="007C1FEC"/>
    <w:rsid w:val="007C2915"/>
    <w:rsid w:val="007C2C78"/>
    <w:rsid w:val="007C3770"/>
    <w:rsid w:val="007C3934"/>
    <w:rsid w:val="007C3FFE"/>
    <w:rsid w:val="007C4085"/>
    <w:rsid w:val="007C41B7"/>
    <w:rsid w:val="007C4546"/>
    <w:rsid w:val="007C4E55"/>
    <w:rsid w:val="007C55D5"/>
    <w:rsid w:val="007C5A28"/>
    <w:rsid w:val="007C5C5B"/>
    <w:rsid w:val="007C6848"/>
    <w:rsid w:val="007C6E83"/>
    <w:rsid w:val="007C73D0"/>
    <w:rsid w:val="007C7531"/>
    <w:rsid w:val="007C787A"/>
    <w:rsid w:val="007C7DEE"/>
    <w:rsid w:val="007C7DF0"/>
    <w:rsid w:val="007D0CCD"/>
    <w:rsid w:val="007D1884"/>
    <w:rsid w:val="007D20D0"/>
    <w:rsid w:val="007D2B2E"/>
    <w:rsid w:val="007D3641"/>
    <w:rsid w:val="007D3B51"/>
    <w:rsid w:val="007D3C3E"/>
    <w:rsid w:val="007D4B8A"/>
    <w:rsid w:val="007D4D5A"/>
    <w:rsid w:val="007D540C"/>
    <w:rsid w:val="007D5FAE"/>
    <w:rsid w:val="007D6AC5"/>
    <w:rsid w:val="007D6B55"/>
    <w:rsid w:val="007D6C81"/>
    <w:rsid w:val="007D72D1"/>
    <w:rsid w:val="007E02F6"/>
    <w:rsid w:val="007E0314"/>
    <w:rsid w:val="007E0F8C"/>
    <w:rsid w:val="007E0FFF"/>
    <w:rsid w:val="007E1AA0"/>
    <w:rsid w:val="007E294B"/>
    <w:rsid w:val="007E30C4"/>
    <w:rsid w:val="007E30FC"/>
    <w:rsid w:val="007E4402"/>
    <w:rsid w:val="007E451F"/>
    <w:rsid w:val="007E4A98"/>
    <w:rsid w:val="007E57E4"/>
    <w:rsid w:val="007E5EC3"/>
    <w:rsid w:val="007E64D7"/>
    <w:rsid w:val="007E65B8"/>
    <w:rsid w:val="007E6C5E"/>
    <w:rsid w:val="007E71C5"/>
    <w:rsid w:val="007E7687"/>
    <w:rsid w:val="007E7A71"/>
    <w:rsid w:val="007E7F86"/>
    <w:rsid w:val="007F0492"/>
    <w:rsid w:val="007F08F0"/>
    <w:rsid w:val="007F0AA4"/>
    <w:rsid w:val="007F0AFE"/>
    <w:rsid w:val="007F1752"/>
    <w:rsid w:val="007F2BE3"/>
    <w:rsid w:val="007F2BFA"/>
    <w:rsid w:val="007F315F"/>
    <w:rsid w:val="007F3284"/>
    <w:rsid w:val="007F378A"/>
    <w:rsid w:val="007F3B24"/>
    <w:rsid w:val="007F45DE"/>
    <w:rsid w:val="007F4754"/>
    <w:rsid w:val="007F4CFC"/>
    <w:rsid w:val="007F4D13"/>
    <w:rsid w:val="007F4E1A"/>
    <w:rsid w:val="007F4FF2"/>
    <w:rsid w:val="007F5CE1"/>
    <w:rsid w:val="007F6800"/>
    <w:rsid w:val="007F69AB"/>
    <w:rsid w:val="007F6EA0"/>
    <w:rsid w:val="007F6F73"/>
    <w:rsid w:val="007F720E"/>
    <w:rsid w:val="007F78B1"/>
    <w:rsid w:val="007F79B8"/>
    <w:rsid w:val="007F7D82"/>
    <w:rsid w:val="008001AE"/>
    <w:rsid w:val="008002A3"/>
    <w:rsid w:val="00800382"/>
    <w:rsid w:val="0080039B"/>
    <w:rsid w:val="008005B1"/>
    <w:rsid w:val="00800868"/>
    <w:rsid w:val="008016F6"/>
    <w:rsid w:val="00801E23"/>
    <w:rsid w:val="008023DE"/>
    <w:rsid w:val="008025CD"/>
    <w:rsid w:val="008030D1"/>
    <w:rsid w:val="008032A9"/>
    <w:rsid w:val="008032CC"/>
    <w:rsid w:val="0080336D"/>
    <w:rsid w:val="00803655"/>
    <w:rsid w:val="0080367D"/>
    <w:rsid w:val="00803D83"/>
    <w:rsid w:val="008040C0"/>
    <w:rsid w:val="00804398"/>
    <w:rsid w:val="00804A37"/>
    <w:rsid w:val="00804B63"/>
    <w:rsid w:val="00805BA9"/>
    <w:rsid w:val="00806723"/>
    <w:rsid w:val="00806856"/>
    <w:rsid w:val="00807097"/>
    <w:rsid w:val="0080758D"/>
    <w:rsid w:val="00807969"/>
    <w:rsid w:val="00807C61"/>
    <w:rsid w:val="00807C9B"/>
    <w:rsid w:val="00807D56"/>
    <w:rsid w:val="00810071"/>
    <w:rsid w:val="00810600"/>
    <w:rsid w:val="008106BC"/>
    <w:rsid w:val="008107D2"/>
    <w:rsid w:val="0081313A"/>
    <w:rsid w:val="0081494D"/>
    <w:rsid w:val="00814F6E"/>
    <w:rsid w:val="00816D8E"/>
    <w:rsid w:val="00816F96"/>
    <w:rsid w:val="00817322"/>
    <w:rsid w:val="00817C15"/>
    <w:rsid w:val="00817FD0"/>
    <w:rsid w:val="008207CA"/>
    <w:rsid w:val="00822255"/>
    <w:rsid w:val="00822264"/>
    <w:rsid w:val="00822BAE"/>
    <w:rsid w:val="00824487"/>
    <w:rsid w:val="008247F0"/>
    <w:rsid w:val="0082620B"/>
    <w:rsid w:val="0082627B"/>
    <w:rsid w:val="008267C0"/>
    <w:rsid w:val="00827316"/>
    <w:rsid w:val="008312A0"/>
    <w:rsid w:val="00831D53"/>
    <w:rsid w:val="0083255B"/>
    <w:rsid w:val="0083262B"/>
    <w:rsid w:val="00832B59"/>
    <w:rsid w:val="008330FC"/>
    <w:rsid w:val="008331D9"/>
    <w:rsid w:val="00833310"/>
    <w:rsid w:val="00834352"/>
    <w:rsid w:val="0083436E"/>
    <w:rsid w:val="00834B5F"/>
    <w:rsid w:val="00834D94"/>
    <w:rsid w:val="008352A1"/>
    <w:rsid w:val="008352C6"/>
    <w:rsid w:val="008352DB"/>
    <w:rsid w:val="00835670"/>
    <w:rsid w:val="00835CFE"/>
    <w:rsid w:val="00836395"/>
    <w:rsid w:val="00836AAB"/>
    <w:rsid w:val="00836BC9"/>
    <w:rsid w:val="00836C3E"/>
    <w:rsid w:val="008400CE"/>
    <w:rsid w:val="0084125B"/>
    <w:rsid w:val="008417EA"/>
    <w:rsid w:val="00841B4A"/>
    <w:rsid w:val="008422EB"/>
    <w:rsid w:val="00842767"/>
    <w:rsid w:val="00842A5D"/>
    <w:rsid w:val="00842E99"/>
    <w:rsid w:val="008430F3"/>
    <w:rsid w:val="008439BB"/>
    <w:rsid w:val="00844424"/>
    <w:rsid w:val="008449B2"/>
    <w:rsid w:val="00844CDC"/>
    <w:rsid w:val="00844EEE"/>
    <w:rsid w:val="0084530C"/>
    <w:rsid w:val="00845824"/>
    <w:rsid w:val="00845AF5"/>
    <w:rsid w:val="008466C5"/>
    <w:rsid w:val="00846DC2"/>
    <w:rsid w:val="00846DF1"/>
    <w:rsid w:val="00847854"/>
    <w:rsid w:val="00847855"/>
    <w:rsid w:val="008501CE"/>
    <w:rsid w:val="00850327"/>
    <w:rsid w:val="00850FCD"/>
    <w:rsid w:val="00851704"/>
    <w:rsid w:val="00851794"/>
    <w:rsid w:val="00852449"/>
    <w:rsid w:val="0085285F"/>
    <w:rsid w:val="00854176"/>
    <w:rsid w:val="0085521A"/>
    <w:rsid w:val="0085571A"/>
    <w:rsid w:val="008559A5"/>
    <w:rsid w:val="00856D95"/>
    <w:rsid w:val="0085726B"/>
    <w:rsid w:val="008577E4"/>
    <w:rsid w:val="00857BD2"/>
    <w:rsid w:val="00857EC6"/>
    <w:rsid w:val="00860633"/>
    <w:rsid w:val="008612B9"/>
    <w:rsid w:val="0086145F"/>
    <w:rsid w:val="008616C2"/>
    <w:rsid w:val="008626B1"/>
    <w:rsid w:val="00864314"/>
    <w:rsid w:val="00864379"/>
    <w:rsid w:val="00864949"/>
    <w:rsid w:val="00864A47"/>
    <w:rsid w:val="00864C00"/>
    <w:rsid w:val="0086556E"/>
    <w:rsid w:val="00865652"/>
    <w:rsid w:val="008663C7"/>
    <w:rsid w:val="0086642E"/>
    <w:rsid w:val="00866460"/>
    <w:rsid w:val="00866813"/>
    <w:rsid w:val="00866A55"/>
    <w:rsid w:val="00866B91"/>
    <w:rsid w:val="0086718D"/>
    <w:rsid w:val="00867556"/>
    <w:rsid w:val="008676BE"/>
    <w:rsid w:val="00867E16"/>
    <w:rsid w:val="0087044F"/>
    <w:rsid w:val="00870B14"/>
    <w:rsid w:val="00871055"/>
    <w:rsid w:val="008717EF"/>
    <w:rsid w:val="00871CAF"/>
    <w:rsid w:val="00871CE1"/>
    <w:rsid w:val="00871FCD"/>
    <w:rsid w:val="0087204D"/>
    <w:rsid w:val="00872447"/>
    <w:rsid w:val="00872532"/>
    <w:rsid w:val="0087259E"/>
    <w:rsid w:val="00872C6A"/>
    <w:rsid w:val="008734BD"/>
    <w:rsid w:val="00873876"/>
    <w:rsid w:val="00874149"/>
    <w:rsid w:val="00874396"/>
    <w:rsid w:val="0087442E"/>
    <w:rsid w:val="008749BD"/>
    <w:rsid w:val="00874ED8"/>
    <w:rsid w:val="0087521A"/>
    <w:rsid w:val="008759D5"/>
    <w:rsid w:val="00875F64"/>
    <w:rsid w:val="0087646A"/>
    <w:rsid w:val="008765BE"/>
    <w:rsid w:val="00877AAF"/>
    <w:rsid w:val="0088005E"/>
    <w:rsid w:val="00880113"/>
    <w:rsid w:val="00880B12"/>
    <w:rsid w:val="00880D7D"/>
    <w:rsid w:val="0088269E"/>
    <w:rsid w:val="008831EB"/>
    <w:rsid w:val="00883F57"/>
    <w:rsid w:val="008841DE"/>
    <w:rsid w:val="00885585"/>
    <w:rsid w:val="008855EE"/>
    <w:rsid w:val="008857ED"/>
    <w:rsid w:val="00885A3A"/>
    <w:rsid w:val="00885BB8"/>
    <w:rsid w:val="00886F14"/>
    <w:rsid w:val="00887521"/>
    <w:rsid w:val="0088774E"/>
    <w:rsid w:val="00887C5C"/>
    <w:rsid w:val="00887F5C"/>
    <w:rsid w:val="0088F059"/>
    <w:rsid w:val="008902FA"/>
    <w:rsid w:val="00890B3E"/>
    <w:rsid w:val="00891D4C"/>
    <w:rsid w:val="00891F10"/>
    <w:rsid w:val="00891F85"/>
    <w:rsid w:val="00892279"/>
    <w:rsid w:val="008926BD"/>
    <w:rsid w:val="00892847"/>
    <w:rsid w:val="00892C03"/>
    <w:rsid w:val="00893B1E"/>
    <w:rsid w:val="00895896"/>
    <w:rsid w:val="00895906"/>
    <w:rsid w:val="00895C23"/>
    <w:rsid w:val="00896A40"/>
    <w:rsid w:val="00896BA9"/>
    <w:rsid w:val="00896F82"/>
    <w:rsid w:val="00896FA9"/>
    <w:rsid w:val="0089710E"/>
    <w:rsid w:val="00897856"/>
    <w:rsid w:val="008A04CE"/>
    <w:rsid w:val="008A090E"/>
    <w:rsid w:val="008A0A42"/>
    <w:rsid w:val="008A0D2B"/>
    <w:rsid w:val="008A125C"/>
    <w:rsid w:val="008A15A8"/>
    <w:rsid w:val="008A1806"/>
    <w:rsid w:val="008A1C66"/>
    <w:rsid w:val="008A1E49"/>
    <w:rsid w:val="008A233C"/>
    <w:rsid w:val="008A288D"/>
    <w:rsid w:val="008A2FDA"/>
    <w:rsid w:val="008A3000"/>
    <w:rsid w:val="008A35D4"/>
    <w:rsid w:val="008A3B90"/>
    <w:rsid w:val="008A3D5E"/>
    <w:rsid w:val="008A4320"/>
    <w:rsid w:val="008A4854"/>
    <w:rsid w:val="008A4C95"/>
    <w:rsid w:val="008A4CED"/>
    <w:rsid w:val="008A4D16"/>
    <w:rsid w:val="008A5116"/>
    <w:rsid w:val="008A58B5"/>
    <w:rsid w:val="008A613F"/>
    <w:rsid w:val="008A65E3"/>
    <w:rsid w:val="008A761C"/>
    <w:rsid w:val="008A7C71"/>
    <w:rsid w:val="008B04F8"/>
    <w:rsid w:val="008B0C11"/>
    <w:rsid w:val="008B0EC7"/>
    <w:rsid w:val="008B19DE"/>
    <w:rsid w:val="008B1DAF"/>
    <w:rsid w:val="008B2341"/>
    <w:rsid w:val="008B2895"/>
    <w:rsid w:val="008B2E1C"/>
    <w:rsid w:val="008B3360"/>
    <w:rsid w:val="008B3A51"/>
    <w:rsid w:val="008B3BDD"/>
    <w:rsid w:val="008B3C31"/>
    <w:rsid w:val="008B4721"/>
    <w:rsid w:val="008B4766"/>
    <w:rsid w:val="008B4ECC"/>
    <w:rsid w:val="008B4F92"/>
    <w:rsid w:val="008B556A"/>
    <w:rsid w:val="008B5D5C"/>
    <w:rsid w:val="008B62D1"/>
    <w:rsid w:val="008B67C5"/>
    <w:rsid w:val="008B6D52"/>
    <w:rsid w:val="008B73F0"/>
    <w:rsid w:val="008B75E1"/>
    <w:rsid w:val="008B7ED7"/>
    <w:rsid w:val="008B7F31"/>
    <w:rsid w:val="008C0486"/>
    <w:rsid w:val="008C089B"/>
    <w:rsid w:val="008C09EA"/>
    <w:rsid w:val="008C1398"/>
    <w:rsid w:val="008C18BE"/>
    <w:rsid w:val="008C25CE"/>
    <w:rsid w:val="008C2651"/>
    <w:rsid w:val="008C28ED"/>
    <w:rsid w:val="008C3BC9"/>
    <w:rsid w:val="008C5D5D"/>
    <w:rsid w:val="008C5DDB"/>
    <w:rsid w:val="008C5EF5"/>
    <w:rsid w:val="008C68FE"/>
    <w:rsid w:val="008C6C45"/>
    <w:rsid w:val="008C6E28"/>
    <w:rsid w:val="008C7476"/>
    <w:rsid w:val="008C7F62"/>
    <w:rsid w:val="008D0DE6"/>
    <w:rsid w:val="008D0FAB"/>
    <w:rsid w:val="008D14E9"/>
    <w:rsid w:val="008D1997"/>
    <w:rsid w:val="008D1C60"/>
    <w:rsid w:val="008D2022"/>
    <w:rsid w:val="008D2272"/>
    <w:rsid w:val="008D299F"/>
    <w:rsid w:val="008D29FB"/>
    <w:rsid w:val="008D2EB9"/>
    <w:rsid w:val="008D3A96"/>
    <w:rsid w:val="008D3CFC"/>
    <w:rsid w:val="008D3FE4"/>
    <w:rsid w:val="008D44B0"/>
    <w:rsid w:val="008D4AB5"/>
    <w:rsid w:val="008D5010"/>
    <w:rsid w:val="008D5385"/>
    <w:rsid w:val="008D6277"/>
    <w:rsid w:val="008D679A"/>
    <w:rsid w:val="008D6A3F"/>
    <w:rsid w:val="008D712D"/>
    <w:rsid w:val="008D7573"/>
    <w:rsid w:val="008D79A8"/>
    <w:rsid w:val="008D7A26"/>
    <w:rsid w:val="008E021B"/>
    <w:rsid w:val="008E09FF"/>
    <w:rsid w:val="008E0A8E"/>
    <w:rsid w:val="008E0B9D"/>
    <w:rsid w:val="008E0DCC"/>
    <w:rsid w:val="008E1D79"/>
    <w:rsid w:val="008E1F5E"/>
    <w:rsid w:val="008E24CE"/>
    <w:rsid w:val="008E266E"/>
    <w:rsid w:val="008E3BBC"/>
    <w:rsid w:val="008E430B"/>
    <w:rsid w:val="008E4492"/>
    <w:rsid w:val="008E4915"/>
    <w:rsid w:val="008E4FA7"/>
    <w:rsid w:val="008E521A"/>
    <w:rsid w:val="008E526B"/>
    <w:rsid w:val="008E5747"/>
    <w:rsid w:val="008E5750"/>
    <w:rsid w:val="008E6045"/>
    <w:rsid w:val="008E6421"/>
    <w:rsid w:val="008E6B29"/>
    <w:rsid w:val="008F0BF2"/>
    <w:rsid w:val="008F1240"/>
    <w:rsid w:val="008F1AC9"/>
    <w:rsid w:val="008F463A"/>
    <w:rsid w:val="008F4956"/>
    <w:rsid w:val="008F5530"/>
    <w:rsid w:val="008F56D8"/>
    <w:rsid w:val="008F5773"/>
    <w:rsid w:val="008F587A"/>
    <w:rsid w:val="008F6043"/>
    <w:rsid w:val="008F6F00"/>
    <w:rsid w:val="008F71AB"/>
    <w:rsid w:val="008F725C"/>
    <w:rsid w:val="008F7742"/>
    <w:rsid w:val="008F78A8"/>
    <w:rsid w:val="008F7F6A"/>
    <w:rsid w:val="008F7FBB"/>
    <w:rsid w:val="00900675"/>
    <w:rsid w:val="00900782"/>
    <w:rsid w:val="009009CE"/>
    <w:rsid w:val="0090111E"/>
    <w:rsid w:val="009011CC"/>
    <w:rsid w:val="0090168D"/>
    <w:rsid w:val="009018CB"/>
    <w:rsid w:val="00901950"/>
    <w:rsid w:val="00902616"/>
    <w:rsid w:val="009028A1"/>
    <w:rsid w:val="009051D8"/>
    <w:rsid w:val="009054C8"/>
    <w:rsid w:val="00905552"/>
    <w:rsid w:val="00906094"/>
    <w:rsid w:val="00906F9F"/>
    <w:rsid w:val="00907272"/>
    <w:rsid w:val="00907461"/>
    <w:rsid w:val="009109A7"/>
    <w:rsid w:val="009113F4"/>
    <w:rsid w:val="00911732"/>
    <w:rsid w:val="009120B0"/>
    <w:rsid w:val="009122A9"/>
    <w:rsid w:val="009129B3"/>
    <w:rsid w:val="00912A2C"/>
    <w:rsid w:val="009146A5"/>
    <w:rsid w:val="00915425"/>
    <w:rsid w:val="009163A7"/>
    <w:rsid w:val="00916677"/>
    <w:rsid w:val="009171A0"/>
    <w:rsid w:val="009174AB"/>
    <w:rsid w:val="009177D9"/>
    <w:rsid w:val="00920344"/>
    <w:rsid w:val="009205C9"/>
    <w:rsid w:val="0092065C"/>
    <w:rsid w:val="00920C9A"/>
    <w:rsid w:val="00921135"/>
    <w:rsid w:val="0092130F"/>
    <w:rsid w:val="009213E0"/>
    <w:rsid w:val="00922194"/>
    <w:rsid w:val="0092223D"/>
    <w:rsid w:val="00922918"/>
    <w:rsid w:val="00923BAD"/>
    <w:rsid w:val="00924D9C"/>
    <w:rsid w:val="00924F6F"/>
    <w:rsid w:val="009256A8"/>
    <w:rsid w:val="00925A8A"/>
    <w:rsid w:val="0092604F"/>
    <w:rsid w:val="00926816"/>
    <w:rsid w:val="00926B68"/>
    <w:rsid w:val="00926D9E"/>
    <w:rsid w:val="00926F90"/>
    <w:rsid w:val="0092704E"/>
    <w:rsid w:val="00930263"/>
    <w:rsid w:val="00930A85"/>
    <w:rsid w:val="00930B6E"/>
    <w:rsid w:val="009311D9"/>
    <w:rsid w:val="0093125C"/>
    <w:rsid w:val="00931434"/>
    <w:rsid w:val="0093157F"/>
    <w:rsid w:val="00931712"/>
    <w:rsid w:val="00932D95"/>
    <w:rsid w:val="0093349B"/>
    <w:rsid w:val="00933F53"/>
    <w:rsid w:val="00934542"/>
    <w:rsid w:val="00934F26"/>
    <w:rsid w:val="00935316"/>
    <w:rsid w:val="009364A1"/>
    <w:rsid w:val="0093659F"/>
    <w:rsid w:val="00936604"/>
    <w:rsid w:val="009369DD"/>
    <w:rsid w:val="00936A06"/>
    <w:rsid w:val="00936C10"/>
    <w:rsid w:val="009378EC"/>
    <w:rsid w:val="00937BFE"/>
    <w:rsid w:val="00937EA7"/>
    <w:rsid w:val="009406C7"/>
    <w:rsid w:val="009430D9"/>
    <w:rsid w:val="00943336"/>
    <w:rsid w:val="00943443"/>
    <w:rsid w:val="009436C9"/>
    <w:rsid w:val="009443A5"/>
    <w:rsid w:val="00944577"/>
    <w:rsid w:val="00944942"/>
    <w:rsid w:val="009453FF"/>
    <w:rsid w:val="00945940"/>
    <w:rsid w:val="0094601B"/>
    <w:rsid w:val="00946217"/>
    <w:rsid w:val="009469FA"/>
    <w:rsid w:val="00947492"/>
    <w:rsid w:val="009474A2"/>
    <w:rsid w:val="009474FC"/>
    <w:rsid w:val="009476A2"/>
    <w:rsid w:val="00947A2B"/>
    <w:rsid w:val="00947A7B"/>
    <w:rsid w:val="00947FAF"/>
    <w:rsid w:val="00950593"/>
    <w:rsid w:val="00950838"/>
    <w:rsid w:val="009508B8"/>
    <w:rsid w:val="009508EB"/>
    <w:rsid w:val="00950C7F"/>
    <w:rsid w:val="00950E74"/>
    <w:rsid w:val="00951409"/>
    <w:rsid w:val="00951EF6"/>
    <w:rsid w:val="00951FBC"/>
    <w:rsid w:val="00951FDD"/>
    <w:rsid w:val="00952339"/>
    <w:rsid w:val="00953011"/>
    <w:rsid w:val="009537BA"/>
    <w:rsid w:val="009537F4"/>
    <w:rsid w:val="00954292"/>
    <w:rsid w:val="0095533D"/>
    <w:rsid w:val="00955B5A"/>
    <w:rsid w:val="009565D6"/>
    <w:rsid w:val="00956AF8"/>
    <w:rsid w:val="00956E79"/>
    <w:rsid w:val="00957B46"/>
    <w:rsid w:val="00957B70"/>
    <w:rsid w:val="0096039F"/>
    <w:rsid w:val="00961063"/>
    <w:rsid w:val="0096144E"/>
    <w:rsid w:val="0096161E"/>
    <w:rsid w:val="00961658"/>
    <w:rsid w:val="00961D05"/>
    <w:rsid w:val="009626C8"/>
    <w:rsid w:val="009634C2"/>
    <w:rsid w:val="009640ED"/>
    <w:rsid w:val="00964D21"/>
    <w:rsid w:val="00964DEC"/>
    <w:rsid w:val="00965A64"/>
    <w:rsid w:val="00965AF5"/>
    <w:rsid w:val="009664AB"/>
    <w:rsid w:val="009665A5"/>
    <w:rsid w:val="00966ED3"/>
    <w:rsid w:val="00967323"/>
    <w:rsid w:val="0096738D"/>
    <w:rsid w:val="00967B92"/>
    <w:rsid w:val="00970228"/>
    <w:rsid w:val="009704E2"/>
    <w:rsid w:val="009708E1"/>
    <w:rsid w:val="00970C31"/>
    <w:rsid w:val="00971561"/>
    <w:rsid w:val="00971916"/>
    <w:rsid w:val="00971E0B"/>
    <w:rsid w:val="009720DD"/>
    <w:rsid w:val="00972385"/>
    <w:rsid w:val="009725FA"/>
    <w:rsid w:val="00972D2C"/>
    <w:rsid w:val="00972D45"/>
    <w:rsid w:val="00973159"/>
    <w:rsid w:val="009739AD"/>
    <w:rsid w:val="00973DD9"/>
    <w:rsid w:val="00974D98"/>
    <w:rsid w:val="00975BEE"/>
    <w:rsid w:val="00975F70"/>
    <w:rsid w:val="00976DD6"/>
    <w:rsid w:val="009776F6"/>
    <w:rsid w:val="00977FF5"/>
    <w:rsid w:val="009807A5"/>
    <w:rsid w:val="00980894"/>
    <w:rsid w:val="00980AE7"/>
    <w:rsid w:val="00980B00"/>
    <w:rsid w:val="00980B64"/>
    <w:rsid w:val="00980DC1"/>
    <w:rsid w:val="00981873"/>
    <w:rsid w:val="00982220"/>
    <w:rsid w:val="009826B7"/>
    <w:rsid w:val="00982CD9"/>
    <w:rsid w:val="009830E0"/>
    <w:rsid w:val="00983175"/>
    <w:rsid w:val="00984561"/>
    <w:rsid w:val="009847A6"/>
    <w:rsid w:val="00984C2C"/>
    <w:rsid w:val="00985266"/>
    <w:rsid w:val="00985B4C"/>
    <w:rsid w:val="00986742"/>
    <w:rsid w:val="009869BC"/>
    <w:rsid w:val="009869CD"/>
    <w:rsid w:val="00986C97"/>
    <w:rsid w:val="00987517"/>
    <w:rsid w:val="0098756E"/>
    <w:rsid w:val="00987928"/>
    <w:rsid w:val="00990753"/>
    <w:rsid w:val="00990C3C"/>
    <w:rsid w:val="00990D6A"/>
    <w:rsid w:val="00991392"/>
    <w:rsid w:val="00991A87"/>
    <w:rsid w:val="00991BD0"/>
    <w:rsid w:val="00991C14"/>
    <w:rsid w:val="009924E4"/>
    <w:rsid w:val="0099349D"/>
    <w:rsid w:val="00993733"/>
    <w:rsid w:val="00993BCD"/>
    <w:rsid w:val="00994283"/>
    <w:rsid w:val="0099439B"/>
    <w:rsid w:val="009957FE"/>
    <w:rsid w:val="00996694"/>
    <w:rsid w:val="00996994"/>
    <w:rsid w:val="009969F0"/>
    <w:rsid w:val="00996EF5"/>
    <w:rsid w:val="0099770F"/>
    <w:rsid w:val="009979B0"/>
    <w:rsid w:val="009A144E"/>
    <w:rsid w:val="009A20E3"/>
    <w:rsid w:val="009A2194"/>
    <w:rsid w:val="009A2489"/>
    <w:rsid w:val="009A252F"/>
    <w:rsid w:val="009A3A26"/>
    <w:rsid w:val="009A466F"/>
    <w:rsid w:val="009A4D52"/>
    <w:rsid w:val="009A5DC5"/>
    <w:rsid w:val="009A6456"/>
    <w:rsid w:val="009A691F"/>
    <w:rsid w:val="009A697D"/>
    <w:rsid w:val="009A743A"/>
    <w:rsid w:val="009B0071"/>
    <w:rsid w:val="009B05AA"/>
    <w:rsid w:val="009B06EB"/>
    <w:rsid w:val="009B13E1"/>
    <w:rsid w:val="009B1684"/>
    <w:rsid w:val="009B214E"/>
    <w:rsid w:val="009B2836"/>
    <w:rsid w:val="009B3323"/>
    <w:rsid w:val="009B367B"/>
    <w:rsid w:val="009B3841"/>
    <w:rsid w:val="009B39E0"/>
    <w:rsid w:val="009B3DA0"/>
    <w:rsid w:val="009B3F14"/>
    <w:rsid w:val="009B43D1"/>
    <w:rsid w:val="009B4C22"/>
    <w:rsid w:val="009B551C"/>
    <w:rsid w:val="009B6088"/>
    <w:rsid w:val="009B631D"/>
    <w:rsid w:val="009B671F"/>
    <w:rsid w:val="009B6889"/>
    <w:rsid w:val="009B6B37"/>
    <w:rsid w:val="009B7B13"/>
    <w:rsid w:val="009C00AF"/>
    <w:rsid w:val="009C0C6A"/>
    <w:rsid w:val="009C1305"/>
    <w:rsid w:val="009C14B7"/>
    <w:rsid w:val="009C2B6A"/>
    <w:rsid w:val="009C3416"/>
    <w:rsid w:val="009C34D4"/>
    <w:rsid w:val="009C36A3"/>
    <w:rsid w:val="009C3889"/>
    <w:rsid w:val="009C4A10"/>
    <w:rsid w:val="009C52B8"/>
    <w:rsid w:val="009C5634"/>
    <w:rsid w:val="009C57A3"/>
    <w:rsid w:val="009C5F2E"/>
    <w:rsid w:val="009C695C"/>
    <w:rsid w:val="009C78CC"/>
    <w:rsid w:val="009C799E"/>
    <w:rsid w:val="009C7BCE"/>
    <w:rsid w:val="009C7D5A"/>
    <w:rsid w:val="009D0FA4"/>
    <w:rsid w:val="009D1647"/>
    <w:rsid w:val="009D17DF"/>
    <w:rsid w:val="009D2259"/>
    <w:rsid w:val="009D243C"/>
    <w:rsid w:val="009D40F1"/>
    <w:rsid w:val="009D4829"/>
    <w:rsid w:val="009D488F"/>
    <w:rsid w:val="009D49C4"/>
    <w:rsid w:val="009D49C7"/>
    <w:rsid w:val="009D57FA"/>
    <w:rsid w:val="009D5D7C"/>
    <w:rsid w:val="009D5E92"/>
    <w:rsid w:val="009D61FC"/>
    <w:rsid w:val="009D6338"/>
    <w:rsid w:val="009D6C7F"/>
    <w:rsid w:val="009D6E28"/>
    <w:rsid w:val="009D7042"/>
    <w:rsid w:val="009D7B8C"/>
    <w:rsid w:val="009E0435"/>
    <w:rsid w:val="009E04A3"/>
    <w:rsid w:val="009E04B4"/>
    <w:rsid w:val="009E0EB4"/>
    <w:rsid w:val="009E13CC"/>
    <w:rsid w:val="009E33C9"/>
    <w:rsid w:val="009E38C7"/>
    <w:rsid w:val="009E39A1"/>
    <w:rsid w:val="009E3B16"/>
    <w:rsid w:val="009E42A4"/>
    <w:rsid w:val="009E47BD"/>
    <w:rsid w:val="009E4D3E"/>
    <w:rsid w:val="009E572F"/>
    <w:rsid w:val="009E6761"/>
    <w:rsid w:val="009E6EE8"/>
    <w:rsid w:val="009E7371"/>
    <w:rsid w:val="009E7D9B"/>
    <w:rsid w:val="009E7E3A"/>
    <w:rsid w:val="009F081E"/>
    <w:rsid w:val="009F118A"/>
    <w:rsid w:val="009F1617"/>
    <w:rsid w:val="009F1A20"/>
    <w:rsid w:val="009F21C5"/>
    <w:rsid w:val="009F23DC"/>
    <w:rsid w:val="009F255C"/>
    <w:rsid w:val="009F2629"/>
    <w:rsid w:val="009F2899"/>
    <w:rsid w:val="009F34D8"/>
    <w:rsid w:val="009F3622"/>
    <w:rsid w:val="009F3782"/>
    <w:rsid w:val="009F3D75"/>
    <w:rsid w:val="009F3E89"/>
    <w:rsid w:val="009F4589"/>
    <w:rsid w:val="009F54E7"/>
    <w:rsid w:val="009F5978"/>
    <w:rsid w:val="009F59AC"/>
    <w:rsid w:val="009F5F2B"/>
    <w:rsid w:val="009F5F6A"/>
    <w:rsid w:val="009F64D8"/>
    <w:rsid w:val="009F65AA"/>
    <w:rsid w:val="009F7271"/>
    <w:rsid w:val="009F7613"/>
    <w:rsid w:val="00A0019C"/>
    <w:rsid w:val="00A006F0"/>
    <w:rsid w:val="00A008AB"/>
    <w:rsid w:val="00A00B07"/>
    <w:rsid w:val="00A0170E"/>
    <w:rsid w:val="00A019E6"/>
    <w:rsid w:val="00A01DC7"/>
    <w:rsid w:val="00A01F2D"/>
    <w:rsid w:val="00A03A71"/>
    <w:rsid w:val="00A0470C"/>
    <w:rsid w:val="00A048BF"/>
    <w:rsid w:val="00A04BF8"/>
    <w:rsid w:val="00A055D8"/>
    <w:rsid w:val="00A05944"/>
    <w:rsid w:val="00A05AE2"/>
    <w:rsid w:val="00A05B19"/>
    <w:rsid w:val="00A05CAE"/>
    <w:rsid w:val="00A07AE8"/>
    <w:rsid w:val="00A07D4D"/>
    <w:rsid w:val="00A101F9"/>
    <w:rsid w:val="00A10D25"/>
    <w:rsid w:val="00A1136C"/>
    <w:rsid w:val="00A11F9E"/>
    <w:rsid w:val="00A1211B"/>
    <w:rsid w:val="00A12F89"/>
    <w:rsid w:val="00A13358"/>
    <w:rsid w:val="00A13792"/>
    <w:rsid w:val="00A137E7"/>
    <w:rsid w:val="00A1399C"/>
    <w:rsid w:val="00A14529"/>
    <w:rsid w:val="00A14B13"/>
    <w:rsid w:val="00A14F77"/>
    <w:rsid w:val="00A150E1"/>
    <w:rsid w:val="00A1527B"/>
    <w:rsid w:val="00A1568D"/>
    <w:rsid w:val="00A16358"/>
    <w:rsid w:val="00A17AB0"/>
    <w:rsid w:val="00A20DB8"/>
    <w:rsid w:val="00A215BC"/>
    <w:rsid w:val="00A2194E"/>
    <w:rsid w:val="00A21A07"/>
    <w:rsid w:val="00A2211D"/>
    <w:rsid w:val="00A22224"/>
    <w:rsid w:val="00A225DC"/>
    <w:rsid w:val="00A2260C"/>
    <w:rsid w:val="00A22649"/>
    <w:rsid w:val="00A22E4A"/>
    <w:rsid w:val="00A230A2"/>
    <w:rsid w:val="00A23531"/>
    <w:rsid w:val="00A23CE1"/>
    <w:rsid w:val="00A24910"/>
    <w:rsid w:val="00A24C1A"/>
    <w:rsid w:val="00A24CC7"/>
    <w:rsid w:val="00A26C4F"/>
    <w:rsid w:val="00A27C7A"/>
    <w:rsid w:val="00A3133B"/>
    <w:rsid w:val="00A313B7"/>
    <w:rsid w:val="00A313B9"/>
    <w:rsid w:val="00A31A68"/>
    <w:rsid w:val="00A31EAE"/>
    <w:rsid w:val="00A322D3"/>
    <w:rsid w:val="00A32802"/>
    <w:rsid w:val="00A32E94"/>
    <w:rsid w:val="00A3450D"/>
    <w:rsid w:val="00A345EA"/>
    <w:rsid w:val="00A34679"/>
    <w:rsid w:val="00A34914"/>
    <w:rsid w:val="00A34A6C"/>
    <w:rsid w:val="00A3649C"/>
    <w:rsid w:val="00A36708"/>
    <w:rsid w:val="00A3717C"/>
    <w:rsid w:val="00A37DBF"/>
    <w:rsid w:val="00A40E5E"/>
    <w:rsid w:val="00A414A1"/>
    <w:rsid w:val="00A42366"/>
    <w:rsid w:val="00A424D9"/>
    <w:rsid w:val="00A42818"/>
    <w:rsid w:val="00A42E53"/>
    <w:rsid w:val="00A430B3"/>
    <w:rsid w:val="00A43A60"/>
    <w:rsid w:val="00A43F65"/>
    <w:rsid w:val="00A44CF2"/>
    <w:rsid w:val="00A45CBA"/>
    <w:rsid w:val="00A46078"/>
    <w:rsid w:val="00A46C71"/>
    <w:rsid w:val="00A472E8"/>
    <w:rsid w:val="00A47465"/>
    <w:rsid w:val="00A47623"/>
    <w:rsid w:val="00A47BA8"/>
    <w:rsid w:val="00A47D4C"/>
    <w:rsid w:val="00A50622"/>
    <w:rsid w:val="00A50922"/>
    <w:rsid w:val="00A515EC"/>
    <w:rsid w:val="00A5200F"/>
    <w:rsid w:val="00A5227F"/>
    <w:rsid w:val="00A52519"/>
    <w:rsid w:val="00A52579"/>
    <w:rsid w:val="00A525ED"/>
    <w:rsid w:val="00A529F2"/>
    <w:rsid w:val="00A532C4"/>
    <w:rsid w:val="00A547BE"/>
    <w:rsid w:val="00A55EFF"/>
    <w:rsid w:val="00A55FDB"/>
    <w:rsid w:val="00A56687"/>
    <w:rsid w:val="00A56B03"/>
    <w:rsid w:val="00A56E99"/>
    <w:rsid w:val="00A56F44"/>
    <w:rsid w:val="00A573EF"/>
    <w:rsid w:val="00A57FA3"/>
    <w:rsid w:val="00A60521"/>
    <w:rsid w:val="00A606EB"/>
    <w:rsid w:val="00A609FE"/>
    <w:rsid w:val="00A6145C"/>
    <w:rsid w:val="00A61836"/>
    <w:rsid w:val="00A6191E"/>
    <w:rsid w:val="00A619C9"/>
    <w:rsid w:val="00A61FF2"/>
    <w:rsid w:val="00A62533"/>
    <w:rsid w:val="00A62C72"/>
    <w:rsid w:val="00A63039"/>
    <w:rsid w:val="00A63850"/>
    <w:rsid w:val="00A639D8"/>
    <w:rsid w:val="00A63B9C"/>
    <w:rsid w:val="00A642B1"/>
    <w:rsid w:val="00A65EE2"/>
    <w:rsid w:val="00A66271"/>
    <w:rsid w:val="00A6670C"/>
    <w:rsid w:val="00A669A1"/>
    <w:rsid w:val="00A669EB"/>
    <w:rsid w:val="00A66BE0"/>
    <w:rsid w:val="00A66DDC"/>
    <w:rsid w:val="00A71474"/>
    <w:rsid w:val="00A71A25"/>
    <w:rsid w:val="00A71AF9"/>
    <w:rsid w:val="00A72CDE"/>
    <w:rsid w:val="00A72FE0"/>
    <w:rsid w:val="00A7332C"/>
    <w:rsid w:val="00A73A80"/>
    <w:rsid w:val="00A73BCE"/>
    <w:rsid w:val="00A73DE2"/>
    <w:rsid w:val="00A74094"/>
    <w:rsid w:val="00A74EA7"/>
    <w:rsid w:val="00A755FA"/>
    <w:rsid w:val="00A7561F"/>
    <w:rsid w:val="00A76240"/>
    <w:rsid w:val="00A76249"/>
    <w:rsid w:val="00A763C5"/>
    <w:rsid w:val="00A7676F"/>
    <w:rsid w:val="00A76821"/>
    <w:rsid w:val="00A76E87"/>
    <w:rsid w:val="00A7757E"/>
    <w:rsid w:val="00A80328"/>
    <w:rsid w:val="00A80355"/>
    <w:rsid w:val="00A8070D"/>
    <w:rsid w:val="00A808AD"/>
    <w:rsid w:val="00A80AFA"/>
    <w:rsid w:val="00A8165B"/>
    <w:rsid w:val="00A81BBD"/>
    <w:rsid w:val="00A82BCB"/>
    <w:rsid w:val="00A82EE9"/>
    <w:rsid w:val="00A836E2"/>
    <w:rsid w:val="00A83A5E"/>
    <w:rsid w:val="00A84179"/>
    <w:rsid w:val="00A843C5"/>
    <w:rsid w:val="00A8508B"/>
    <w:rsid w:val="00A8531C"/>
    <w:rsid w:val="00A8551C"/>
    <w:rsid w:val="00A85576"/>
    <w:rsid w:val="00A85590"/>
    <w:rsid w:val="00A85FB9"/>
    <w:rsid w:val="00A8671D"/>
    <w:rsid w:val="00A86CEA"/>
    <w:rsid w:val="00A87712"/>
    <w:rsid w:val="00A90956"/>
    <w:rsid w:val="00A92250"/>
    <w:rsid w:val="00A92705"/>
    <w:rsid w:val="00A92E14"/>
    <w:rsid w:val="00A9343F"/>
    <w:rsid w:val="00A938E9"/>
    <w:rsid w:val="00A942AA"/>
    <w:rsid w:val="00A94706"/>
    <w:rsid w:val="00A9482A"/>
    <w:rsid w:val="00A94B12"/>
    <w:rsid w:val="00A94DE2"/>
    <w:rsid w:val="00A95C99"/>
    <w:rsid w:val="00A95CD7"/>
    <w:rsid w:val="00A962DD"/>
    <w:rsid w:val="00A965E0"/>
    <w:rsid w:val="00A96841"/>
    <w:rsid w:val="00A9765D"/>
    <w:rsid w:val="00A97885"/>
    <w:rsid w:val="00A97A74"/>
    <w:rsid w:val="00A97A84"/>
    <w:rsid w:val="00A97DB1"/>
    <w:rsid w:val="00AA011F"/>
    <w:rsid w:val="00AA0120"/>
    <w:rsid w:val="00AA06A3"/>
    <w:rsid w:val="00AA140D"/>
    <w:rsid w:val="00AA1609"/>
    <w:rsid w:val="00AA171A"/>
    <w:rsid w:val="00AA1D06"/>
    <w:rsid w:val="00AA1EC2"/>
    <w:rsid w:val="00AA255D"/>
    <w:rsid w:val="00AA2B22"/>
    <w:rsid w:val="00AA2C08"/>
    <w:rsid w:val="00AA3A1E"/>
    <w:rsid w:val="00AA466D"/>
    <w:rsid w:val="00AA4772"/>
    <w:rsid w:val="00AA47E1"/>
    <w:rsid w:val="00AA4A46"/>
    <w:rsid w:val="00AA5341"/>
    <w:rsid w:val="00AA575F"/>
    <w:rsid w:val="00AA58C4"/>
    <w:rsid w:val="00AA5F5F"/>
    <w:rsid w:val="00AA6100"/>
    <w:rsid w:val="00AA65BC"/>
    <w:rsid w:val="00AA714B"/>
    <w:rsid w:val="00AA7519"/>
    <w:rsid w:val="00AA7913"/>
    <w:rsid w:val="00AA7E98"/>
    <w:rsid w:val="00AB0C61"/>
    <w:rsid w:val="00AB1010"/>
    <w:rsid w:val="00AB127A"/>
    <w:rsid w:val="00AB1948"/>
    <w:rsid w:val="00AB1E69"/>
    <w:rsid w:val="00AB28AC"/>
    <w:rsid w:val="00AB2AF4"/>
    <w:rsid w:val="00AB4382"/>
    <w:rsid w:val="00AB4C8F"/>
    <w:rsid w:val="00AB4CFA"/>
    <w:rsid w:val="00AB4FBF"/>
    <w:rsid w:val="00AB5227"/>
    <w:rsid w:val="00AB53F5"/>
    <w:rsid w:val="00AB550F"/>
    <w:rsid w:val="00AB5ECA"/>
    <w:rsid w:val="00AB6133"/>
    <w:rsid w:val="00AB629F"/>
    <w:rsid w:val="00AB6C5C"/>
    <w:rsid w:val="00AB73D1"/>
    <w:rsid w:val="00AB7A0E"/>
    <w:rsid w:val="00AB7CD8"/>
    <w:rsid w:val="00AB7D62"/>
    <w:rsid w:val="00AC0148"/>
    <w:rsid w:val="00AC094A"/>
    <w:rsid w:val="00AC0C71"/>
    <w:rsid w:val="00AC0D2D"/>
    <w:rsid w:val="00AC1A48"/>
    <w:rsid w:val="00AC1AAC"/>
    <w:rsid w:val="00AC1B13"/>
    <w:rsid w:val="00AC1E5F"/>
    <w:rsid w:val="00AC27F4"/>
    <w:rsid w:val="00AC2A25"/>
    <w:rsid w:val="00AC2B89"/>
    <w:rsid w:val="00AC3A28"/>
    <w:rsid w:val="00AC3B44"/>
    <w:rsid w:val="00AC4266"/>
    <w:rsid w:val="00AC5353"/>
    <w:rsid w:val="00AC5E8D"/>
    <w:rsid w:val="00AC5F74"/>
    <w:rsid w:val="00AC6260"/>
    <w:rsid w:val="00AC62A8"/>
    <w:rsid w:val="00AC73A9"/>
    <w:rsid w:val="00AC78CB"/>
    <w:rsid w:val="00AC7E42"/>
    <w:rsid w:val="00AC7E94"/>
    <w:rsid w:val="00AD0261"/>
    <w:rsid w:val="00AD0518"/>
    <w:rsid w:val="00AD0C9A"/>
    <w:rsid w:val="00AD11FA"/>
    <w:rsid w:val="00AD17BD"/>
    <w:rsid w:val="00AD1D2A"/>
    <w:rsid w:val="00AD1E53"/>
    <w:rsid w:val="00AD29AC"/>
    <w:rsid w:val="00AD4931"/>
    <w:rsid w:val="00AD4D08"/>
    <w:rsid w:val="00AD5659"/>
    <w:rsid w:val="00AD5AB7"/>
    <w:rsid w:val="00AD60D6"/>
    <w:rsid w:val="00AD6219"/>
    <w:rsid w:val="00AD6562"/>
    <w:rsid w:val="00AD6685"/>
    <w:rsid w:val="00AD734C"/>
    <w:rsid w:val="00AE0D61"/>
    <w:rsid w:val="00AE0E1C"/>
    <w:rsid w:val="00AE1058"/>
    <w:rsid w:val="00AE2A1A"/>
    <w:rsid w:val="00AE301D"/>
    <w:rsid w:val="00AE3423"/>
    <w:rsid w:val="00AE3750"/>
    <w:rsid w:val="00AE37B7"/>
    <w:rsid w:val="00AE4079"/>
    <w:rsid w:val="00AE43C8"/>
    <w:rsid w:val="00AE44CE"/>
    <w:rsid w:val="00AE4790"/>
    <w:rsid w:val="00AE4E45"/>
    <w:rsid w:val="00AE5344"/>
    <w:rsid w:val="00AE54C7"/>
    <w:rsid w:val="00AE5611"/>
    <w:rsid w:val="00AE5A6C"/>
    <w:rsid w:val="00AE5B62"/>
    <w:rsid w:val="00AE72E3"/>
    <w:rsid w:val="00AE75C8"/>
    <w:rsid w:val="00AF0699"/>
    <w:rsid w:val="00AF15C1"/>
    <w:rsid w:val="00AF16A4"/>
    <w:rsid w:val="00AF1AC6"/>
    <w:rsid w:val="00AF1C58"/>
    <w:rsid w:val="00AF1D79"/>
    <w:rsid w:val="00AF1FAB"/>
    <w:rsid w:val="00AF21A6"/>
    <w:rsid w:val="00AF2E07"/>
    <w:rsid w:val="00AF323F"/>
    <w:rsid w:val="00AF416B"/>
    <w:rsid w:val="00AF4C8F"/>
    <w:rsid w:val="00AF4D9B"/>
    <w:rsid w:val="00AF4E73"/>
    <w:rsid w:val="00AF568B"/>
    <w:rsid w:val="00AF5943"/>
    <w:rsid w:val="00AF5EE0"/>
    <w:rsid w:val="00AF65CA"/>
    <w:rsid w:val="00AF6D0A"/>
    <w:rsid w:val="00AF7724"/>
    <w:rsid w:val="00B0012A"/>
    <w:rsid w:val="00B00ECB"/>
    <w:rsid w:val="00B01106"/>
    <w:rsid w:val="00B011F9"/>
    <w:rsid w:val="00B01D40"/>
    <w:rsid w:val="00B0247A"/>
    <w:rsid w:val="00B024BF"/>
    <w:rsid w:val="00B02634"/>
    <w:rsid w:val="00B034D4"/>
    <w:rsid w:val="00B03BFA"/>
    <w:rsid w:val="00B04348"/>
    <w:rsid w:val="00B0476A"/>
    <w:rsid w:val="00B04F8A"/>
    <w:rsid w:val="00B0504C"/>
    <w:rsid w:val="00B0534F"/>
    <w:rsid w:val="00B05735"/>
    <w:rsid w:val="00B05A8D"/>
    <w:rsid w:val="00B05BA2"/>
    <w:rsid w:val="00B05F41"/>
    <w:rsid w:val="00B06592"/>
    <w:rsid w:val="00B06EE7"/>
    <w:rsid w:val="00B0723E"/>
    <w:rsid w:val="00B07706"/>
    <w:rsid w:val="00B10124"/>
    <w:rsid w:val="00B101AE"/>
    <w:rsid w:val="00B1054D"/>
    <w:rsid w:val="00B10947"/>
    <w:rsid w:val="00B10B6A"/>
    <w:rsid w:val="00B10CB2"/>
    <w:rsid w:val="00B11C39"/>
    <w:rsid w:val="00B12409"/>
    <w:rsid w:val="00B12B97"/>
    <w:rsid w:val="00B12C21"/>
    <w:rsid w:val="00B1368E"/>
    <w:rsid w:val="00B13F29"/>
    <w:rsid w:val="00B14938"/>
    <w:rsid w:val="00B15246"/>
    <w:rsid w:val="00B15961"/>
    <w:rsid w:val="00B165A7"/>
    <w:rsid w:val="00B169F6"/>
    <w:rsid w:val="00B16E93"/>
    <w:rsid w:val="00B17240"/>
    <w:rsid w:val="00B1729E"/>
    <w:rsid w:val="00B1735A"/>
    <w:rsid w:val="00B17E20"/>
    <w:rsid w:val="00B2074A"/>
    <w:rsid w:val="00B20B14"/>
    <w:rsid w:val="00B20DEB"/>
    <w:rsid w:val="00B211BF"/>
    <w:rsid w:val="00B223CB"/>
    <w:rsid w:val="00B22919"/>
    <w:rsid w:val="00B22C86"/>
    <w:rsid w:val="00B22F4F"/>
    <w:rsid w:val="00B237AF"/>
    <w:rsid w:val="00B23A6E"/>
    <w:rsid w:val="00B23CBA"/>
    <w:rsid w:val="00B23E65"/>
    <w:rsid w:val="00B23E82"/>
    <w:rsid w:val="00B24637"/>
    <w:rsid w:val="00B24647"/>
    <w:rsid w:val="00B248A3"/>
    <w:rsid w:val="00B24A5F"/>
    <w:rsid w:val="00B24AD4"/>
    <w:rsid w:val="00B24B6D"/>
    <w:rsid w:val="00B2503F"/>
    <w:rsid w:val="00B2548F"/>
    <w:rsid w:val="00B2617E"/>
    <w:rsid w:val="00B26225"/>
    <w:rsid w:val="00B26759"/>
    <w:rsid w:val="00B26893"/>
    <w:rsid w:val="00B26939"/>
    <w:rsid w:val="00B26BE8"/>
    <w:rsid w:val="00B27864"/>
    <w:rsid w:val="00B27E81"/>
    <w:rsid w:val="00B3074C"/>
    <w:rsid w:val="00B30D69"/>
    <w:rsid w:val="00B3149B"/>
    <w:rsid w:val="00B31E4E"/>
    <w:rsid w:val="00B31EA9"/>
    <w:rsid w:val="00B32950"/>
    <w:rsid w:val="00B330B6"/>
    <w:rsid w:val="00B33C76"/>
    <w:rsid w:val="00B34733"/>
    <w:rsid w:val="00B34D86"/>
    <w:rsid w:val="00B35497"/>
    <w:rsid w:val="00B35A34"/>
    <w:rsid w:val="00B35CD0"/>
    <w:rsid w:val="00B3618F"/>
    <w:rsid w:val="00B3644A"/>
    <w:rsid w:val="00B36A1A"/>
    <w:rsid w:val="00B36E99"/>
    <w:rsid w:val="00B36FA6"/>
    <w:rsid w:val="00B37354"/>
    <w:rsid w:val="00B3748C"/>
    <w:rsid w:val="00B401EB"/>
    <w:rsid w:val="00B40361"/>
    <w:rsid w:val="00B403A0"/>
    <w:rsid w:val="00B4115F"/>
    <w:rsid w:val="00B41231"/>
    <w:rsid w:val="00B42D71"/>
    <w:rsid w:val="00B433D5"/>
    <w:rsid w:val="00B43725"/>
    <w:rsid w:val="00B437AD"/>
    <w:rsid w:val="00B44021"/>
    <w:rsid w:val="00B4427B"/>
    <w:rsid w:val="00B44580"/>
    <w:rsid w:val="00B44CD0"/>
    <w:rsid w:val="00B452C7"/>
    <w:rsid w:val="00B455F3"/>
    <w:rsid w:val="00B45736"/>
    <w:rsid w:val="00B45871"/>
    <w:rsid w:val="00B45A0C"/>
    <w:rsid w:val="00B45BDB"/>
    <w:rsid w:val="00B45F19"/>
    <w:rsid w:val="00B50235"/>
    <w:rsid w:val="00B5182A"/>
    <w:rsid w:val="00B5190B"/>
    <w:rsid w:val="00B51A99"/>
    <w:rsid w:val="00B527E7"/>
    <w:rsid w:val="00B53117"/>
    <w:rsid w:val="00B53754"/>
    <w:rsid w:val="00B5380E"/>
    <w:rsid w:val="00B53BE0"/>
    <w:rsid w:val="00B53C4E"/>
    <w:rsid w:val="00B53E82"/>
    <w:rsid w:val="00B541E3"/>
    <w:rsid w:val="00B54804"/>
    <w:rsid w:val="00B54CF5"/>
    <w:rsid w:val="00B5554E"/>
    <w:rsid w:val="00B56652"/>
    <w:rsid w:val="00B56696"/>
    <w:rsid w:val="00B568FC"/>
    <w:rsid w:val="00B57192"/>
    <w:rsid w:val="00B57392"/>
    <w:rsid w:val="00B57A80"/>
    <w:rsid w:val="00B601D5"/>
    <w:rsid w:val="00B60C89"/>
    <w:rsid w:val="00B61422"/>
    <w:rsid w:val="00B61642"/>
    <w:rsid w:val="00B6165D"/>
    <w:rsid w:val="00B616BF"/>
    <w:rsid w:val="00B61A73"/>
    <w:rsid w:val="00B61B17"/>
    <w:rsid w:val="00B61E8A"/>
    <w:rsid w:val="00B627E8"/>
    <w:rsid w:val="00B637F0"/>
    <w:rsid w:val="00B63A53"/>
    <w:rsid w:val="00B63DF7"/>
    <w:rsid w:val="00B63FDC"/>
    <w:rsid w:val="00B64353"/>
    <w:rsid w:val="00B64508"/>
    <w:rsid w:val="00B64671"/>
    <w:rsid w:val="00B6467B"/>
    <w:rsid w:val="00B650F6"/>
    <w:rsid w:val="00B65AF4"/>
    <w:rsid w:val="00B65C2C"/>
    <w:rsid w:val="00B664E0"/>
    <w:rsid w:val="00B6650F"/>
    <w:rsid w:val="00B671F2"/>
    <w:rsid w:val="00B672B3"/>
    <w:rsid w:val="00B673D7"/>
    <w:rsid w:val="00B679CF"/>
    <w:rsid w:val="00B67E2F"/>
    <w:rsid w:val="00B7045A"/>
    <w:rsid w:val="00B70CD2"/>
    <w:rsid w:val="00B70E3F"/>
    <w:rsid w:val="00B71268"/>
    <w:rsid w:val="00B71E36"/>
    <w:rsid w:val="00B72368"/>
    <w:rsid w:val="00B72636"/>
    <w:rsid w:val="00B728FA"/>
    <w:rsid w:val="00B72D44"/>
    <w:rsid w:val="00B72D57"/>
    <w:rsid w:val="00B73340"/>
    <w:rsid w:val="00B7337D"/>
    <w:rsid w:val="00B74018"/>
    <w:rsid w:val="00B74BF6"/>
    <w:rsid w:val="00B76A3F"/>
    <w:rsid w:val="00B76AB2"/>
    <w:rsid w:val="00B7705A"/>
    <w:rsid w:val="00B771EC"/>
    <w:rsid w:val="00B77249"/>
    <w:rsid w:val="00B77C58"/>
    <w:rsid w:val="00B8218D"/>
    <w:rsid w:val="00B8241A"/>
    <w:rsid w:val="00B82538"/>
    <w:rsid w:val="00B826E3"/>
    <w:rsid w:val="00B827E5"/>
    <w:rsid w:val="00B83283"/>
    <w:rsid w:val="00B8373F"/>
    <w:rsid w:val="00B83D81"/>
    <w:rsid w:val="00B83DED"/>
    <w:rsid w:val="00B84374"/>
    <w:rsid w:val="00B84477"/>
    <w:rsid w:val="00B8470D"/>
    <w:rsid w:val="00B84ADF"/>
    <w:rsid w:val="00B85380"/>
    <w:rsid w:val="00B8561E"/>
    <w:rsid w:val="00B857D9"/>
    <w:rsid w:val="00B869F1"/>
    <w:rsid w:val="00B87170"/>
    <w:rsid w:val="00B87295"/>
    <w:rsid w:val="00B90440"/>
    <w:rsid w:val="00B90805"/>
    <w:rsid w:val="00B90B8A"/>
    <w:rsid w:val="00B91105"/>
    <w:rsid w:val="00B91320"/>
    <w:rsid w:val="00B913A0"/>
    <w:rsid w:val="00B915E0"/>
    <w:rsid w:val="00B91ECC"/>
    <w:rsid w:val="00B92411"/>
    <w:rsid w:val="00B926A4"/>
    <w:rsid w:val="00B92AD7"/>
    <w:rsid w:val="00B94D17"/>
    <w:rsid w:val="00B95270"/>
    <w:rsid w:val="00B955EF"/>
    <w:rsid w:val="00B956E6"/>
    <w:rsid w:val="00B96444"/>
    <w:rsid w:val="00B9645E"/>
    <w:rsid w:val="00B966DB"/>
    <w:rsid w:val="00B969AA"/>
    <w:rsid w:val="00B975F5"/>
    <w:rsid w:val="00B97C46"/>
    <w:rsid w:val="00B97FA5"/>
    <w:rsid w:val="00BA027C"/>
    <w:rsid w:val="00BA0490"/>
    <w:rsid w:val="00BA064A"/>
    <w:rsid w:val="00BA0704"/>
    <w:rsid w:val="00BA09B2"/>
    <w:rsid w:val="00BA0A79"/>
    <w:rsid w:val="00BA11E3"/>
    <w:rsid w:val="00BA182F"/>
    <w:rsid w:val="00BA202A"/>
    <w:rsid w:val="00BA22BF"/>
    <w:rsid w:val="00BA2B23"/>
    <w:rsid w:val="00BA2EAF"/>
    <w:rsid w:val="00BA446C"/>
    <w:rsid w:val="00BA496A"/>
    <w:rsid w:val="00BA5239"/>
    <w:rsid w:val="00BA559F"/>
    <w:rsid w:val="00BA55B9"/>
    <w:rsid w:val="00BA5AEA"/>
    <w:rsid w:val="00BA5C12"/>
    <w:rsid w:val="00BA649D"/>
    <w:rsid w:val="00BA7041"/>
    <w:rsid w:val="00BA7176"/>
    <w:rsid w:val="00BA717A"/>
    <w:rsid w:val="00BA74FF"/>
    <w:rsid w:val="00BA7522"/>
    <w:rsid w:val="00BA7BE1"/>
    <w:rsid w:val="00BA7C77"/>
    <w:rsid w:val="00BA7C8A"/>
    <w:rsid w:val="00BB019A"/>
    <w:rsid w:val="00BB0A60"/>
    <w:rsid w:val="00BB0E88"/>
    <w:rsid w:val="00BB1132"/>
    <w:rsid w:val="00BB1260"/>
    <w:rsid w:val="00BB13A2"/>
    <w:rsid w:val="00BB1529"/>
    <w:rsid w:val="00BB185F"/>
    <w:rsid w:val="00BB1AD8"/>
    <w:rsid w:val="00BB1D51"/>
    <w:rsid w:val="00BB2AA7"/>
    <w:rsid w:val="00BB2DA9"/>
    <w:rsid w:val="00BB30F9"/>
    <w:rsid w:val="00BB337A"/>
    <w:rsid w:val="00BB3CB8"/>
    <w:rsid w:val="00BB415D"/>
    <w:rsid w:val="00BB43C6"/>
    <w:rsid w:val="00BB4678"/>
    <w:rsid w:val="00BB4A63"/>
    <w:rsid w:val="00BB4C53"/>
    <w:rsid w:val="00BB4CA5"/>
    <w:rsid w:val="00BB51F5"/>
    <w:rsid w:val="00BB58F5"/>
    <w:rsid w:val="00BB5ADD"/>
    <w:rsid w:val="00BB5E4E"/>
    <w:rsid w:val="00BB5F1E"/>
    <w:rsid w:val="00BB7400"/>
    <w:rsid w:val="00BB75E6"/>
    <w:rsid w:val="00BB7946"/>
    <w:rsid w:val="00BB7C00"/>
    <w:rsid w:val="00BB7EC5"/>
    <w:rsid w:val="00BC0A43"/>
    <w:rsid w:val="00BC1543"/>
    <w:rsid w:val="00BC26AF"/>
    <w:rsid w:val="00BC2AA9"/>
    <w:rsid w:val="00BC328D"/>
    <w:rsid w:val="00BC3600"/>
    <w:rsid w:val="00BC3F1C"/>
    <w:rsid w:val="00BC3F50"/>
    <w:rsid w:val="00BC43C5"/>
    <w:rsid w:val="00BC444E"/>
    <w:rsid w:val="00BC46BF"/>
    <w:rsid w:val="00BC49F0"/>
    <w:rsid w:val="00BC64F0"/>
    <w:rsid w:val="00BC7957"/>
    <w:rsid w:val="00BC7DC8"/>
    <w:rsid w:val="00BD0C93"/>
    <w:rsid w:val="00BD1D1B"/>
    <w:rsid w:val="00BD239C"/>
    <w:rsid w:val="00BD25F0"/>
    <w:rsid w:val="00BD3082"/>
    <w:rsid w:val="00BD3899"/>
    <w:rsid w:val="00BD3BDC"/>
    <w:rsid w:val="00BD3BEC"/>
    <w:rsid w:val="00BD4A76"/>
    <w:rsid w:val="00BD4C84"/>
    <w:rsid w:val="00BD5B07"/>
    <w:rsid w:val="00BD5D80"/>
    <w:rsid w:val="00BD65DF"/>
    <w:rsid w:val="00BD67BC"/>
    <w:rsid w:val="00BD74D9"/>
    <w:rsid w:val="00BD78CC"/>
    <w:rsid w:val="00BD7973"/>
    <w:rsid w:val="00BE0111"/>
    <w:rsid w:val="00BE094F"/>
    <w:rsid w:val="00BE0CCD"/>
    <w:rsid w:val="00BE1404"/>
    <w:rsid w:val="00BE17F6"/>
    <w:rsid w:val="00BE20D1"/>
    <w:rsid w:val="00BE35B0"/>
    <w:rsid w:val="00BE387E"/>
    <w:rsid w:val="00BE39AD"/>
    <w:rsid w:val="00BE3C57"/>
    <w:rsid w:val="00BE42DD"/>
    <w:rsid w:val="00BE4B45"/>
    <w:rsid w:val="00BE4CDB"/>
    <w:rsid w:val="00BE605B"/>
    <w:rsid w:val="00BE6096"/>
    <w:rsid w:val="00BE60CF"/>
    <w:rsid w:val="00BE6988"/>
    <w:rsid w:val="00BE6CA5"/>
    <w:rsid w:val="00BE6E8E"/>
    <w:rsid w:val="00BE7BD5"/>
    <w:rsid w:val="00BF0283"/>
    <w:rsid w:val="00BF0520"/>
    <w:rsid w:val="00BF053D"/>
    <w:rsid w:val="00BF12E1"/>
    <w:rsid w:val="00BF1954"/>
    <w:rsid w:val="00BF23B5"/>
    <w:rsid w:val="00BF2871"/>
    <w:rsid w:val="00BF2990"/>
    <w:rsid w:val="00BF2DCD"/>
    <w:rsid w:val="00BF4C98"/>
    <w:rsid w:val="00BF5103"/>
    <w:rsid w:val="00BF5168"/>
    <w:rsid w:val="00BF5842"/>
    <w:rsid w:val="00BF58B1"/>
    <w:rsid w:val="00BF5B68"/>
    <w:rsid w:val="00BF7995"/>
    <w:rsid w:val="00BF7C38"/>
    <w:rsid w:val="00BF7CB5"/>
    <w:rsid w:val="00C00134"/>
    <w:rsid w:val="00C00144"/>
    <w:rsid w:val="00C01E09"/>
    <w:rsid w:val="00C02182"/>
    <w:rsid w:val="00C0234D"/>
    <w:rsid w:val="00C0315C"/>
    <w:rsid w:val="00C0325F"/>
    <w:rsid w:val="00C039BE"/>
    <w:rsid w:val="00C04999"/>
    <w:rsid w:val="00C051B4"/>
    <w:rsid w:val="00C052B4"/>
    <w:rsid w:val="00C05867"/>
    <w:rsid w:val="00C058E7"/>
    <w:rsid w:val="00C05949"/>
    <w:rsid w:val="00C05A8C"/>
    <w:rsid w:val="00C068F3"/>
    <w:rsid w:val="00C06CBC"/>
    <w:rsid w:val="00C06E62"/>
    <w:rsid w:val="00C07536"/>
    <w:rsid w:val="00C07839"/>
    <w:rsid w:val="00C07BBB"/>
    <w:rsid w:val="00C104B4"/>
    <w:rsid w:val="00C10B66"/>
    <w:rsid w:val="00C117B4"/>
    <w:rsid w:val="00C11896"/>
    <w:rsid w:val="00C11C95"/>
    <w:rsid w:val="00C121FA"/>
    <w:rsid w:val="00C129D2"/>
    <w:rsid w:val="00C136D7"/>
    <w:rsid w:val="00C1481B"/>
    <w:rsid w:val="00C15A05"/>
    <w:rsid w:val="00C15BF8"/>
    <w:rsid w:val="00C15C20"/>
    <w:rsid w:val="00C15EC4"/>
    <w:rsid w:val="00C1622C"/>
    <w:rsid w:val="00C162DE"/>
    <w:rsid w:val="00C1637C"/>
    <w:rsid w:val="00C165F7"/>
    <w:rsid w:val="00C16F30"/>
    <w:rsid w:val="00C17D5F"/>
    <w:rsid w:val="00C20B61"/>
    <w:rsid w:val="00C20E2C"/>
    <w:rsid w:val="00C21645"/>
    <w:rsid w:val="00C21AE0"/>
    <w:rsid w:val="00C22349"/>
    <w:rsid w:val="00C22961"/>
    <w:rsid w:val="00C2320A"/>
    <w:rsid w:val="00C2335C"/>
    <w:rsid w:val="00C2400F"/>
    <w:rsid w:val="00C24026"/>
    <w:rsid w:val="00C2516C"/>
    <w:rsid w:val="00C25AF0"/>
    <w:rsid w:val="00C25D13"/>
    <w:rsid w:val="00C25F88"/>
    <w:rsid w:val="00C2681A"/>
    <w:rsid w:val="00C26C2E"/>
    <w:rsid w:val="00C26D60"/>
    <w:rsid w:val="00C26E83"/>
    <w:rsid w:val="00C270F1"/>
    <w:rsid w:val="00C27FA9"/>
    <w:rsid w:val="00C2C3AC"/>
    <w:rsid w:val="00C30024"/>
    <w:rsid w:val="00C31028"/>
    <w:rsid w:val="00C31A65"/>
    <w:rsid w:val="00C31AEA"/>
    <w:rsid w:val="00C32856"/>
    <w:rsid w:val="00C333E5"/>
    <w:rsid w:val="00C33797"/>
    <w:rsid w:val="00C339BA"/>
    <w:rsid w:val="00C34838"/>
    <w:rsid w:val="00C3517D"/>
    <w:rsid w:val="00C362AA"/>
    <w:rsid w:val="00C36A17"/>
    <w:rsid w:val="00C37271"/>
    <w:rsid w:val="00C3737F"/>
    <w:rsid w:val="00C40B95"/>
    <w:rsid w:val="00C41436"/>
    <w:rsid w:val="00C41754"/>
    <w:rsid w:val="00C41C1F"/>
    <w:rsid w:val="00C41D14"/>
    <w:rsid w:val="00C42506"/>
    <w:rsid w:val="00C43124"/>
    <w:rsid w:val="00C438F8"/>
    <w:rsid w:val="00C44162"/>
    <w:rsid w:val="00C44B40"/>
    <w:rsid w:val="00C44B9F"/>
    <w:rsid w:val="00C44F25"/>
    <w:rsid w:val="00C45125"/>
    <w:rsid w:val="00C45330"/>
    <w:rsid w:val="00C4611A"/>
    <w:rsid w:val="00C46D0B"/>
    <w:rsid w:val="00C46ED9"/>
    <w:rsid w:val="00C47396"/>
    <w:rsid w:val="00C477F7"/>
    <w:rsid w:val="00C47CBD"/>
    <w:rsid w:val="00C47D0E"/>
    <w:rsid w:val="00C50252"/>
    <w:rsid w:val="00C50CEA"/>
    <w:rsid w:val="00C51209"/>
    <w:rsid w:val="00C5144D"/>
    <w:rsid w:val="00C52128"/>
    <w:rsid w:val="00C527B0"/>
    <w:rsid w:val="00C52B71"/>
    <w:rsid w:val="00C52FCA"/>
    <w:rsid w:val="00C53DC9"/>
    <w:rsid w:val="00C54863"/>
    <w:rsid w:val="00C5487C"/>
    <w:rsid w:val="00C548DF"/>
    <w:rsid w:val="00C55082"/>
    <w:rsid w:val="00C55113"/>
    <w:rsid w:val="00C553B4"/>
    <w:rsid w:val="00C5562A"/>
    <w:rsid w:val="00C5578C"/>
    <w:rsid w:val="00C5597C"/>
    <w:rsid w:val="00C55C68"/>
    <w:rsid w:val="00C566B7"/>
    <w:rsid w:val="00C57C94"/>
    <w:rsid w:val="00C57DD4"/>
    <w:rsid w:val="00C57F7F"/>
    <w:rsid w:val="00C60764"/>
    <w:rsid w:val="00C60C1B"/>
    <w:rsid w:val="00C62F51"/>
    <w:rsid w:val="00C64120"/>
    <w:rsid w:val="00C643AB"/>
    <w:rsid w:val="00C649B6"/>
    <w:rsid w:val="00C65BA9"/>
    <w:rsid w:val="00C6621B"/>
    <w:rsid w:val="00C66417"/>
    <w:rsid w:val="00C6717C"/>
    <w:rsid w:val="00C6733E"/>
    <w:rsid w:val="00C67BDB"/>
    <w:rsid w:val="00C67F3E"/>
    <w:rsid w:val="00C70EBB"/>
    <w:rsid w:val="00C71048"/>
    <w:rsid w:val="00C711DB"/>
    <w:rsid w:val="00C72BBA"/>
    <w:rsid w:val="00C73B2E"/>
    <w:rsid w:val="00C73B9D"/>
    <w:rsid w:val="00C73DA3"/>
    <w:rsid w:val="00C73EFA"/>
    <w:rsid w:val="00C73F36"/>
    <w:rsid w:val="00C73FC9"/>
    <w:rsid w:val="00C7424E"/>
    <w:rsid w:val="00C743E2"/>
    <w:rsid w:val="00C74C00"/>
    <w:rsid w:val="00C74CC6"/>
    <w:rsid w:val="00C74CFA"/>
    <w:rsid w:val="00C7566F"/>
    <w:rsid w:val="00C7593E"/>
    <w:rsid w:val="00C759D6"/>
    <w:rsid w:val="00C760D7"/>
    <w:rsid w:val="00C76CE1"/>
    <w:rsid w:val="00C76D7D"/>
    <w:rsid w:val="00C776CA"/>
    <w:rsid w:val="00C77A3D"/>
    <w:rsid w:val="00C80336"/>
    <w:rsid w:val="00C8048A"/>
    <w:rsid w:val="00C804E4"/>
    <w:rsid w:val="00C80844"/>
    <w:rsid w:val="00C80FF8"/>
    <w:rsid w:val="00C82B10"/>
    <w:rsid w:val="00C836A3"/>
    <w:rsid w:val="00C83B41"/>
    <w:rsid w:val="00C84112"/>
    <w:rsid w:val="00C8426A"/>
    <w:rsid w:val="00C8434D"/>
    <w:rsid w:val="00C847A0"/>
    <w:rsid w:val="00C84A7A"/>
    <w:rsid w:val="00C84B1B"/>
    <w:rsid w:val="00C85331"/>
    <w:rsid w:val="00C85611"/>
    <w:rsid w:val="00C85C98"/>
    <w:rsid w:val="00C85F86"/>
    <w:rsid w:val="00C862CA"/>
    <w:rsid w:val="00C865F3"/>
    <w:rsid w:val="00C869D0"/>
    <w:rsid w:val="00C86D06"/>
    <w:rsid w:val="00C86DA8"/>
    <w:rsid w:val="00C8704C"/>
    <w:rsid w:val="00C871ED"/>
    <w:rsid w:val="00C87389"/>
    <w:rsid w:val="00C87533"/>
    <w:rsid w:val="00C90A9F"/>
    <w:rsid w:val="00C90C45"/>
    <w:rsid w:val="00C90E0E"/>
    <w:rsid w:val="00C91BFF"/>
    <w:rsid w:val="00C92925"/>
    <w:rsid w:val="00C92A77"/>
    <w:rsid w:val="00C92F7A"/>
    <w:rsid w:val="00C93B00"/>
    <w:rsid w:val="00C9412F"/>
    <w:rsid w:val="00C94807"/>
    <w:rsid w:val="00C957DD"/>
    <w:rsid w:val="00C9595F"/>
    <w:rsid w:val="00C95AAC"/>
    <w:rsid w:val="00C95E1F"/>
    <w:rsid w:val="00C95EA1"/>
    <w:rsid w:val="00C96127"/>
    <w:rsid w:val="00C9635A"/>
    <w:rsid w:val="00C967E4"/>
    <w:rsid w:val="00C969AB"/>
    <w:rsid w:val="00C96F69"/>
    <w:rsid w:val="00C9738E"/>
    <w:rsid w:val="00C977D6"/>
    <w:rsid w:val="00C977FA"/>
    <w:rsid w:val="00C97805"/>
    <w:rsid w:val="00C97F75"/>
    <w:rsid w:val="00CA0F60"/>
    <w:rsid w:val="00CA1299"/>
    <w:rsid w:val="00CA23EE"/>
    <w:rsid w:val="00CA289B"/>
    <w:rsid w:val="00CA379E"/>
    <w:rsid w:val="00CA3858"/>
    <w:rsid w:val="00CA4DD6"/>
    <w:rsid w:val="00CA5D2C"/>
    <w:rsid w:val="00CA6615"/>
    <w:rsid w:val="00CA6811"/>
    <w:rsid w:val="00CA68AE"/>
    <w:rsid w:val="00CA6A56"/>
    <w:rsid w:val="00CA765C"/>
    <w:rsid w:val="00CA767F"/>
    <w:rsid w:val="00CA7715"/>
    <w:rsid w:val="00CA7D89"/>
    <w:rsid w:val="00CB050C"/>
    <w:rsid w:val="00CB178B"/>
    <w:rsid w:val="00CB1A1D"/>
    <w:rsid w:val="00CB289D"/>
    <w:rsid w:val="00CB2A3C"/>
    <w:rsid w:val="00CB2D7E"/>
    <w:rsid w:val="00CB2E6B"/>
    <w:rsid w:val="00CB3071"/>
    <w:rsid w:val="00CB4F24"/>
    <w:rsid w:val="00CB529F"/>
    <w:rsid w:val="00CB62CA"/>
    <w:rsid w:val="00CB63C8"/>
    <w:rsid w:val="00CB6AA9"/>
    <w:rsid w:val="00CB71AF"/>
    <w:rsid w:val="00CB7F6B"/>
    <w:rsid w:val="00CC0771"/>
    <w:rsid w:val="00CC0C22"/>
    <w:rsid w:val="00CC147C"/>
    <w:rsid w:val="00CC190A"/>
    <w:rsid w:val="00CC1EEA"/>
    <w:rsid w:val="00CC2B17"/>
    <w:rsid w:val="00CC2B7B"/>
    <w:rsid w:val="00CC2D79"/>
    <w:rsid w:val="00CC2DB2"/>
    <w:rsid w:val="00CC32F0"/>
    <w:rsid w:val="00CC3E33"/>
    <w:rsid w:val="00CC4489"/>
    <w:rsid w:val="00CC45A3"/>
    <w:rsid w:val="00CC51E2"/>
    <w:rsid w:val="00CC528C"/>
    <w:rsid w:val="00CC558E"/>
    <w:rsid w:val="00CC5AF8"/>
    <w:rsid w:val="00CC5EF2"/>
    <w:rsid w:val="00CC608B"/>
    <w:rsid w:val="00CC65B8"/>
    <w:rsid w:val="00CC6659"/>
    <w:rsid w:val="00CC6B2F"/>
    <w:rsid w:val="00CC6E69"/>
    <w:rsid w:val="00CC6F9A"/>
    <w:rsid w:val="00CC71A4"/>
    <w:rsid w:val="00CC7460"/>
    <w:rsid w:val="00CC7D66"/>
    <w:rsid w:val="00CD0802"/>
    <w:rsid w:val="00CD0C44"/>
    <w:rsid w:val="00CD0DC1"/>
    <w:rsid w:val="00CD0E53"/>
    <w:rsid w:val="00CD1992"/>
    <w:rsid w:val="00CD1F37"/>
    <w:rsid w:val="00CD238E"/>
    <w:rsid w:val="00CD2A71"/>
    <w:rsid w:val="00CD2BE2"/>
    <w:rsid w:val="00CD2C39"/>
    <w:rsid w:val="00CD3621"/>
    <w:rsid w:val="00CD3E29"/>
    <w:rsid w:val="00CD4025"/>
    <w:rsid w:val="00CD4412"/>
    <w:rsid w:val="00CD4903"/>
    <w:rsid w:val="00CD4AB0"/>
    <w:rsid w:val="00CD5095"/>
    <w:rsid w:val="00CD675E"/>
    <w:rsid w:val="00CD6B24"/>
    <w:rsid w:val="00CD7307"/>
    <w:rsid w:val="00CD76A2"/>
    <w:rsid w:val="00CD7D11"/>
    <w:rsid w:val="00CE0BB4"/>
    <w:rsid w:val="00CE1092"/>
    <w:rsid w:val="00CE1401"/>
    <w:rsid w:val="00CE19C0"/>
    <w:rsid w:val="00CE2747"/>
    <w:rsid w:val="00CE3264"/>
    <w:rsid w:val="00CE3325"/>
    <w:rsid w:val="00CE37F7"/>
    <w:rsid w:val="00CE3828"/>
    <w:rsid w:val="00CE4655"/>
    <w:rsid w:val="00CE54FC"/>
    <w:rsid w:val="00CE57DA"/>
    <w:rsid w:val="00CE58B5"/>
    <w:rsid w:val="00CE59DF"/>
    <w:rsid w:val="00CE5F12"/>
    <w:rsid w:val="00CE61D5"/>
    <w:rsid w:val="00CE67CB"/>
    <w:rsid w:val="00CE68A9"/>
    <w:rsid w:val="00CE6EEF"/>
    <w:rsid w:val="00CF09FA"/>
    <w:rsid w:val="00CF1728"/>
    <w:rsid w:val="00CF189C"/>
    <w:rsid w:val="00CF2387"/>
    <w:rsid w:val="00CF24A6"/>
    <w:rsid w:val="00CF24BA"/>
    <w:rsid w:val="00CF2526"/>
    <w:rsid w:val="00CF2575"/>
    <w:rsid w:val="00CF280F"/>
    <w:rsid w:val="00CF2ABA"/>
    <w:rsid w:val="00CF2BD7"/>
    <w:rsid w:val="00CF2BEE"/>
    <w:rsid w:val="00CF328C"/>
    <w:rsid w:val="00CF391C"/>
    <w:rsid w:val="00CF3D63"/>
    <w:rsid w:val="00CF40E1"/>
    <w:rsid w:val="00CF500C"/>
    <w:rsid w:val="00CF552A"/>
    <w:rsid w:val="00CF7126"/>
    <w:rsid w:val="00CF7416"/>
    <w:rsid w:val="00CF7658"/>
    <w:rsid w:val="00CF792A"/>
    <w:rsid w:val="00CF7A2B"/>
    <w:rsid w:val="00D003D7"/>
    <w:rsid w:val="00D00C44"/>
    <w:rsid w:val="00D00CDD"/>
    <w:rsid w:val="00D01154"/>
    <w:rsid w:val="00D02427"/>
    <w:rsid w:val="00D02817"/>
    <w:rsid w:val="00D02B9F"/>
    <w:rsid w:val="00D02E02"/>
    <w:rsid w:val="00D0379A"/>
    <w:rsid w:val="00D03FCB"/>
    <w:rsid w:val="00D0424E"/>
    <w:rsid w:val="00D04520"/>
    <w:rsid w:val="00D053CC"/>
    <w:rsid w:val="00D05524"/>
    <w:rsid w:val="00D0664B"/>
    <w:rsid w:val="00D0684F"/>
    <w:rsid w:val="00D06BA2"/>
    <w:rsid w:val="00D07845"/>
    <w:rsid w:val="00D07A4D"/>
    <w:rsid w:val="00D07D58"/>
    <w:rsid w:val="00D07FC9"/>
    <w:rsid w:val="00D108A7"/>
    <w:rsid w:val="00D10ABB"/>
    <w:rsid w:val="00D10BB8"/>
    <w:rsid w:val="00D10D29"/>
    <w:rsid w:val="00D1195C"/>
    <w:rsid w:val="00D119E4"/>
    <w:rsid w:val="00D11DA9"/>
    <w:rsid w:val="00D1214F"/>
    <w:rsid w:val="00D12468"/>
    <w:rsid w:val="00D1299B"/>
    <w:rsid w:val="00D13781"/>
    <w:rsid w:val="00D13956"/>
    <w:rsid w:val="00D13AAC"/>
    <w:rsid w:val="00D13BCA"/>
    <w:rsid w:val="00D14346"/>
    <w:rsid w:val="00D143BD"/>
    <w:rsid w:val="00D14D16"/>
    <w:rsid w:val="00D1522E"/>
    <w:rsid w:val="00D15801"/>
    <w:rsid w:val="00D16450"/>
    <w:rsid w:val="00D16DB4"/>
    <w:rsid w:val="00D174CC"/>
    <w:rsid w:val="00D1751D"/>
    <w:rsid w:val="00D17C79"/>
    <w:rsid w:val="00D17FC4"/>
    <w:rsid w:val="00D20565"/>
    <w:rsid w:val="00D2070A"/>
    <w:rsid w:val="00D20796"/>
    <w:rsid w:val="00D20EDB"/>
    <w:rsid w:val="00D2135A"/>
    <w:rsid w:val="00D2160F"/>
    <w:rsid w:val="00D23DA9"/>
    <w:rsid w:val="00D23ED5"/>
    <w:rsid w:val="00D2411D"/>
    <w:rsid w:val="00D24A75"/>
    <w:rsid w:val="00D26385"/>
    <w:rsid w:val="00D26EC3"/>
    <w:rsid w:val="00D26F37"/>
    <w:rsid w:val="00D273A1"/>
    <w:rsid w:val="00D27DC8"/>
    <w:rsid w:val="00D30146"/>
    <w:rsid w:val="00D30AA6"/>
    <w:rsid w:val="00D30D15"/>
    <w:rsid w:val="00D30EB0"/>
    <w:rsid w:val="00D31A9C"/>
    <w:rsid w:val="00D31B04"/>
    <w:rsid w:val="00D31B1F"/>
    <w:rsid w:val="00D32124"/>
    <w:rsid w:val="00D32CFA"/>
    <w:rsid w:val="00D32D9A"/>
    <w:rsid w:val="00D338C8"/>
    <w:rsid w:val="00D339AD"/>
    <w:rsid w:val="00D33DC2"/>
    <w:rsid w:val="00D34C56"/>
    <w:rsid w:val="00D34D34"/>
    <w:rsid w:val="00D360CD"/>
    <w:rsid w:val="00D362C1"/>
    <w:rsid w:val="00D36320"/>
    <w:rsid w:val="00D36347"/>
    <w:rsid w:val="00D36439"/>
    <w:rsid w:val="00D368C3"/>
    <w:rsid w:val="00D369EE"/>
    <w:rsid w:val="00D36FBB"/>
    <w:rsid w:val="00D37183"/>
    <w:rsid w:val="00D371C5"/>
    <w:rsid w:val="00D37377"/>
    <w:rsid w:val="00D374EE"/>
    <w:rsid w:val="00D379B5"/>
    <w:rsid w:val="00D406F8"/>
    <w:rsid w:val="00D40D1D"/>
    <w:rsid w:val="00D4104A"/>
    <w:rsid w:val="00D414DE"/>
    <w:rsid w:val="00D4155B"/>
    <w:rsid w:val="00D4273C"/>
    <w:rsid w:val="00D42BB5"/>
    <w:rsid w:val="00D42E7D"/>
    <w:rsid w:val="00D43786"/>
    <w:rsid w:val="00D4382F"/>
    <w:rsid w:val="00D43C90"/>
    <w:rsid w:val="00D44296"/>
    <w:rsid w:val="00D4454D"/>
    <w:rsid w:val="00D44885"/>
    <w:rsid w:val="00D450A8"/>
    <w:rsid w:val="00D45480"/>
    <w:rsid w:val="00D45BA2"/>
    <w:rsid w:val="00D4667E"/>
    <w:rsid w:val="00D46F0E"/>
    <w:rsid w:val="00D4722F"/>
    <w:rsid w:val="00D47540"/>
    <w:rsid w:val="00D4757D"/>
    <w:rsid w:val="00D50D0D"/>
    <w:rsid w:val="00D50E66"/>
    <w:rsid w:val="00D51134"/>
    <w:rsid w:val="00D5146D"/>
    <w:rsid w:val="00D515A8"/>
    <w:rsid w:val="00D51632"/>
    <w:rsid w:val="00D5202F"/>
    <w:rsid w:val="00D52293"/>
    <w:rsid w:val="00D52B35"/>
    <w:rsid w:val="00D52B8A"/>
    <w:rsid w:val="00D52C7E"/>
    <w:rsid w:val="00D53359"/>
    <w:rsid w:val="00D53C38"/>
    <w:rsid w:val="00D53E65"/>
    <w:rsid w:val="00D560B7"/>
    <w:rsid w:val="00D60015"/>
    <w:rsid w:val="00D60436"/>
    <w:rsid w:val="00D60629"/>
    <w:rsid w:val="00D62454"/>
    <w:rsid w:val="00D62B93"/>
    <w:rsid w:val="00D637B6"/>
    <w:rsid w:val="00D6404C"/>
    <w:rsid w:val="00D6472A"/>
    <w:rsid w:val="00D64DB0"/>
    <w:rsid w:val="00D65072"/>
    <w:rsid w:val="00D65DF5"/>
    <w:rsid w:val="00D65EC1"/>
    <w:rsid w:val="00D66259"/>
    <w:rsid w:val="00D665CA"/>
    <w:rsid w:val="00D66A1D"/>
    <w:rsid w:val="00D670AC"/>
    <w:rsid w:val="00D67846"/>
    <w:rsid w:val="00D678CA"/>
    <w:rsid w:val="00D67EFA"/>
    <w:rsid w:val="00D70040"/>
    <w:rsid w:val="00D70397"/>
    <w:rsid w:val="00D70944"/>
    <w:rsid w:val="00D70EB0"/>
    <w:rsid w:val="00D71271"/>
    <w:rsid w:val="00D72402"/>
    <w:rsid w:val="00D72ED7"/>
    <w:rsid w:val="00D73E23"/>
    <w:rsid w:val="00D740DE"/>
    <w:rsid w:val="00D74788"/>
    <w:rsid w:val="00D74D62"/>
    <w:rsid w:val="00D75A87"/>
    <w:rsid w:val="00D76127"/>
    <w:rsid w:val="00D7616C"/>
    <w:rsid w:val="00D7775E"/>
    <w:rsid w:val="00D80046"/>
    <w:rsid w:val="00D80204"/>
    <w:rsid w:val="00D805D6"/>
    <w:rsid w:val="00D807C9"/>
    <w:rsid w:val="00D80872"/>
    <w:rsid w:val="00D80AEC"/>
    <w:rsid w:val="00D80F1D"/>
    <w:rsid w:val="00D80FAF"/>
    <w:rsid w:val="00D816FD"/>
    <w:rsid w:val="00D81770"/>
    <w:rsid w:val="00D81AAD"/>
    <w:rsid w:val="00D81C23"/>
    <w:rsid w:val="00D82E28"/>
    <w:rsid w:val="00D8316B"/>
    <w:rsid w:val="00D83592"/>
    <w:rsid w:val="00D837A8"/>
    <w:rsid w:val="00D8403D"/>
    <w:rsid w:val="00D854C4"/>
    <w:rsid w:val="00D860F5"/>
    <w:rsid w:val="00D86135"/>
    <w:rsid w:val="00D8646D"/>
    <w:rsid w:val="00D86EE9"/>
    <w:rsid w:val="00D87495"/>
    <w:rsid w:val="00D8780C"/>
    <w:rsid w:val="00D87D8C"/>
    <w:rsid w:val="00D913AA"/>
    <w:rsid w:val="00D914F9"/>
    <w:rsid w:val="00D9153C"/>
    <w:rsid w:val="00D91641"/>
    <w:rsid w:val="00D91952"/>
    <w:rsid w:val="00D919A8"/>
    <w:rsid w:val="00D92737"/>
    <w:rsid w:val="00D9332C"/>
    <w:rsid w:val="00D93E9A"/>
    <w:rsid w:val="00D942F5"/>
    <w:rsid w:val="00D94944"/>
    <w:rsid w:val="00D94D70"/>
    <w:rsid w:val="00D94D7C"/>
    <w:rsid w:val="00D95287"/>
    <w:rsid w:val="00D952E1"/>
    <w:rsid w:val="00D95432"/>
    <w:rsid w:val="00D954D1"/>
    <w:rsid w:val="00D95FCA"/>
    <w:rsid w:val="00D9611A"/>
    <w:rsid w:val="00D96B7C"/>
    <w:rsid w:val="00D977B3"/>
    <w:rsid w:val="00D97B60"/>
    <w:rsid w:val="00D97D3F"/>
    <w:rsid w:val="00DA0117"/>
    <w:rsid w:val="00DA1B30"/>
    <w:rsid w:val="00DA2445"/>
    <w:rsid w:val="00DA3127"/>
    <w:rsid w:val="00DA4801"/>
    <w:rsid w:val="00DA51B5"/>
    <w:rsid w:val="00DA5E53"/>
    <w:rsid w:val="00DA5EAB"/>
    <w:rsid w:val="00DA5FB6"/>
    <w:rsid w:val="00DA6100"/>
    <w:rsid w:val="00DA6165"/>
    <w:rsid w:val="00DA61D8"/>
    <w:rsid w:val="00DA61DE"/>
    <w:rsid w:val="00DA6828"/>
    <w:rsid w:val="00DA6F72"/>
    <w:rsid w:val="00DA759C"/>
    <w:rsid w:val="00DA7798"/>
    <w:rsid w:val="00DB0792"/>
    <w:rsid w:val="00DB0CA9"/>
    <w:rsid w:val="00DB0EB3"/>
    <w:rsid w:val="00DB17A2"/>
    <w:rsid w:val="00DB211B"/>
    <w:rsid w:val="00DB21D9"/>
    <w:rsid w:val="00DB240D"/>
    <w:rsid w:val="00DB25C6"/>
    <w:rsid w:val="00DB27D0"/>
    <w:rsid w:val="00DB289A"/>
    <w:rsid w:val="00DB2BF2"/>
    <w:rsid w:val="00DB2C94"/>
    <w:rsid w:val="00DB3615"/>
    <w:rsid w:val="00DB3E83"/>
    <w:rsid w:val="00DB3EDD"/>
    <w:rsid w:val="00DB3F75"/>
    <w:rsid w:val="00DB405B"/>
    <w:rsid w:val="00DB44E6"/>
    <w:rsid w:val="00DB49AF"/>
    <w:rsid w:val="00DB582E"/>
    <w:rsid w:val="00DB673B"/>
    <w:rsid w:val="00DB67C4"/>
    <w:rsid w:val="00DB6BE7"/>
    <w:rsid w:val="00DB775C"/>
    <w:rsid w:val="00DB7B18"/>
    <w:rsid w:val="00DC0045"/>
    <w:rsid w:val="00DC00F6"/>
    <w:rsid w:val="00DC033B"/>
    <w:rsid w:val="00DC0A42"/>
    <w:rsid w:val="00DC11BA"/>
    <w:rsid w:val="00DC1417"/>
    <w:rsid w:val="00DC170F"/>
    <w:rsid w:val="00DC17C8"/>
    <w:rsid w:val="00DC2106"/>
    <w:rsid w:val="00DC2763"/>
    <w:rsid w:val="00DC2886"/>
    <w:rsid w:val="00DC2EE1"/>
    <w:rsid w:val="00DC3D95"/>
    <w:rsid w:val="00DC3E5A"/>
    <w:rsid w:val="00DC44C7"/>
    <w:rsid w:val="00DC45F8"/>
    <w:rsid w:val="00DC52FD"/>
    <w:rsid w:val="00DC576F"/>
    <w:rsid w:val="00DC6EB6"/>
    <w:rsid w:val="00DC7383"/>
    <w:rsid w:val="00DC7DDD"/>
    <w:rsid w:val="00DC7EF8"/>
    <w:rsid w:val="00DD0C06"/>
    <w:rsid w:val="00DD0E42"/>
    <w:rsid w:val="00DD1128"/>
    <w:rsid w:val="00DD1491"/>
    <w:rsid w:val="00DD1744"/>
    <w:rsid w:val="00DD1F18"/>
    <w:rsid w:val="00DD3C82"/>
    <w:rsid w:val="00DD412C"/>
    <w:rsid w:val="00DD500D"/>
    <w:rsid w:val="00DD5A4E"/>
    <w:rsid w:val="00DD6042"/>
    <w:rsid w:val="00DD68DC"/>
    <w:rsid w:val="00DD72F8"/>
    <w:rsid w:val="00DD76F4"/>
    <w:rsid w:val="00DE0D44"/>
    <w:rsid w:val="00DE0DC7"/>
    <w:rsid w:val="00DE10CB"/>
    <w:rsid w:val="00DE1528"/>
    <w:rsid w:val="00DE1641"/>
    <w:rsid w:val="00DE185E"/>
    <w:rsid w:val="00DE1A8C"/>
    <w:rsid w:val="00DE1B98"/>
    <w:rsid w:val="00DE1DCB"/>
    <w:rsid w:val="00DE21D9"/>
    <w:rsid w:val="00DE2213"/>
    <w:rsid w:val="00DE2576"/>
    <w:rsid w:val="00DE26EE"/>
    <w:rsid w:val="00DE2C10"/>
    <w:rsid w:val="00DE315B"/>
    <w:rsid w:val="00DE3521"/>
    <w:rsid w:val="00DE35E2"/>
    <w:rsid w:val="00DE375F"/>
    <w:rsid w:val="00DE38F2"/>
    <w:rsid w:val="00DE4055"/>
    <w:rsid w:val="00DE48DF"/>
    <w:rsid w:val="00DE5028"/>
    <w:rsid w:val="00DE5F12"/>
    <w:rsid w:val="00DE659D"/>
    <w:rsid w:val="00DE6D95"/>
    <w:rsid w:val="00DF0210"/>
    <w:rsid w:val="00DF0419"/>
    <w:rsid w:val="00DF08D4"/>
    <w:rsid w:val="00DF0F5F"/>
    <w:rsid w:val="00DF1403"/>
    <w:rsid w:val="00DF1423"/>
    <w:rsid w:val="00DF2CAB"/>
    <w:rsid w:val="00DF30EA"/>
    <w:rsid w:val="00DF3CDA"/>
    <w:rsid w:val="00DF3CE8"/>
    <w:rsid w:val="00DF4E64"/>
    <w:rsid w:val="00DF4ED6"/>
    <w:rsid w:val="00DF5019"/>
    <w:rsid w:val="00DF521B"/>
    <w:rsid w:val="00DF54E4"/>
    <w:rsid w:val="00DF562A"/>
    <w:rsid w:val="00DF58CD"/>
    <w:rsid w:val="00DF6034"/>
    <w:rsid w:val="00DF622B"/>
    <w:rsid w:val="00DF6F1B"/>
    <w:rsid w:val="00DF6FAF"/>
    <w:rsid w:val="00DF7071"/>
    <w:rsid w:val="00DF731C"/>
    <w:rsid w:val="00DF7F3D"/>
    <w:rsid w:val="00E00757"/>
    <w:rsid w:val="00E00DCA"/>
    <w:rsid w:val="00E0157A"/>
    <w:rsid w:val="00E020EA"/>
    <w:rsid w:val="00E0241F"/>
    <w:rsid w:val="00E028CC"/>
    <w:rsid w:val="00E03394"/>
    <w:rsid w:val="00E035B2"/>
    <w:rsid w:val="00E03A76"/>
    <w:rsid w:val="00E03B74"/>
    <w:rsid w:val="00E03CF2"/>
    <w:rsid w:val="00E04680"/>
    <w:rsid w:val="00E052FC"/>
    <w:rsid w:val="00E05406"/>
    <w:rsid w:val="00E06442"/>
    <w:rsid w:val="00E06906"/>
    <w:rsid w:val="00E06AD9"/>
    <w:rsid w:val="00E06E88"/>
    <w:rsid w:val="00E0701B"/>
    <w:rsid w:val="00E073BB"/>
    <w:rsid w:val="00E074E6"/>
    <w:rsid w:val="00E07549"/>
    <w:rsid w:val="00E077A0"/>
    <w:rsid w:val="00E079CB"/>
    <w:rsid w:val="00E07C66"/>
    <w:rsid w:val="00E07E08"/>
    <w:rsid w:val="00E10BD2"/>
    <w:rsid w:val="00E10E6A"/>
    <w:rsid w:val="00E10F62"/>
    <w:rsid w:val="00E11C52"/>
    <w:rsid w:val="00E12429"/>
    <w:rsid w:val="00E124F7"/>
    <w:rsid w:val="00E13733"/>
    <w:rsid w:val="00E139FB"/>
    <w:rsid w:val="00E13E3D"/>
    <w:rsid w:val="00E141C8"/>
    <w:rsid w:val="00E1491C"/>
    <w:rsid w:val="00E15518"/>
    <w:rsid w:val="00E158BB"/>
    <w:rsid w:val="00E15A2A"/>
    <w:rsid w:val="00E15B39"/>
    <w:rsid w:val="00E15C18"/>
    <w:rsid w:val="00E16A16"/>
    <w:rsid w:val="00E16E0E"/>
    <w:rsid w:val="00E177C7"/>
    <w:rsid w:val="00E17A94"/>
    <w:rsid w:val="00E17ABC"/>
    <w:rsid w:val="00E203E5"/>
    <w:rsid w:val="00E203FE"/>
    <w:rsid w:val="00E2087F"/>
    <w:rsid w:val="00E21BC5"/>
    <w:rsid w:val="00E21D10"/>
    <w:rsid w:val="00E21E9C"/>
    <w:rsid w:val="00E2239D"/>
    <w:rsid w:val="00E22411"/>
    <w:rsid w:val="00E22AEA"/>
    <w:rsid w:val="00E22AF7"/>
    <w:rsid w:val="00E22E27"/>
    <w:rsid w:val="00E2315D"/>
    <w:rsid w:val="00E23CE4"/>
    <w:rsid w:val="00E24543"/>
    <w:rsid w:val="00E2462B"/>
    <w:rsid w:val="00E24F62"/>
    <w:rsid w:val="00E2566B"/>
    <w:rsid w:val="00E25C24"/>
    <w:rsid w:val="00E25CFB"/>
    <w:rsid w:val="00E25EDB"/>
    <w:rsid w:val="00E2634B"/>
    <w:rsid w:val="00E263AD"/>
    <w:rsid w:val="00E268EA"/>
    <w:rsid w:val="00E26BD3"/>
    <w:rsid w:val="00E276DB"/>
    <w:rsid w:val="00E27C37"/>
    <w:rsid w:val="00E27D2E"/>
    <w:rsid w:val="00E27F9A"/>
    <w:rsid w:val="00E312DB"/>
    <w:rsid w:val="00E3161E"/>
    <w:rsid w:val="00E316E4"/>
    <w:rsid w:val="00E32501"/>
    <w:rsid w:val="00E32763"/>
    <w:rsid w:val="00E32EA5"/>
    <w:rsid w:val="00E33404"/>
    <w:rsid w:val="00E335A2"/>
    <w:rsid w:val="00E337C4"/>
    <w:rsid w:val="00E339A5"/>
    <w:rsid w:val="00E33E03"/>
    <w:rsid w:val="00E341D8"/>
    <w:rsid w:val="00E34751"/>
    <w:rsid w:val="00E349D7"/>
    <w:rsid w:val="00E34C0A"/>
    <w:rsid w:val="00E34D8E"/>
    <w:rsid w:val="00E34F93"/>
    <w:rsid w:val="00E35D8C"/>
    <w:rsid w:val="00E371BD"/>
    <w:rsid w:val="00E37492"/>
    <w:rsid w:val="00E374CD"/>
    <w:rsid w:val="00E3784F"/>
    <w:rsid w:val="00E37ACC"/>
    <w:rsid w:val="00E40047"/>
    <w:rsid w:val="00E40166"/>
    <w:rsid w:val="00E4271C"/>
    <w:rsid w:val="00E42BAF"/>
    <w:rsid w:val="00E43EFB"/>
    <w:rsid w:val="00E44603"/>
    <w:rsid w:val="00E449D8"/>
    <w:rsid w:val="00E44CF6"/>
    <w:rsid w:val="00E44D9A"/>
    <w:rsid w:val="00E45230"/>
    <w:rsid w:val="00E457C6"/>
    <w:rsid w:val="00E45957"/>
    <w:rsid w:val="00E467A3"/>
    <w:rsid w:val="00E47986"/>
    <w:rsid w:val="00E47E23"/>
    <w:rsid w:val="00E47E5A"/>
    <w:rsid w:val="00E47F8F"/>
    <w:rsid w:val="00E503D0"/>
    <w:rsid w:val="00E508E4"/>
    <w:rsid w:val="00E50ED0"/>
    <w:rsid w:val="00E510D7"/>
    <w:rsid w:val="00E511D7"/>
    <w:rsid w:val="00E514B0"/>
    <w:rsid w:val="00E51732"/>
    <w:rsid w:val="00E518A3"/>
    <w:rsid w:val="00E5258C"/>
    <w:rsid w:val="00E52DA9"/>
    <w:rsid w:val="00E53B4E"/>
    <w:rsid w:val="00E55189"/>
    <w:rsid w:val="00E5524C"/>
    <w:rsid w:val="00E555AB"/>
    <w:rsid w:val="00E55EDE"/>
    <w:rsid w:val="00E56DA7"/>
    <w:rsid w:val="00E56EA2"/>
    <w:rsid w:val="00E5725F"/>
    <w:rsid w:val="00E573AB"/>
    <w:rsid w:val="00E60583"/>
    <w:rsid w:val="00E6131A"/>
    <w:rsid w:val="00E616C9"/>
    <w:rsid w:val="00E62E69"/>
    <w:rsid w:val="00E62F4D"/>
    <w:rsid w:val="00E62FB1"/>
    <w:rsid w:val="00E63063"/>
    <w:rsid w:val="00E63221"/>
    <w:rsid w:val="00E63389"/>
    <w:rsid w:val="00E63AE6"/>
    <w:rsid w:val="00E646D2"/>
    <w:rsid w:val="00E6486E"/>
    <w:rsid w:val="00E649DC"/>
    <w:rsid w:val="00E64BB0"/>
    <w:rsid w:val="00E6517E"/>
    <w:rsid w:val="00E6544A"/>
    <w:rsid w:val="00E65B3C"/>
    <w:rsid w:val="00E65D98"/>
    <w:rsid w:val="00E66EC8"/>
    <w:rsid w:val="00E673FA"/>
    <w:rsid w:val="00E67631"/>
    <w:rsid w:val="00E679B3"/>
    <w:rsid w:val="00E67E32"/>
    <w:rsid w:val="00E703E0"/>
    <w:rsid w:val="00E716F5"/>
    <w:rsid w:val="00E71891"/>
    <w:rsid w:val="00E72A16"/>
    <w:rsid w:val="00E73371"/>
    <w:rsid w:val="00E73A4E"/>
    <w:rsid w:val="00E73E51"/>
    <w:rsid w:val="00E74833"/>
    <w:rsid w:val="00E74872"/>
    <w:rsid w:val="00E75186"/>
    <w:rsid w:val="00E75F77"/>
    <w:rsid w:val="00E76B3B"/>
    <w:rsid w:val="00E76BF0"/>
    <w:rsid w:val="00E76E07"/>
    <w:rsid w:val="00E7764A"/>
    <w:rsid w:val="00E77747"/>
    <w:rsid w:val="00E8016B"/>
    <w:rsid w:val="00E80BC3"/>
    <w:rsid w:val="00E81D12"/>
    <w:rsid w:val="00E81D5B"/>
    <w:rsid w:val="00E827C7"/>
    <w:rsid w:val="00E8292C"/>
    <w:rsid w:val="00E82B43"/>
    <w:rsid w:val="00E82DCA"/>
    <w:rsid w:val="00E83083"/>
    <w:rsid w:val="00E8402E"/>
    <w:rsid w:val="00E85554"/>
    <w:rsid w:val="00E85BD5"/>
    <w:rsid w:val="00E85C80"/>
    <w:rsid w:val="00E8631F"/>
    <w:rsid w:val="00E8665A"/>
    <w:rsid w:val="00E86755"/>
    <w:rsid w:val="00E868BA"/>
    <w:rsid w:val="00E86E30"/>
    <w:rsid w:val="00E87530"/>
    <w:rsid w:val="00E879E5"/>
    <w:rsid w:val="00E90562"/>
    <w:rsid w:val="00E9088C"/>
    <w:rsid w:val="00E90F36"/>
    <w:rsid w:val="00E915ED"/>
    <w:rsid w:val="00E919C1"/>
    <w:rsid w:val="00E91E0A"/>
    <w:rsid w:val="00E9227A"/>
    <w:rsid w:val="00E929B0"/>
    <w:rsid w:val="00E92BEB"/>
    <w:rsid w:val="00E93228"/>
    <w:rsid w:val="00E949B0"/>
    <w:rsid w:val="00E959EA"/>
    <w:rsid w:val="00E96408"/>
    <w:rsid w:val="00E9665E"/>
    <w:rsid w:val="00E96EBE"/>
    <w:rsid w:val="00E97305"/>
    <w:rsid w:val="00E9766D"/>
    <w:rsid w:val="00E97B79"/>
    <w:rsid w:val="00EA0A1D"/>
    <w:rsid w:val="00EA0BC3"/>
    <w:rsid w:val="00EA0E68"/>
    <w:rsid w:val="00EA11A7"/>
    <w:rsid w:val="00EA13E4"/>
    <w:rsid w:val="00EA2310"/>
    <w:rsid w:val="00EA2A75"/>
    <w:rsid w:val="00EA337B"/>
    <w:rsid w:val="00EA3747"/>
    <w:rsid w:val="00EA3799"/>
    <w:rsid w:val="00EA3B8C"/>
    <w:rsid w:val="00EA3CA4"/>
    <w:rsid w:val="00EA3FB7"/>
    <w:rsid w:val="00EA42E8"/>
    <w:rsid w:val="00EA5249"/>
    <w:rsid w:val="00EA5284"/>
    <w:rsid w:val="00EA639F"/>
    <w:rsid w:val="00EA63B9"/>
    <w:rsid w:val="00EA6AC2"/>
    <w:rsid w:val="00EA6B04"/>
    <w:rsid w:val="00EA6C1C"/>
    <w:rsid w:val="00EA7CC3"/>
    <w:rsid w:val="00EA7F55"/>
    <w:rsid w:val="00EB0301"/>
    <w:rsid w:val="00EB065B"/>
    <w:rsid w:val="00EB06B3"/>
    <w:rsid w:val="00EB09C2"/>
    <w:rsid w:val="00EB1D85"/>
    <w:rsid w:val="00EB206D"/>
    <w:rsid w:val="00EB2721"/>
    <w:rsid w:val="00EB2E76"/>
    <w:rsid w:val="00EB3002"/>
    <w:rsid w:val="00EB345B"/>
    <w:rsid w:val="00EB3B71"/>
    <w:rsid w:val="00EB4377"/>
    <w:rsid w:val="00EB4EAE"/>
    <w:rsid w:val="00EB50E0"/>
    <w:rsid w:val="00EB54DD"/>
    <w:rsid w:val="00EB63F6"/>
    <w:rsid w:val="00EB64E1"/>
    <w:rsid w:val="00EB7242"/>
    <w:rsid w:val="00EB7384"/>
    <w:rsid w:val="00EB73FE"/>
    <w:rsid w:val="00EB779A"/>
    <w:rsid w:val="00EB7FE9"/>
    <w:rsid w:val="00EC01F9"/>
    <w:rsid w:val="00EC0230"/>
    <w:rsid w:val="00EC0954"/>
    <w:rsid w:val="00EC0A2E"/>
    <w:rsid w:val="00EC0BFF"/>
    <w:rsid w:val="00EC135B"/>
    <w:rsid w:val="00EC1524"/>
    <w:rsid w:val="00EC1B14"/>
    <w:rsid w:val="00EC23C0"/>
    <w:rsid w:val="00EC2697"/>
    <w:rsid w:val="00EC2C03"/>
    <w:rsid w:val="00EC2E5F"/>
    <w:rsid w:val="00EC2FF0"/>
    <w:rsid w:val="00EC3043"/>
    <w:rsid w:val="00EC34EB"/>
    <w:rsid w:val="00EC3632"/>
    <w:rsid w:val="00EC36CE"/>
    <w:rsid w:val="00EC37E9"/>
    <w:rsid w:val="00EC37FB"/>
    <w:rsid w:val="00EC3F80"/>
    <w:rsid w:val="00EC49AC"/>
    <w:rsid w:val="00EC4C36"/>
    <w:rsid w:val="00EC513A"/>
    <w:rsid w:val="00EC56EE"/>
    <w:rsid w:val="00EC589C"/>
    <w:rsid w:val="00EC5A00"/>
    <w:rsid w:val="00EC5DFD"/>
    <w:rsid w:val="00EC6131"/>
    <w:rsid w:val="00EC6159"/>
    <w:rsid w:val="00EC61E0"/>
    <w:rsid w:val="00EC640C"/>
    <w:rsid w:val="00EC6E99"/>
    <w:rsid w:val="00EC6F70"/>
    <w:rsid w:val="00EC7056"/>
    <w:rsid w:val="00EC7C37"/>
    <w:rsid w:val="00ED02C4"/>
    <w:rsid w:val="00ED2363"/>
    <w:rsid w:val="00ED3189"/>
    <w:rsid w:val="00ED427C"/>
    <w:rsid w:val="00ED4383"/>
    <w:rsid w:val="00ED44D3"/>
    <w:rsid w:val="00ED47B1"/>
    <w:rsid w:val="00ED51FE"/>
    <w:rsid w:val="00ED524E"/>
    <w:rsid w:val="00ED549F"/>
    <w:rsid w:val="00ED57D8"/>
    <w:rsid w:val="00ED6449"/>
    <w:rsid w:val="00ED66DC"/>
    <w:rsid w:val="00ED6983"/>
    <w:rsid w:val="00ED6CCD"/>
    <w:rsid w:val="00ED7378"/>
    <w:rsid w:val="00EE05BD"/>
    <w:rsid w:val="00EE0AE5"/>
    <w:rsid w:val="00EE267D"/>
    <w:rsid w:val="00EE2E54"/>
    <w:rsid w:val="00EE33CC"/>
    <w:rsid w:val="00EE3BEE"/>
    <w:rsid w:val="00EE4058"/>
    <w:rsid w:val="00EE468F"/>
    <w:rsid w:val="00EE5DA7"/>
    <w:rsid w:val="00EE6368"/>
    <w:rsid w:val="00EE65B6"/>
    <w:rsid w:val="00EE69F7"/>
    <w:rsid w:val="00EE6DF9"/>
    <w:rsid w:val="00EE6E05"/>
    <w:rsid w:val="00EE7785"/>
    <w:rsid w:val="00EF00F4"/>
    <w:rsid w:val="00EF06A0"/>
    <w:rsid w:val="00EF07C3"/>
    <w:rsid w:val="00EF0873"/>
    <w:rsid w:val="00EF0CC5"/>
    <w:rsid w:val="00EF10D8"/>
    <w:rsid w:val="00EF194F"/>
    <w:rsid w:val="00EF2159"/>
    <w:rsid w:val="00EF2E94"/>
    <w:rsid w:val="00EF2FC8"/>
    <w:rsid w:val="00EF3105"/>
    <w:rsid w:val="00EF373D"/>
    <w:rsid w:val="00EF40CB"/>
    <w:rsid w:val="00EF456A"/>
    <w:rsid w:val="00EF45F5"/>
    <w:rsid w:val="00EF51E4"/>
    <w:rsid w:val="00EF575C"/>
    <w:rsid w:val="00EF68C7"/>
    <w:rsid w:val="00EF72D5"/>
    <w:rsid w:val="00EF731A"/>
    <w:rsid w:val="00EF7322"/>
    <w:rsid w:val="00EF77D2"/>
    <w:rsid w:val="00EF7DB9"/>
    <w:rsid w:val="00F01025"/>
    <w:rsid w:val="00F0119F"/>
    <w:rsid w:val="00F01298"/>
    <w:rsid w:val="00F014E5"/>
    <w:rsid w:val="00F01EA2"/>
    <w:rsid w:val="00F01EC2"/>
    <w:rsid w:val="00F0230C"/>
    <w:rsid w:val="00F0260B"/>
    <w:rsid w:val="00F02AC2"/>
    <w:rsid w:val="00F02F3E"/>
    <w:rsid w:val="00F03281"/>
    <w:rsid w:val="00F03883"/>
    <w:rsid w:val="00F03983"/>
    <w:rsid w:val="00F03A9B"/>
    <w:rsid w:val="00F03C61"/>
    <w:rsid w:val="00F03E26"/>
    <w:rsid w:val="00F04252"/>
    <w:rsid w:val="00F04B06"/>
    <w:rsid w:val="00F06065"/>
    <w:rsid w:val="00F06191"/>
    <w:rsid w:val="00F06548"/>
    <w:rsid w:val="00F06FAE"/>
    <w:rsid w:val="00F07131"/>
    <w:rsid w:val="00F07B1C"/>
    <w:rsid w:val="00F07D24"/>
    <w:rsid w:val="00F10225"/>
    <w:rsid w:val="00F106EC"/>
    <w:rsid w:val="00F10854"/>
    <w:rsid w:val="00F112B8"/>
    <w:rsid w:val="00F11B05"/>
    <w:rsid w:val="00F11F21"/>
    <w:rsid w:val="00F120D8"/>
    <w:rsid w:val="00F12223"/>
    <w:rsid w:val="00F12265"/>
    <w:rsid w:val="00F12320"/>
    <w:rsid w:val="00F12655"/>
    <w:rsid w:val="00F12A41"/>
    <w:rsid w:val="00F12F7E"/>
    <w:rsid w:val="00F130A7"/>
    <w:rsid w:val="00F13690"/>
    <w:rsid w:val="00F13FA2"/>
    <w:rsid w:val="00F140E9"/>
    <w:rsid w:val="00F14E5D"/>
    <w:rsid w:val="00F1542D"/>
    <w:rsid w:val="00F15711"/>
    <w:rsid w:val="00F15851"/>
    <w:rsid w:val="00F1636A"/>
    <w:rsid w:val="00F17CB3"/>
    <w:rsid w:val="00F17D3D"/>
    <w:rsid w:val="00F17FDC"/>
    <w:rsid w:val="00F2033B"/>
    <w:rsid w:val="00F20744"/>
    <w:rsid w:val="00F20D14"/>
    <w:rsid w:val="00F20D69"/>
    <w:rsid w:val="00F21B75"/>
    <w:rsid w:val="00F220CF"/>
    <w:rsid w:val="00F23501"/>
    <w:rsid w:val="00F23C47"/>
    <w:rsid w:val="00F23D4F"/>
    <w:rsid w:val="00F244A6"/>
    <w:rsid w:val="00F249BD"/>
    <w:rsid w:val="00F24B2F"/>
    <w:rsid w:val="00F24E82"/>
    <w:rsid w:val="00F25ADF"/>
    <w:rsid w:val="00F25D6C"/>
    <w:rsid w:val="00F264C2"/>
    <w:rsid w:val="00F26A34"/>
    <w:rsid w:val="00F2703A"/>
    <w:rsid w:val="00F2790F"/>
    <w:rsid w:val="00F27A9A"/>
    <w:rsid w:val="00F27F7A"/>
    <w:rsid w:val="00F3067B"/>
    <w:rsid w:val="00F306A5"/>
    <w:rsid w:val="00F30906"/>
    <w:rsid w:val="00F30F27"/>
    <w:rsid w:val="00F312F0"/>
    <w:rsid w:val="00F31F0C"/>
    <w:rsid w:val="00F32514"/>
    <w:rsid w:val="00F32924"/>
    <w:rsid w:val="00F32E36"/>
    <w:rsid w:val="00F33522"/>
    <w:rsid w:val="00F3388E"/>
    <w:rsid w:val="00F33C25"/>
    <w:rsid w:val="00F33CDB"/>
    <w:rsid w:val="00F33D1B"/>
    <w:rsid w:val="00F33DA1"/>
    <w:rsid w:val="00F340F2"/>
    <w:rsid w:val="00F3449B"/>
    <w:rsid w:val="00F34A1E"/>
    <w:rsid w:val="00F35031"/>
    <w:rsid w:val="00F35340"/>
    <w:rsid w:val="00F353AB"/>
    <w:rsid w:val="00F359D9"/>
    <w:rsid w:val="00F35C73"/>
    <w:rsid w:val="00F36569"/>
    <w:rsid w:val="00F36657"/>
    <w:rsid w:val="00F36688"/>
    <w:rsid w:val="00F36B6C"/>
    <w:rsid w:val="00F36EF2"/>
    <w:rsid w:val="00F37358"/>
    <w:rsid w:val="00F37EBB"/>
    <w:rsid w:val="00F40023"/>
    <w:rsid w:val="00F414CE"/>
    <w:rsid w:val="00F41AAC"/>
    <w:rsid w:val="00F4259A"/>
    <w:rsid w:val="00F42EFF"/>
    <w:rsid w:val="00F43837"/>
    <w:rsid w:val="00F43EEE"/>
    <w:rsid w:val="00F43F73"/>
    <w:rsid w:val="00F4424B"/>
    <w:rsid w:val="00F448B9"/>
    <w:rsid w:val="00F44D21"/>
    <w:rsid w:val="00F44D86"/>
    <w:rsid w:val="00F44F2E"/>
    <w:rsid w:val="00F45064"/>
    <w:rsid w:val="00F451F6"/>
    <w:rsid w:val="00F46912"/>
    <w:rsid w:val="00F4696E"/>
    <w:rsid w:val="00F47365"/>
    <w:rsid w:val="00F47973"/>
    <w:rsid w:val="00F47E87"/>
    <w:rsid w:val="00F5035F"/>
    <w:rsid w:val="00F51118"/>
    <w:rsid w:val="00F52F70"/>
    <w:rsid w:val="00F530B1"/>
    <w:rsid w:val="00F53E01"/>
    <w:rsid w:val="00F540CC"/>
    <w:rsid w:val="00F54315"/>
    <w:rsid w:val="00F547EA"/>
    <w:rsid w:val="00F54DD3"/>
    <w:rsid w:val="00F54F9A"/>
    <w:rsid w:val="00F55D93"/>
    <w:rsid w:val="00F563CD"/>
    <w:rsid w:val="00F56929"/>
    <w:rsid w:val="00F56C6D"/>
    <w:rsid w:val="00F571C5"/>
    <w:rsid w:val="00F57356"/>
    <w:rsid w:val="00F573FB"/>
    <w:rsid w:val="00F57950"/>
    <w:rsid w:val="00F57B6D"/>
    <w:rsid w:val="00F60A9A"/>
    <w:rsid w:val="00F61289"/>
    <w:rsid w:val="00F61A35"/>
    <w:rsid w:val="00F62326"/>
    <w:rsid w:val="00F62762"/>
    <w:rsid w:val="00F62CC5"/>
    <w:rsid w:val="00F6332C"/>
    <w:rsid w:val="00F63C6B"/>
    <w:rsid w:val="00F63D57"/>
    <w:rsid w:val="00F63E40"/>
    <w:rsid w:val="00F640E6"/>
    <w:rsid w:val="00F64321"/>
    <w:rsid w:val="00F6453D"/>
    <w:rsid w:val="00F6455F"/>
    <w:rsid w:val="00F6463B"/>
    <w:rsid w:val="00F651BA"/>
    <w:rsid w:val="00F65278"/>
    <w:rsid w:val="00F652DD"/>
    <w:rsid w:val="00F66186"/>
    <w:rsid w:val="00F66244"/>
    <w:rsid w:val="00F665B2"/>
    <w:rsid w:val="00F66925"/>
    <w:rsid w:val="00F67099"/>
    <w:rsid w:val="00F67854"/>
    <w:rsid w:val="00F6798F"/>
    <w:rsid w:val="00F70A39"/>
    <w:rsid w:val="00F7110E"/>
    <w:rsid w:val="00F72A81"/>
    <w:rsid w:val="00F72D67"/>
    <w:rsid w:val="00F739AC"/>
    <w:rsid w:val="00F7468C"/>
    <w:rsid w:val="00F74BD6"/>
    <w:rsid w:val="00F76B70"/>
    <w:rsid w:val="00F76E61"/>
    <w:rsid w:val="00F7739B"/>
    <w:rsid w:val="00F77A2B"/>
    <w:rsid w:val="00F77E54"/>
    <w:rsid w:val="00F80312"/>
    <w:rsid w:val="00F80A89"/>
    <w:rsid w:val="00F80D83"/>
    <w:rsid w:val="00F813AF"/>
    <w:rsid w:val="00F81C94"/>
    <w:rsid w:val="00F81E67"/>
    <w:rsid w:val="00F82F0A"/>
    <w:rsid w:val="00F83182"/>
    <w:rsid w:val="00F836E2"/>
    <w:rsid w:val="00F845E4"/>
    <w:rsid w:val="00F84DB7"/>
    <w:rsid w:val="00F85512"/>
    <w:rsid w:val="00F862C4"/>
    <w:rsid w:val="00F86B3D"/>
    <w:rsid w:val="00F871A4"/>
    <w:rsid w:val="00F87E20"/>
    <w:rsid w:val="00F900F5"/>
    <w:rsid w:val="00F90C3E"/>
    <w:rsid w:val="00F91A23"/>
    <w:rsid w:val="00F92E7A"/>
    <w:rsid w:val="00F93318"/>
    <w:rsid w:val="00F93ABF"/>
    <w:rsid w:val="00F940D2"/>
    <w:rsid w:val="00F94915"/>
    <w:rsid w:val="00F95DE8"/>
    <w:rsid w:val="00F96337"/>
    <w:rsid w:val="00F96468"/>
    <w:rsid w:val="00F96916"/>
    <w:rsid w:val="00F96CFA"/>
    <w:rsid w:val="00F96DDB"/>
    <w:rsid w:val="00FA0669"/>
    <w:rsid w:val="00FA0DEA"/>
    <w:rsid w:val="00FA123C"/>
    <w:rsid w:val="00FA143B"/>
    <w:rsid w:val="00FA20CC"/>
    <w:rsid w:val="00FA3720"/>
    <w:rsid w:val="00FA3807"/>
    <w:rsid w:val="00FA3808"/>
    <w:rsid w:val="00FA3ED6"/>
    <w:rsid w:val="00FA4014"/>
    <w:rsid w:val="00FA564E"/>
    <w:rsid w:val="00FA74B4"/>
    <w:rsid w:val="00FA7AD7"/>
    <w:rsid w:val="00FA7E25"/>
    <w:rsid w:val="00FB0466"/>
    <w:rsid w:val="00FB0556"/>
    <w:rsid w:val="00FB0F09"/>
    <w:rsid w:val="00FB1754"/>
    <w:rsid w:val="00FB2416"/>
    <w:rsid w:val="00FB2A1F"/>
    <w:rsid w:val="00FB2F12"/>
    <w:rsid w:val="00FB3164"/>
    <w:rsid w:val="00FB4223"/>
    <w:rsid w:val="00FB4602"/>
    <w:rsid w:val="00FB4D30"/>
    <w:rsid w:val="00FB5830"/>
    <w:rsid w:val="00FB5BC1"/>
    <w:rsid w:val="00FB61FD"/>
    <w:rsid w:val="00FB69A4"/>
    <w:rsid w:val="00FB69FA"/>
    <w:rsid w:val="00FB6CB4"/>
    <w:rsid w:val="00FB7DC8"/>
    <w:rsid w:val="00FC0235"/>
    <w:rsid w:val="00FC0BDD"/>
    <w:rsid w:val="00FC0D70"/>
    <w:rsid w:val="00FC118F"/>
    <w:rsid w:val="00FC11B3"/>
    <w:rsid w:val="00FC2056"/>
    <w:rsid w:val="00FC3238"/>
    <w:rsid w:val="00FC339D"/>
    <w:rsid w:val="00FC48F6"/>
    <w:rsid w:val="00FC4907"/>
    <w:rsid w:val="00FC5FD1"/>
    <w:rsid w:val="00FC62B8"/>
    <w:rsid w:val="00FC64FE"/>
    <w:rsid w:val="00FC6D3B"/>
    <w:rsid w:val="00FC6E8F"/>
    <w:rsid w:val="00FC78A1"/>
    <w:rsid w:val="00FD0727"/>
    <w:rsid w:val="00FD0E57"/>
    <w:rsid w:val="00FD1318"/>
    <w:rsid w:val="00FD26D4"/>
    <w:rsid w:val="00FD2714"/>
    <w:rsid w:val="00FD2875"/>
    <w:rsid w:val="00FD29C3"/>
    <w:rsid w:val="00FD2DED"/>
    <w:rsid w:val="00FD33DA"/>
    <w:rsid w:val="00FD3F8B"/>
    <w:rsid w:val="00FD5AD2"/>
    <w:rsid w:val="00FD60E0"/>
    <w:rsid w:val="00FD65A0"/>
    <w:rsid w:val="00FD7C61"/>
    <w:rsid w:val="00FE0402"/>
    <w:rsid w:val="00FE0912"/>
    <w:rsid w:val="00FE0D85"/>
    <w:rsid w:val="00FE0DF8"/>
    <w:rsid w:val="00FE1483"/>
    <w:rsid w:val="00FE1B77"/>
    <w:rsid w:val="00FE1ED6"/>
    <w:rsid w:val="00FE1F26"/>
    <w:rsid w:val="00FE2263"/>
    <w:rsid w:val="00FE2353"/>
    <w:rsid w:val="00FE3331"/>
    <w:rsid w:val="00FE43D3"/>
    <w:rsid w:val="00FE447C"/>
    <w:rsid w:val="00FE455C"/>
    <w:rsid w:val="00FE457E"/>
    <w:rsid w:val="00FE4D5A"/>
    <w:rsid w:val="00FE5EBC"/>
    <w:rsid w:val="00FE5FB3"/>
    <w:rsid w:val="00FE6CD5"/>
    <w:rsid w:val="00FE7C62"/>
    <w:rsid w:val="00FE7CB6"/>
    <w:rsid w:val="00FF030B"/>
    <w:rsid w:val="00FF094F"/>
    <w:rsid w:val="00FF16AC"/>
    <w:rsid w:val="00FF18B3"/>
    <w:rsid w:val="00FF1E0E"/>
    <w:rsid w:val="00FF235E"/>
    <w:rsid w:val="00FF2FFD"/>
    <w:rsid w:val="00FF31D0"/>
    <w:rsid w:val="00FF3A46"/>
    <w:rsid w:val="00FF40D4"/>
    <w:rsid w:val="00FF4541"/>
    <w:rsid w:val="00FF4A78"/>
    <w:rsid w:val="00FF508A"/>
    <w:rsid w:val="00FF5849"/>
    <w:rsid w:val="00FF5D53"/>
    <w:rsid w:val="00FF5D8D"/>
    <w:rsid w:val="00FF5FB4"/>
    <w:rsid w:val="00FF68A3"/>
    <w:rsid w:val="00FF75C5"/>
    <w:rsid w:val="00FF768E"/>
    <w:rsid w:val="00FF7E04"/>
    <w:rsid w:val="01B8A77F"/>
    <w:rsid w:val="01FCAF8B"/>
    <w:rsid w:val="03B7442A"/>
    <w:rsid w:val="03C76F67"/>
    <w:rsid w:val="03DB1400"/>
    <w:rsid w:val="04756EDA"/>
    <w:rsid w:val="047BC91D"/>
    <w:rsid w:val="04863CC6"/>
    <w:rsid w:val="0487E5AF"/>
    <w:rsid w:val="04E62DCF"/>
    <w:rsid w:val="052C98ED"/>
    <w:rsid w:val="05E91D77"/>
    <w:rsid w:val="06141FC9"/>
    <w:rsid w:val="06193BE3"/>
    <w:rsid w:val="0636ED0D"/>
    <w:rsid w:val="06C0DB88"/>
    <w:rsid w:val="06DF54F7"/>
    <w:rsid w:val="06E94203"/>
    <w:rsid w:val="07622157"/>
    <w:rsid w:val="07C786EF"/>
    <w:rsid w:val="082169E0"/>
    <w:rsid w:val="0991263C"/>
    <w:rsid w:val="09921B4E"/>
    <w:rsid w:val="09D2F45F"/>
    <w:rsid w:val="09DF2BF7"/>
    <w:rsid w:val="0ACF2356"/>
    <w:rsid w:val="0B9DB6CC"/>
    <w:rsid w:val="0BB2A99D"/>
    <w:rsid w:val="0BE4E036"/>
    <w:rsid w:val="0BFCB305"/>
    <w:rsid w:val="0C248FE1"/>
    <w:rsid w:val="0CAE08B3"/>
    <w:rsid w:val="0D884AD9"/>
    <w:rsid w:val="0DB8EC87"/>
    <w:rsid w:val="0E2081E3"/>
    <w:rsid w:val="0E26F500"/>
    <w:rsid w:val="0E2BD9C1"/>
    <w:rsid w:val="0E431BAA"/>
    <w:rsid w:val="0E8F03CA"/>
    <w:rsid w:val="0EFB07B6"/>
    <w:rsid w:val="0F245743"/>
    <w:rsid w:val="0FA9A299"/>
    <w:rsid w:val="0FBE3CC3"/>
    <w:rsid w:val="0FC0B733"/>
    <w:rsid w:val="0FFC7DBA"/>
    <w:rsid w:val="1092A66B"/>
    <w:rsid w:val="10C6B761"/>
    <w:rsid w:val="1133E985"/>
    <w:rsid w:val="117B9BD2"/>
    <w:rsid w:val="126E07F4"/>
    <w:rsid w:val="127D2676"/>
    <w:rsid w:val="12FED9D4"/>
    <w:rsid w:val="134872D5"/>
    <w:rsid w:val="134A6360"/>
    <w:rsid w:val="1359BFA6"/>
    <w:rsid w:val="135B1283"/>
    <w:rsid w:val="13FB2D1C"/>
    <w:rsid w:val="141D373A"/>
    <w:rsid w:val="14D5308B"/>
    <w:rsid w:val="15490BEE"/>
    <w:rsid w:val="16238D84"/>
    <w:rsid w:val="16A88CB7"/>
    <w:rsid w:val="1883C060"/>
    <w:rsid w:val="18E2D7ED"/>
    <w:rsid w:val="1930FC33"/>
    <w:rsid w:val="19BF27A4"/>
    <w:rsid w:val="19D7845D"/>
    <w:rsid w:val="1A190C4E"/>
    <w:rsid w:val="1A3F2928"/>
    <w:rsid w:val="1A8839A1"/>
    <w:rsid w:val="1AD6DCF6"/>
    <w:rsid w:val="1BFBF88A"/>
    <w:rsid w:val="1C347DD5"/>
    <w:rsid w:val="1C5C4FA3"/>
    <w:rsid w:val="1CE73454"/>
    <w:rsid w:val="1D06A088"/>
    <w:rsid w:val="1D6A8C68"/>
    <w:rsid w:val="1DA9A083"/>
    <w:rsid w:val="1E501712"/>
    <w:rsid w:val="1E53E5B4"/>
    <w:rsid w:val="1F015F6A"/>
    <w:rsid w:val="1F2F772A"/>
    <w:rsid w:val="1F35C6DA"/>
    <w:rsid w:val="1F55AE1D"/>
    <w:rsid w:val="1F978C3D"/>
    <w:rsid w:val="1FE231B0"/>
    <w:rsid w:val="1FFB2DE1"/>
    <w:rsid w:val="20385042"/>
    <w:rsid w:val="210048D2"/>
    <w:rsid w:val="212DB923"/>
    <w:rsid w:val="2187EB62"/>
    <w:rsid w:val="21D5B078"/>
    <w:rsid w:val="220EE444"/>
    <w:rsid w:val="222731D0"/>
    <w:rsid w:val="222FF7CE"/>
    <w:rsid w:val="223D7E0C"/>
    <w:rsid w:val="224A271D"/>
    <w:rsid w:val="2328BF3C"/>
    <w:rsid w:val="2334667C"/>
    <w:rsid w:val="2336F044"/>
    <w:rsid w:val="236C10CF"/>
    <w:rsid w:val="23FC044F"/>
    <w:rsid w:val="240547A1"/>
    <w:rsid w:val="2500CB4B"/>
    <w:rsid w:val="25234C0E"/>
    <w:rsid w:val="258B87C0"/>
    <w:rsid w:val="25B0F1A8"/>
    <w:rsid w:val="25FB95D4"/>
    <w:rsid w:val="26001B50"/>
    <w:rsid w:val="2615BEAC"/>
    <w:rsid w:val="269AF777"/>
    <w:rsid w:val="26D93C1E"/>
    <w:rsid w:val="26F9F54A"/>
    <w:rsid w:val="28274E48"/>
    <w:rsid w:val="2850BFE5"/>
    <w:rsid w:val="287A6BE9"/>
    <w:rsid w:val="289338BE"/>
    <w:rsid w:val="28EC3D50"/>
    <w:rsid w:val="295572B7"/>
    <w:rsid w:val="2A2C4DF2"/>
    <w:rsid w:val="2A92C687"/>
    <w:rsid w:val="2AEDE57B"/>
    <w:rsid w:val="2B313B45"/>
    <w:rsid w:val="2B84946B"/>
    <w:rsid w:val="2BE8E20F"/>
    <w:rsid w:val="2C256010"/>
    <w:rsid w:val="2C346678"/>
    <w:rsid w:val="2C601548"/>
    <w:rsid w:val="2D09A722"/>
    <w:rsid w:val="2DB37496"/>
    <w:rsid w:val="2DC94546"/>
    <w:rsid w:val="2E4C4BC6"/>
    <w:rsid w:val="2FF00A47"/>
    <w:rsid w:val="301981C1"/>
    <w:rsid w:val="30B38343"/>
    <w:rsid w:val="30D1E0B0"/>
    <w:rsid w:val="30DBAA1A"/>
    <w:rsid w:val="312A4D7D"/>
    <w:rsid w:val="3138F196"/>
    <w:rsid w:val="315D8116"/>
    <w:rsid w:val="31902F82"/>
    <w:rsid w:val="32890728"/>
    <w:rsid w:val="32B47116"/>
    <w:rsid w:val="3322E6B1"/>
    <w:rsid w:val="332CDACE"/>
    <w:rsid w:val="334499E0"/>
    <w:rsid w:val="335AD786"/>
    <w:rsid w:val="3369480B"/>
    <w:rsid w:val="338ACB4B"/>
    <w:rsid w:val="33C3291F"/>
    <w:rsid w:val="34308433"/>
    <w:rsid w:val="347BD170"/>
    <w:rsid w:val="34D47C68"/>
    <w:rsid w:val="34EB4AD7"/>
    <w:rsid w:val="351C7318"/>
    <w:rsid w:val="3539C7C2"/>
    <w:rsid w:val="36650110"/>
    <w:rsid w:val="36C0C18C"/>
    <w:rsid w:val="37383EAA"/>
    <w:rsid w:val="374E5740"/>
    <w:rsid w:val="3760A277"/>
    <w:rsid w:val="37AB638D"/>
    <w:rsid w:val="37BC7E7A"/>
    <w:rsid w:val="38156F95"/>
    <w:rsid w:val="382EADE6"/>
    <w:rsid w:val="39014152"/>
    <w:rsid w:val="3925FD1B"/>
    <w:rsid w:val="394B9D45"/>
    <w:rsid w:val="39D5B3B0"/>
    <w:rsid w:val="39D65410"/>
    <w:rsid w:val="3B22DD9E"/>
    <w:rsid w:val="3B70E43A"/>
    <w:rsid w:val="3B7F700F"/>
    <w:rsid w:val="3C0EFEAE"/>
    <w:rsid w:val="3C3525DC"/>
    <w:rsid w:val="3C68A964"/>
    <w:rsid w:val="3D41EB58"/>
    <w:rsid w:val="3DAF7602"/>
    <w:rsid w:val="3DCBBC49"/>
    <w:rsid w:val="3DDE4B63"/>
    <w:rsid w:val="3EB36C44"/>
    <w:rsid w:val="3F42816F"/>
    <w:rsid w:val="3F433CE3"/>
    <w:rsid w:val="3FC5332C"/>
    <w:rsid w:val="404184B3"/>
    <w:rsid w:val="404E0C4D"/>
    <w:rsid w:val="405D7E54"/>
    <w:rsid w:val="409DDDA8"/>
    <w:rsid w:val="40AC521A"/>
    <w:rsid w:val="42CFB3DF"/>
    <w:rsid w:val="430375D9"/>
    <w:rsid w:val="43E03B15"/>
    <w:rsid w:val="43F58D10"/>
    <w:rsid w:val="44965EB0"/>
    <w:rsid w:val="4497D589"/>
    <w:rsid w:val="44CC78D1"/>
    <w:rsid w:val="44E516FA"/>
    <w:rsid w:val="4580C3B7"/>
    <w:rsid w:val="45951AD0"/>
    <w:rsid w:val="45C6CF3A"/>
    <w:rsid w:val="46007692"/>
    <w:rsid w:val="46559473"/>
    <w:rsid w:val="468615C9"/>
    <w:rsid w:val="46AE0C2E"/>
    <w:rsid w:val="470FB7DD"/>
    <w:rsid w:val="4790C224"/>
    <w:rsid w:val="47F031D1"/>
    <w:rsid w:val="488AD9E6"/>
    <w:rsid w:val="48B1C4BD"/>
    <w:rsid w:val="48C7B1FE"/>
    <w:rsid w:val="48E07428"/>
    <w:rsid w:val="49BE0F00"/>
    <w:rsid w:val="4A650DA0"/>
    <w:rsid w:val="4ACA9DBE"/>
    <w:rsid w:val="4B715495"/>
    <w:rsid w:val="4BA88188"/>
    <w:rsid w:val="4C747174"/>
    <w:rsid w:val="4CCAC60F"/>
    <w:rsid w:val="4D696C77"/>
    <w:rsid w:val="4E723E06"/>
    <w:rsid w:val="4EAEE6AD"/>
    <w:rsid w:val="4EB374F1"/>
    <w:rsid w:val="4EC72EA7"/>
    <w:rsid w:val="4EC8F036"/>
    <w:rsid w:val="4FF1E792"/>
    <w:rsid w:val="50C4C287"/>
    <w:rsid w:val="51646642"/>
    <w:rsid w:val="51784D42"/>
    <w:rsid w:val="52B66729"/>
    <w:rsid w:val="5320089E"/>
    <w:rsid w:val="53A85434"/>
    <w:rsid w:val="53D4218A"/>
    <w:rsid w:val="53E1AF1B"/>
    <w:rsid w:val="54E492BB"/>
    <w:rsid w:val="560C9F17"/>
    <w:rsid w:val="5639E33C"/>
    <w:rsid w:val="5689C3F2"/>
    <w:rsid w:val="56D7B11A"/>
    <w:rsid w:val="57023554"/>
    <w:rsid w:val="57189045"/>
    <w:rsid w:val="5723F3F7"/>
    <w:rsid w:val="57529EF6"/>
    <w:rsid w:val="591CE87C"/>
    <w:rsid w:val="599A8567"/>
    <w:rsid w:val="59D86F4C"/>
    <w:rsid w:val="59D92FAD"/>
    <w:rsid w:val="5A755DB7"/>
    <w:rsid w:val="5A8C4C45"/>
    <w:rsid w:val="5AF92E8D"/>
    <w:rsid w:val="5BE7F27A"/>
    <w:rsid w:val="5C16E9CE"/>
    <w:rsid w:val="5C754852"/>
    <w:rsid w:val="5CCC0DE6"/>
    <w:rsid w:val="5D951B30"/>
    <w:rsid w:val="5EBB6148"/>
    <w:rsid w:val="5EF8230E"/>
    <w:rsid w:val="5F231F32"/>
    <w:rsid w:val="600B410D"/>
    <w:rsid w:val="6019F647"/>
    <w:rsid w:val="6033D4C8"/>
    <w:rsid w:val="606D8523"/>
    <w:rsid w:val="60FD3A70"/>
    <w:rsid w:val="61AFC3E1"/>
    <w:rsid w:val="6242BC21"/>
    <w:rsid w:val="62C665DA"/>
    <w:rsid w:val="62D6FD89"/>
    <w:rsid w:val="62F7DC22"/>
    <w:rsid w:val="6313E803"/>
    <w:rsid w:val="633ECC32"/>
    <w:rsid w:val="634BE759"/>
    <w:rsid w:val="64F94065"/>
    <w:rsid w:val="653B53F8"/>
    <w:rsid w:val="655155C1"/>
    <w:rsid w:val="6574B420"/>
    <w:rsid w:val="658B64D5"/>
    <w:rsid w:val="65B712A3"/>
    <w:rsid w:val="65D7C7D3"/>
    <w:rsid w:val="661F39EF"/>
    <w:rsid w:val="66EF034C"/>
    <w:rsid w:val="676F16FA"/>
    <w:rsid w:val="679E7AFC"/>
    <w:rsid w:val="67F10747"/>
    <w:rsid w:val="6824CD7E"/>
    <w:rsid w:val="6863C85E"/>
    <w:rsid w:val="68DFB393"/>
    <w:rsid w:val="6992BBF6"/>
    <w:rsid w:val="6A3EA848"/>
    <w:rsid w:val="6AC93B3D"/>
    <w:rsid w:val="6B09F6EE"/>
    <w:rsid w:val="6B569F5D"/>
    <w:rsid w:val="6C7FEDAA"/>
    <w:rsid w:val="6CE5A7ED"/>
    <w:rsid w:val="6E10D3C7"/>
    <w:rsid w:val="6E1AF5C1"/>
    <w:rsid w:val="6E1BF111"/>
    <w:rsid w:val="6EE1C342"/>
    <w:rsid w:val="6F4DCC2B"/>
    <w:rsid w:val="6FEDE864"/>
    <w:rsid w:val="7095F00C"/>
    <w:rsid w:val="709B0FC3"/>
    <w:rsid w:val="71E3A5AD"/>
    <w:rsid w:val="7234C6DB"/>
    <w:rsid w:val="72902460"/>
    <w:rsid w:val="72FC06BE"/>
    <w:rsid w:val="7376C209"/>
    <w:rsid w:val="738CBE64"/>
    <w:rsid w:val="73DCB0F7"/>
    <w:rsid w:val="74801A73"/>
    <w:rsid w:val="7490C544"/>
    <w:rsid w:val="749FFD72"/>
    <w:rsid w:val="74D7C9C2"/>
    <w:rsid w:val="74E64ECF"/>
    <w:rsid w:val="764A3CC0"/>
    <w:rsid w:val="76B8EE96"/>
    <w:rsid w:val="77C9ACB1"/>
    <w:rsid w:val="77E2726E"/>
    <w:rsid w:val="78A5B680"/>
    <w:rsid w:val="7900AD52"/>
    <w:rsid w:val="792882F6"/>
    <w:rsid w:val="79698CD8"/>
    <w:rsid w:val="79EDB644"/>
    <w:rsid w:val="79F345AA"/>
    <w:rsid w:val="7A9C80B9"/>
    <w:rsid w:val="7B1C59BF"/>
    <w:rsid w:val="7B6F41AF"/>
    <w:rsid w:val="7B713B5E"/>
    <w:rsid w:val="7B8C227B"/>
    <w:rsid w:val="7C7C4228"/>
    <w:rsid w:val="7C85BC32"/>
    <w:rsid w:val="7C92A68E"/>
    <w:rsid w:val="7C92D318"/>
    <w:rsid w:val="7CAF5D5D"/>
    <w:rsid w:val="7CBDB906"/>
    <w:rsid w:val="7E017A67"/>
    <w:rsid w:val="7E11403F"/>
    <w:rsid w:val="7E1DF2D9"/>
    <w:rsid w:val="7E54D62B"/>
    <w:rsid w:val="7E815675"/>
    <w:rsid w:val="7E84A270"/>
    <w:rsid w:val="7F245F36"/>
    <w:rsid w:val="7F3D42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6732"/>
  <w15:chartTrackingRefBased/>
  <w15:docId w15:val="{D0DACBA0-708B-4924-A094-E02A7148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32"/>
    <w:pPr>
      <w:spacing w:before="120" w:after="0" w:line="360" w:lineRule="auto"/>
    </w:pPr>
    <w:rPr>
      <w:rFonts w:ascii="Arial" w:eastAsia="MS Mincho" w:hAnsi="Arial" w:cs="Arial"/>
      <w:sz w:val="24"/>
      <w:szCs w:val="16"/>
      <w:lang w:eastAsia="ja-JP"/>
    </w:rPr>
  </w:style>
  <w:style w:type="paragraph" w:styleId="Heading1">
    <w:name w:val="heading 1"/>
    <w:basedOn w:val="Title"/>
    <w:link w:val="Heading1Char"/>
    <w:uiPriority w:val="9"/>
    <w:qFormat/>
    <w:rsid w:val="00E67E32"/>
    <w:pPr>
      <w:spacing w:before="240" w:line="360" w:lineRule="auto"/>
      <w:outlineLvl w:val="0"/>
    </w:pPr>
    <w:rPr>
      <w:rFonts w:ascii="Arial" w:hAnsi="Arial"/>
      <w:b/>
      <w:bCs/>
      <w:color w:val="500061"/>
      <w:sz w:val="44"/>
      <w:szCs w:val="40"/>
      <w:lang w:eastAsia="en-US"/>
    </w:rPr>
  </w:style>
  <w:style w:type="paragraph" w:styleId="Heading2">
    <w:name w:val="heading 2"/>
    <w:basedOn w:val="Normal"/>
    <w:next w:val="Normal"/>
    <w:link w:val="Heading2Char"/>
    <w:autoRedefine/>
    <w:uiPriority w:val="9"/>
    <w:unhideWhenUsed/>
    <w:qFormat/>
    <w:rsid w:val="007350B7"/>
    <w:pPr>
      <w:keepNext/>
      <w:pBdr>
        <w:bottom w:val="single" w:sz="8" w:space="4" w:color="E7E6E6" w:themeColor="background2"/>
      </w:pBdr>
      <w:spacing w:before="240" w:after="240"/>
      <w:contextualSpacing/>
      <w:outlineLvl w:val="1"/>
    </w:pPr>
    <w:rPr>
      <w:rFonts w:eastAsia="MS Gothic"/>
      <w:b/>
      <w:color w:val="4F2260"/>
      <w:kern w:val="28"/>
      <w:sz w:val="28"/>
      <w:szCs w:val="28"/>
    </w:rPr>
  </w:style>
  <w:style w:type="paragraph" w:styleId="Heading3">
    <w:name w:val="heading 3"/>
    <w:basedOn w:val="Normal"/>
    <w:next w:val="Normal"/>
    <w:link w:val="Heading3Char"/>
    <w:uiPriority w:val="9"/>
    <w:unhideWhenUsed/>
    <w:qFormat/>
    <w:rsid w:val="00E67E32"/>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28650C"/>
    <w:pPr>
      <w:keepNext/>
      <w:keepLines/>
      <w:spacing w:before="40"/>
      <w:ind w:left="284"/>
      <w:contextualSpacing/>
      <w:outlineLvl w:val="3"/>
    </w:pPr>
    <w:rPr>
      <w:rFonts w:eastAsia="MS Gothic" w:cs="Times New Roman"/>
      <w:bCs/>
      <w:iCs/>
      <w:color w:val="4F2260"/>
      <w:sz w:val="28"/>
      <w:szCs w:val="24"/>
    </w:rPr>
  </w:style>
  <w:style w:type="paragraph" w:styleId="Heading5">
    <w:name w:val="heading 5"/>
    <w:basedOn w:val="Normal"/>
    <w:next w:val="Normal"/>
    <w:link w:val="Heading5Char"/>
    <w:uiPriority w:val="9"/>
    <w:unhideWhenUsed/>
    <w:qFormat/>
    <w:rsid w:val="00522820"/>
    <w:pPr>
      <w:keepNext/>
      <w:keepLines/>
      <w:spacing w:before="40"/>
      <w:outlineLvl w:val="4"/>
    </w:pPr>
    <w:rPr>
      <w:rFonts w:eastAsiaTheme="majorEastAsia"/>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E32"/>
    <w:rPr>
      <w:rFonts w:ascii="Arial" w:eastAsiaTheme="majorEastAsia" w:hAnsi="Arial" w:cstheme="majorBidi"/>
      <w:b/>
      <w:bCs/>
      <w:color w:val="500061"/>
      <w:kern w:val="28"/>
      <w:sz w:val="44"/>
      <w:szCs w:val="40"/>
    </w:rPr>
  </w:style>
  <w:style w:type="character" w:customStyle="1" w:styleId="Heading2Char">
    <w:name w:val="Heading 2 Char"/>
    <w:basedOn w:val="DefaultParagraphFont"/>
    <w:link w:val="Heading2"/>
    <w:uiPriority w:val="9"/>
    <w:rsid w:val="007350B7"/>
    <w:rPr>
      <w:rFonts w:ascii="Arial" w:eastAsia="MS Gothic" w:hAnsi="Arial" w:cs="Arial"/>
      <w:b/>
      <w:color w:val="4F2260"/>
      <w:kern w:val="28"/>
      <w:sz w:val="28"/>
      <w:szCs w:val="28"/>
      <w:lang w:eastAsia="ja-JP"/>
    </w:rPr>
  </w:style>
  <w:style w:type="character" w:customStyle="1" w:styleId="Heading3Char">
    <w:name w:val="Heading 3 Char"/>
    <w:basedOn w:val="DefaultParagraphFont"/>
    <w:link w:val="Heading3"/>
    <w:uiPriority w:val="9"/>
    <w:rsid w:val="00E67E32"/>
    <w:rPr>
      <w:rFonts w:ascii="Arial" w:eastAsia="MS Gothic" w:hAnsi="Arial" w:cs="Times New Roman"/>
      <w:b/>
      <w:color w:val="4F2260"/>
      <w:sz w:val="32"/>
      <w:szCs w:val="24"/>
      <w:lang w:eastAsia="ja-JP"/>
    </w:rPr>
  </w:style>
  <w:style w:type="character" w:customStyle="1" w:styleId="Heading4Char">
    <w:name w:val="Heading 4 Char"/>
    <w:basedOn w:val="DefaultParagraphFont"/>
    <w:link w:val="Heading4"/>
    <w:uiPriority w:val="9"/>
    <w:rsid w:val="0028650C"/>
    <w:rPr>
      <w:rFonts w:ascii="Arial" w:eastAsia="MS Gothic" w:hAnsi="Arial" w:cs="Times New Roman"/>
      <w:bCs/>
      <w:iCs/>
      <w:color w:val="4F2260"/>
      <w:sz w:val="28"/>
      <w:szCs w:val="24"/>
      <w:lang w:eastAsia="ja-JP"/>
    </w:rPr>
  </w:style>
  <w:style w:type="paragraph" w:styleId="Title">
    <w:name w:val="Title"/>
    <w:basedOn w:val="Normal"/>
    <w:link w:val="TitleChar"/>
    <w:uiPriority w:val="10"/>
    <w:qFormat/>
    <w:rsid w:val="00E67E32"/>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0"/>
    <w:rsid w:val="00E67E32"/>
    <w:rPr>
      <w:rFonts w:asciiTheme="majorHAnsi" w:eastAsiaTheme="majorEastAsia" w:hAnsiTheme="majorHAnsi" w:cstheme="majorBidi"/>
      <w:kern w:val="28"/>
      <w:sz w:val="60"/>
      <w:szCs w:val="60"/>
      <w:lang w:eastAsia="ja-JP"/>
    </w:rPr>
  </w:style>
  <w:style w:type="paragraph" w:styleId="Date">
    <w:name w:val="Date"/>
    <w:aliases w:val="Address"/>
    <w:basedOn w:val="Title"/>
    <w:next w:val="Salutation"/>
    <w:link w:val="DateChar"/>
    <w:uiPriority w:val="4"/>
    <w:unhideWhenUsed/>
    <w:qFormat/>
    <w:rsid w:val="00E67E32"/>
    <w:pPr>
      <w:pBdr>
        <w:bottom w:val="single" w:sz="8" w:space="10" w:color="44546A"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67E32"/>
    <w:rPr>
      <w:rFonts w:ascii="Arial" w:eastAsiaTheme="minorEastAsia" w:hAnsi="Arial" w:cs="Arial"/>
      <w:bCs/>
      <w:color w:val="500061"/>
      <w:sz w:val="24"/>
      <w:szCs w:val="24"/>
      <w:lang w:eastAsia="ja-JP"/>
    </w:rPr>
  </w:style>
  <w:style w:type="paragraph" w:styleId="Footer">
    <w:name w:val="footer"/>
    <w:basedOn w:val="Normal"/>
    <w:link w:val="FooterChar"/>
    <w:uiPriority w:val="99"/>
    <w:unhideWhenUsed/>
    <w:rsid w:val="00E67E32"/>
    <w:pPr>
      <w:pBdr>
        <w:top w:val="single" w:sz="4" w:space="4" w:color="44546A" w:themeColor="text2"/>
      </w:pBdr>
      <w:spacing w:line="240" w:lineRule="auto"/>
      <w:jc w:val="right"/>
    </w:pPr>
    <w:rPr>
      <w:i/>
      <w:iCs/>
      <w:color w:val="2F5496" w:themeColor="accent1" w:themeShade="BF"/>
    </w:rPr>
  </w:style>
  <w:style w:type="character" w:customStyle="1" w:styleId="FooterChar">
    <w:name w:val="Footer Char"/>
    <w:basedOn w:val="DefaultParagraphFont"/>
    <w:link w:val="Footer"/>
    <w:uiPriority w:val="99"/>
    <w:rsid w:val="00E67E32"/>
    <w:rPr>
      <w:rFonts w:ascii="Arial" w:eastAsia="MS Mincho" w:hAnsi="Arial" w:cs="Arial"/>
      <w:i/>
      <w:iCs/>
      <w:color w:val="2F5496" w:themeColor="accent1" w:themeShade="BF"/>
      <w:sz w:val="24"/>
      <w:szCs w:val="16"/>
      <w:lang w:eastAsia="ja-JP"/>
    </w:rPr>
  </w:style>
  <w:style w:type="character" w:styleId="Hyperlink">
    <w:name w:val="Hyperlink"/>
    <w:basedOn w:val="DefaultParagraphFont"/>
    <w:uiPriority w:val="99"/>
    <w:unhideWhenUsed/>
    <w:rsid w:val="00E67E32"/>
    <w:rPr>
      <w:color w:val="44546A" w:themeColor="text2"/>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autoRedefine/>
    <w:uiPriority w:val="34"/>
    <w:qFormat/>
    <w:rsid w:val="006D1DEA"/>
    <w:pPr>
      <w:widowControl w:val="0"/>
      <w:numPr>
        <w:numId w:val="15"/>
      </w:numPr>
      <w:tabs>
        <w:tab w:val="left" w:pos="0"/>
      </w:tabs>
      <w:spacing w:before="0" w:after="160"/>
      <w:contextualSpacing/>
    </w:pPr>
    <w:rPr>
      <w:rFonts w:eastAsiaTheme="minorEastAsia"/>
      <w:lang w:eastAsia="en-AU"/>
    </w:rPr>
  </w:style>
  <w:style w:type="character" w:styleId="EndnoteReference">
    <w:name w:val="endnote reference"/>
    <w:basedOn w:val="DefaultParagraphFont"/>
    <w:unhideWhenUsed/>
    <w:qFormat/>
    <w:rsid w:val="00E67E32"/>
    <w:rPr>
      <w:vertAlign w:val="superscript"/>
    </w:rPr>
  </w:style>
  <w:style w:type="paragraph" w:styleId="EndnoteText">
    <w:name w:val="endnote text"/>
    <w:basedOn w:val="Normal"/>
    <w:link w:val="EndnoteTextChar"/>
    <w:unhideWhenUsed/>
    <w:qFormat/>
    <w:rsid w:val="00E67E32"/>
    <w:pPr>
      <w:spacing w:before="0" w:line="240" w:lineRule="auto"/>
    </w:pPr>
    <w:rPr>
      <w:sz w:val="20"/>
      <w:szCs w:val="20"/>
    </w:rPr>
  </w:style>
  <w:style w:type="character" w:customStyle="1" w:styleId="EndnoteTextChar">
    <w:name w:val="Endnote Text Char"/>
    <w:basedOn w:val="DefaultParagraphFont"/>
    <w:link w:val="EndnoteText"/>
    <w:uiPriority w:val="99"/>
    <w:rsid w:val="00E67E32"/>
    <w:rPr>
      <w:rFonts w:ascii="Arial" w:eastAsia="MS Mincho" w:hAnsi="Arial" w:cs="Arial"/>
      <w:sz w:val="20"/>
      <w:szCs w:val="20"/>
      <w:lang w:eastAsia="ja-JP"/>
    </w:rPr>
  </w:style>
  <w:style w:type="paragraph" w:styleId="TOC1">
    <w:name w:val="toc 1"/>
    <w:basedOn w:val="Normal"/>
    <w:next w:val="Normal"/>
    <w:autoRedefine/>
    <w:uiPriority w:val="39"/>
    <w:unhideWhenUsed/>
    <w:rsid w:val="00E67E32"/>
    <w:pPr>
      <w:spacing w:after="100"/>
    </w:pPr>
  </w:style>
  <w:style w:type="paragraph" w:styleId="TOC2">
    <w:name w:val="toc 2"/>
    <w:basedOn w:val="Normal"/>
    <w:next w:val="Normal"/>
    <w:autoRedefine/>
    <w:uiPriority w:val="39"/>
    <w:unhideWhenUsed/>
    <w:rsid w:val="00E67E32"/>
    <w:pPr>
      <w:spacing w:after="100"/>
      <w:ind w:left="240"/>
    </w:pPr>
  </w:style>
  <w:style w:type="paragraph" w:styleId="TOC3">
    <w:name w:val="toc 3"/>
    <w:basedOn w:val="Normal"/>
    <w:next w:val="Normal"/>
    <w:autoRedefine/>
    <w:uiPriority w:val="39"/>
    <w:unhideWhenUsed/>
    <w:rsid w:val="00E67E32"/>
    <w:pPr>
      <w:spacing w:after="100"/>
      <w:ind w:left="480"/>
    </w:pPr>
  </w:style>
  <w:style w:type="paragraph" w:styleId="Salutation">
    <w:name w:val="Salutation"/>
    <w:basedOn w:val="Normal"/>
    <w:next w:val="Normal"/>
    <w:link w:val="SalutationChar"/>
    <w:uiPriority w:val="99"/>
    <w:semiHidden/>
    <w:unhideWhenUsed/>
    <w:rsid w:val="00E67E32"/>
  </w:style>
  <w:style w:type="character" w:customStyle="1" w:styleId="SalutationChar">
    <w:name w:val="Salutation Char"/>
    <w:basedOn w:val="DefaultParagraphFont"/>
    <w:link w:val="Salutation"/>
    <w:uiPriority w:val="99"/>
    <w:semiHidden/>
    <w:rsid w:val="00E67E32"/>
    <w:rPr>
      <w:rFonts w:ascii="Arial" w:eastAsia="MS Mincho" w:hAnsi="Arial" w:cs="Arial"/>
      <w:sz w:val="24"/>
      <w:szCs w:val="16"/>
      <w:lang w:eastAsia="ja-JP"/>
    </w:rPr>
  </w:style>
  <w:style w:type="paragraph" w:styleId="Revision">
    <w:name w:val="Revision"/>
    <w:hidden/>
    <w:uiPriority w:val="99"/>
    <w:semiHidden/>
    <w:rsid w:val="00317188"/>
    <w:pPr>
      <w:spacing w:after="0" w:line="240" w:lineRule="auto"/>
    </w:pPr>
    <w:rPr>
      <w:rFonts w:ascii="Arial" w:eastAsia="MS Mincho" w:hAnsi="Arial" w:cs="Arial"/>
      <w:sz w:val="24"/>
      <w:szCs w:val="16"/>
      <w:lang w:eastAsia="ja-JP"/>
    </w:rPr>
  </w:style>
  <w:style w:type="character" w:styleId="UnresolvedMention">
    <w:name w:val="Unresolved Mention"/>
    <w:basedOn w:val="DefaultParagraphFont"/>
    <w:uiPriority w:val="99"/>
    <w:semiHidden/>
    <w:unhideWhenUsed/>
    <w:rsid w:val="00296A88"/>
    <w:rPr>
      <w:color w:val="605E5C"/>
      <w:shd w:val="clear" w:color="auto" w:fill="E1DFDD"/>
    </w:rPr>
  </w:style>
  <w:style w:type="character" w:styleId="CommentReference">
    <w:name w:val="annotation reference"/>
    <w:basedOn w:val="DefaultParagraphFont"/>
    <w:uiPriority w:val="99"/>
    <w:semiHidden/>
    <w:unhideWhenUsed/>
    <w:rsid w:val="00377A7D"/>
    <w:rPr>
      <w:sz w:val="16"/>
      <w:szCs w:val="16"/>
    </w:rPr>
  </w:style>
  <w:style w:type="paragraph" w:styleId="CommentText">
    <w:name w:val="annotation text"/>
    <w:basedOn w:val="Normal"/>
    <w:link w:val="CommentTextChar"/>
    <w:uiPriority w:val="99"/>
    <w:unhideWhenUsed/>
    <w:rsid w:val="00377A7D"/>
    <w:pPr>
      <w:spacing w:line="240" w:lineRule="auto"/>
    </w:pPr>
    <w:rPr>
      <w:sz w:val="20"/>
      <w:szCs w:val="20"/>
    </w:rPr>
  </w:style>
  <w:style w:type="character" w:customStyle="1" w:styleId="CommentTextChar">
    <w:name w:val="Comment Text Char"/>
    <w:basedOn w:val="DefaultParagraphFont"/>
    <w:link w:val="CommentText"/>
    <w:uiPriority w:val="99"/>
    <w:rsid w:val="00377A7D"/>
    <w:rPr>
      <w:rFonts w:ascii="Arial" w:eastAsia="MS Mincho"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377A7D"/>
    <w:rPr>
      <w:b/>
      <w:bCs/>
    </w:rPr>
  </w:style>
  <w:style w:type="character" w:customStyle="1" w:styleId="CommentSubjectChar">
    <w:name w:val="Comment Subject Char"/>
    <w:basedOn w:val="CommentTextChar"/>
    <w:link w:val="CommentSubject"/>
    <w:uiPriority w:val="99"/>
    <w:semiHidden/>
    <w:rsid w:val="00377A7D"/>
    <w:rPr>
      <w:rFonts w:ascii="Arial" w:eastAsia="MS Mincho" w:hAnsi="Arial" w:cs="Arial"/>
      <w:b/>
      <w:bCs/>
      <w:sz w:val="20"/>
      <w:szCs w:val="20"/>
      <w:lang w:eastAsia="ja-JP"/>
    </w:rPr>
  </w:style>
  <w:style w:type="paragraph" w:styleId="NormalWeb">
    <w:name w:val="Normal (Web)"/>
    <w:basedOn w:val="Normal"/>
    <w:uiPriority w:val="99"/>
    <w:unhideWhenUsed/>
    <w:rsid w:val="00041591"/>
    <w:pPr>
      <w:spacing w:before="100" w:beforeAutospacing="1" w:after="100" w:afterAutospacing="1" w:line="240" w:lineRule="auto"/>
    </w:pPr>
    <w:rPr>
      <w:rFonts w:ascii="Times New Roman" w:eastAsia="Times New Roman" w:hAnsi="Times New Roman" w:cs="Times New Roman"/>
      <w:szCs w:val="24"/>
      <w:lang w:eastAsia="en-AU"/>
    </w:rPr>
  </w:style>
  <w:style w:type="paragraph" w:styleId="Header">
    <w:name w:val="header"/>
    <w:basedOn w:val="Normal"/>
    <w:link w:val="HeaderChar"/>
    <w:unhideWhenUsed/>
    <w:qFormat/>
    <w:rsid w:val="003155B9"/>
    <w:pPr>
      <w:tabs>
        <w:tab w:val="center" w:pos="4513"/>
        <w:tab w:val="right" w:pos="9026"/>
      </w:tabs>
      <w:spacing w:before="0" w:line="240" w:lineRule="auto"/>
    </w:pPr>
  </w:style>
  <w:style w:type="character" w:customStyle="1" w:styleId="HeaderChar">
    <w:name w:val="Header Char"/>
    <w:basedOn w:val="DefaultParagraphFont"/>
    <w:link w:val="Header"/>
    <w:rsid w:val="003155B9"/>
    <w:rPr>
      <w:rFonts w:ascii="Arial" w:eastAsia="MS Mincho" w:hAnsi="Arial" w:cs="Arial"/>
      <w:sz w:val="24"/>
      <w:szCs w:val="16"/>
      <w:lang w:eastAsia="ja-JP"/>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B2503F"/>
    <w:pPr>
      <w:spacing w:before="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B2503F"/>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B2503F"/>
    <w:rPr>
      <w:vertAlign w:val="superscript"/>
    </w:rPr>
  </w:style>
  <w:style w:type="paragraph" w:customStyle="1" w:styleId="FirstDotPoint">
    <w:name w:val="First Dot Point"/>
    <w:basedOn w:val="ListParagraph"/>
    <w:link w:val="FirstDotPointChar"/>
    <w:qFormat/>
    <w:rsid w:val="00D053CC"/>
    <w:pPr>
      <w:numPr>
        <w:numId w:val="1"/>
      </w:numPr>
    </w:p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6D1DEA"/>
    <w:rPr>
      <w:rFonts w:ascii="Arial" w:eastAsiaTheme="minorEastAsia" w:hAnsi="Arial" w:cs="Arial"/>
      <w:sz w:val="24"/>
      <w:szCs w:val="16"/>
      <w:lang w:eastAsia="en-AU"/>
    </w:rPr>
  </w:style>
  <w:style w:type="character" w:customStyle="1" w:styleId="FirstDotPointChar">
    <w:name w:val="First Dot Point Char"/>
    <w:basedOn w:val="ListParagraphChar"/>
    <w:link w:val="FirstDotPoint"/>
    <w:rsid w:val="00D053CC"/>
    <w:rPr>
      <w:rFonts w:ascii="Arial" w:eastAsiaTheme="minorEastAsia" w:hAnsi="Arial" w:cs="Arial"/>
      <w:sz w:val="24"/>
      <w:szCs w:val="16"/>
      <w:lang w:eastAsia="en-AU"/>
    </w:rPr>
  </w:style>
  <w:style w:type="character" w:customStyle="1" w:styleId="Heading5Char">
    <w:name w:val="Heading 5 Char"/>
    <w:basedOn w:val="DefaultParagraphFont"/>
    <w:link w:val="Heading5"/>
    <w:uiPriority w:val="9"/>
    <w:rsid w:val="00522820"/>
    <w:rPr>
      <w:rFonts w:ascii="Arial" w:eastAsiaTheme="majorEastAsia" w:hAnsi="Arial" w:cs="Arial"/>
      <w:color w:val="2F5496" w:themeColor="accent1" w:themeShade="BF"/>
      <w:sz w:val="24"/>
      <w:szCs w:val="16"/>
      <w:lang w:eastAsia="ja-JP"/>
    </w:rPr>
  </w:style>
  <w:style w:type="character" w:styleId="FollowedHyperlink">
    <w:name w:val="FollowedHyperlink"/>
    <w:basedOn w:val="DefaultParagraphFont"/>
    <w:uiPriority w:val="99"/>
    <w:semiHidden/>
    <w:unhideWhenUsed/>
    <w:rsid w:val="00492AA1"/>
    <w:rPr>
      <w:color w:val="954F72" w:themeColor="followedHyperlink"/>
      <w:u w:val="single"/>
    </w:rPr>
  </w:style>
  <w:style w:type="paragraph" w:styleId="BodyText">
    <w:name w:val="Body Text"/>
    <w:basedOn w:val="Normal"/>
    <w:link w:val="BodyTextChar"/>
    <w:uiPriority w:val="99"/>
    <w:unhideWhenUsed/>
    <w:rsid w:val="00A22224"/>
    <w:pPr>
      <w:spacing w:after="120"/>
    </w:pPr>
  </w:style>
  <w:style w:type="character" w:customStyle="1" w:styleId="BodyTextChar">
    <w:name w:val="Body Text Char"/>
    <w:basedOn w:val="DefaultParagraphFont"/>
    <w:link w:val="BodyText"/>
    <w:rsid w:val="00A22224"/>
    <w:rPr>
      <w:rFonts w:ascii="Arial" w:eastAsia="MS Mincho" w:hAnsi="Arial" w:cs="Arial"/>
      <w:sz w:val="24"/>
      <w:szCs w:val="16"/>
      <w:lang w:eastAsia="ja-JP"/>
    </w:rPr>
  </w:style>
  <w:style w:type="paragraph" w:styleId="Quote">
    <w:name w:val="Quote"/>
    <w:basedOn w:val="Normal"/>
    <w:next w:val="Normal"/>
    <w:link w:val="QuoteChar"/>
    <w:uiPriority w:val="29"/>
    <w:qFormat/>
    <w:rsid w:val="004810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1078"/>
    <w:rPr>
      <w:rFonts w:ascii="Arial" w:eastAsia="MS Mincho" w:hAnsi="Arial" w:cs="Arial"/>
      <w:i/>
      <w:iCs/>
      <w:color w:val="404040" w:themeColor="text1" w:themeTint="BF"/>
      <w:sz w:val="24"/>
      <w:szCs w:val="16"/>
      <w:lang w:eastAsia="ja-JP"/>
    </w:rPr>
  </w:style>
  <w:style w:type="paragraph" w:customStyle="1" w:styleId="Recommendationhanging1">
    <w:name w:val="Recommendation_hanging(1)"/>
    <w:basedOn w:val="Normal"/>
    <w:uiPriority w:val="10"/>
    <w:qFormat/>
    <w:rsid w:val="005F0D68"/>
    <w:pPr>
      <w:pBdr>
        <w:top w:val="single" w:sz="4" w:space="10" w:color="B8CCE4"/>
        <w:left w:val="single" w:sz="4" w:space="10" w:color="B8CCE4"/>
        <w:bottom w:val="single" w:sz="4" w:space="10" w:color="B8CCE4"/>
        <w:right w:val="single" w:sz="4" w:space="10" w:color="B8CCE4"/>
      </w:pBdr>
      <w:shd w:val="clear" w:color="auto" w:fill="CBEDFD"/>
      <w:spacing w:after="120" w:line="244" w:lineRule="atLeast"/>
      <w:ind w:left="1559" w:hanging="425"/>
    </w:pPr>
    <w:rPr>
      <w:rFonts w:ascii="Public Sans" w:eastAsia="Times New Roman" w:hAnsi="Public Sans" w:cs="Times New Roman"/>
      <w:sz w:val="22"/>
      <w:szCs w:val="24"/>
      <w:lang w:eastAsia="en-US"/>
    </w:rPr>
  </w:style>
  <w:style w:type="paragraph" w:customStyle="1" w:styleId="ChapterHeading">
    <w:name w:val="Chapter Heading"/>
    <w:basedOn w:val="Heading1"/>
    <w:next w:val="Normal"/>
    <w:qFormat/>
    <w:rsid w:val="00F54F9A"/>
    <w:pPr>
      <w:keepNext/>
      <w:pageBreakBefore/>
      <w:numPr>
        <w:numId w:val="3"/>
      </w:numPr>
      <w:spacing w:before="0" w:after="320" w:line="420" w:lineRule="atLeast"/>
      <w:contextualSpacing w:val="0"/>
    </w:pPr>
    <w:rPr>
      <w:rFonts w:ascii="Public Sans" w:eastAsia="Times New Roman" w:hAnsi="Public Sans" w:cs="Arial"/>
      <w:color w:val="002664"/>
      <w:kern w:val="32"/>
      <w:sz w:val="48"/>
      <w:szCs w:val="32"/>
    </w:rPr>
  </w:style>
  <w:style w:type="paragraph" w:customStyle="1" w:styleId="Normalbullet">
    <w:name w:val="Normal_bullet"/>
    <w:basedOn w:val="Normal"/>
    <w:uiPriority w:val="4"/>
    <w:qFormat/>
    <w:rsid w:val="00F54F9A"/>
    <w:pPr>
      <w:numPr>
        <w:numId w:val="2"/>
      </w:numPr>
      <w:spacing w:line="288" w:lineRule="auto"/>
    </w:pPr>
    <w:rPr>
      <w:rFonts w:ascii="Public Sans" w:eastAsia="Times New Roman" w:hAnsi="Public Sans" w:cs="Times New Roman"/>
      <w:sz w:val="22"/>
      <w:szCs w:val="24"/>
      <w:lang w:eastAsia="en-US"/>
    </w:rPr>
  </w:style>
  <w:style w:type="paragraph" w:customStyle="1" w:styleId="NormalAutoChapter">
    <w:name w:val="Normal_Auto_Chapter"/>
    <w:basedOn w:val="Normal"/>
    <w:uiPriority w:val="2"/>
    <w:qFormat/>
    <w:rsid w:val="00F54F9A"/>
    <w:pPr>
      <w:numPr>
        <w:ilvl w:val="1"/>
        <w:numId w:val="3"/>
      </w:numPr>
      <w:spacing w:before="240" w:line="288" w:lineRule="auto"/>
    </w:pPr>
    <w:rPr>
      <w:rFonts w:ascii="Public Sans" w:eastAsia="Times New Roman" w:hAnsi="Public Sans"/>
      <w:color w:val="000000"/>
      <w:sz w:val="22"/>
      <w:szCs w:val="24"/>
      <w:lang w:eastAsia="en-AU"/>
    </w:rPr>
  </w:style>
  <w:style w:type="character" w:customStyle="1" w:styleId="normaltextrun">
    <w:name w:val="normaltextrun"/>
    <w:rsid w:val="002655D5"/>
  </w:style>
  <w:style w:type="character" w:customStyle="1" w:styleId="findhit">
    <w:name w:val="findhit"/>
    <w:rsid w:val="002655D5"/>
  </w:style>
  <w:style w:type="character" w:customStyle="1" w:styleId="eop">
    <w:name w:val="eop"/>
    <w:rsid w:val="002655D5"/>
  </w:style>
  <w:style w:type="paragraph" w:styleId="TOCHeading">
    <w:name w:val="TOC Heading"/>
    <w:basedOn w:val="Heading1"/>
    <w:next w:val="Normal"/>
    <w:uiPriority w:val="39"/>
    <w:unhideWhenUsed/>
    <w:qFormat/>
    <w:rsid w:val="00CC2DB2"/>
    <w:pPr>
      <w:keepNext/>
      <w:keepLines/>
      <w:spacing w:after="0" w:line="259" w:lineRule="auto"/>
      <w:contextualSpacing w:val="0"/>
      <w:outlineLvl w:val="9"/>
    </w:pPr>
    <w:rPr>
      <w:rFonts w:asciiTheme="majorHAnsi" w:hAnsiTheme="majorHAnsi"/>
      <w:b w:val="0"/>
      <w:bCs w:val="0"/>
      <w:color w:val="2F5496" w:themeColor="accent1" w:themeShade="BF"/>
      <w:kern w:val="0"/>
      <w:sz w:val="32"/>
      <w:szCs w:val="32"/>
      <w:lang w:val="en-US"/>
    </w:rPr>
  </w:style>
  <w:style w:type="paragraph" w:styleId="ListBullet">
    <w:name w:val="List Bullet"/>
    <w:basedOn w:val="Normal"/>
    <w:uiPriority w:val="99"/>
    <w:unhideWhenUsed/>
    <w:rsid w:val="006C0C01"/>
    <w:pPr>
      <w:numPr>
        <w:numId w:val="4"/>
      </w:numPr>
      <w:contextualSpacing/>
    </w:pPr>
  </w:style>
  <w:style w:type="table" w:styleId="TableGrid">
    <w:name w:val="Table Grid"/>
    <w:basedOn w:val="TableNormal"/>
    <w:uiPriority w:val="59"/>
    <w:rsid w:val="009E04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Text">
    <w:name w:val="Normal Text"/>
    <w:basedOn w:val="Normal"/>
    <w:link w:val="NormalTextChar"/>
    <w:autoRedefine/>
    <w:qFormat/>
    <w:rsid w:val="0056683F"/>
    <w:pPr>
      <w:tabs>
        <w:tab w:val="left" w:pos="1980"/>
      </w:tabs>
      <w:spacing w:before="0"/>
      <w:ind w:left="360" w:right="-286"/>
    </w:pPr>
    <w:rPr>
      <w:rFonts w:eastAsiaTheme="minorEastAsia"/>
      <w:b/>
      <w:bCs/>
      <w:szCs w:val="24"/>
      <w:lang w:eastAsia="en-US"/>
    </w:rPr>
  </w:style>
  <w:style w:type="character" w:customStyle="1" w:styleId="NormalTextChar">
    <w:name w:val="Normal Text Char"/>
    <w:basedOn w:val="DefaultParagraphFont"/>
    <w:link w:val="NormalText"/>
    <w:rsid w:val="0056683F"/>
    <w:rPr>
      <w:rFonts w:ascii="Arial" w:eastAsiaTheme="minorEastAsia" w:hAnsi="Arial" w:cs="Arial"/>
      <w:b/>
      <w:bCs/>
      <w:sz w:val="24"/>
      <w:szCs w:val="24"/>
    </w:rPr>
  </w:style>
  <w:style w:type="character" w:customStyle="1" w:styleId="Reporttitleinheader">
    <w:name w:val="Report title in header"/>
    <w:uiPriority w:val="1"/>
    <w:qFormat/>
    <w:rsid w:val="00C862CA"/>
    <w:rPr>
      <w:rFonts w:ascii="Open Sans" w:hAnsi="Open Sans"/>
      <w:b/>
      <w:noProof/>
      <w:sz w:val="18"/>
    </w:rPr>
  </w:style>
  <w:style w:type="paragraph" w:customStyle="1" w:styleId="HeaderDocumentDate">
    <w:name w:val="Header Document Date"/>
    <w:basedOn w:val="Footer"/>
    <w:qFormat/>
    <w:rsid w:val="00C862CA"/>
    <w:pPr>
      <w:pBdr>
        <w:top w:val="none" w:sz="0" w:space="0" w:color="auto"/>
      </w:pBdr>
      <w:tabs>
        <w:tab w:val="right" w:pos="2835"/>
        <w:tab w:val="right" w:pos="5670"/>
      </w:tabs>
      <w:spacing w:before="0"/>
      <w:ind w:left="-868"/>
    </w:pPr>
    <w:rPr>
      <w:rFonts w:ascii="Open Sans" w:hAnsi="Open Sans" w:cs="Times New Roman"/>
      <w:i w:val="0"/>
      <w:iCs w:val="0"/>
      <w:color w:val="auto"/>
      <w:sz w:val="18"/>
      <w:szCs w:val="24"/>
      <w:lang w:eastAsia="en-AU"/>
    </w:rPr>
  </w:style>
  <w:style w:type="character" w:customStyle="1" w:styleId="EndnoteTextChar1">
    <w:name w:val="Endnote Text Char1"/>
    <w:rsid w:val="001867AC"/>
    <w:rPr>
      <w:rFonts w:ascii="Open Sans" w:eastAsia="MS Mincho" w:hAnsi="Open Sans"/>
    </w:rPr>
  </w:style>
  <w:style w:type="paragraph" w:styleId="ListNumber">
    <w:name w:val="List Number"/>
    <w:basedOn w:val="Normal"/>
    <w:uiPriority w:val="99"/>
    <w:unhideWhenUsed/>
    <w:rsid w:val="00F37EBB"/>
    <w:pPr>
      <w:numPr>
        <w:numId w:val="5"/>
      </w:numPr>
      <w:spacing w:before="0" w:after="200" w:line="276" w:lineRule="auto"/>
      <w:contextualSpacing/>
    </w:pPr>
    <w:rPr>
      <w:rFonts w:asciiTheme="minorHAnsi" w:eastAsiaTheme="minorEastAsia" w:hAnsiTheme="minorHAnsi" w:cstheme="minorBidi"/>
      <w:sz w:val="22"/>
      <w:szCs w:val="22"/>
      <w:lang w:val="en-US" w:eastAsia="en-US"/>
    </w:rPr>
  </w:style>
  <w:style w:type="paragraph" w:styleId="Subtitle">
    <w:name w:val="Subtitle"/>
    <w:basedOn w:val="Normal"/>
    <w:next w:val="Normal"/>
    <w:link w:val="SubtitleChar"/>
    <w:uiPriority w:val="11"/>
    <w:qFormat/>
    <w:rsid w:val="00D07D5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07D58"/>
    <w:rPr>
      <w:rFonts w:ascii="Arial" w:eastAsiaTheme="majorEastAsia" w:hAnsi="Arial" w:cstheme="majorBidi"/>
      <w:color w:val="595959" w:themeColor="text1" w:themeTint="A6"/>
      <w:spacing w:val="15"/>
      <w:sz w:val="28"/>
      <w:szCs w:val="28"/>
      <w:lang w:val="en-US" w:eastAsia="ja-JP"/>
    </w:rPr>
  </w:style>
  <w:style w:type="paragraph" w:customStyle="1" w:styleId="EYBodytextwithparaspace">
    <w:name w:val="EY Body text (with para space)"/>
    <w:basedOn w:val="Normal"/>
    <w:link w:val="EYBodytextwithparaspaceChar"/>
    <w:qFormat/>
    <w:rsid w:val="00841B4A"/>
    <w:pPr>
      <w:tabs>
        <w:tab w:val="left" w:pos="907"/>
      </w:tabs>
      <w:suppressAutoHyphens/>
      <w:spacing w:after="260" w:line="276" w:lineRule="auto"/>
    </w:pPr>
    <w:rPr>
      <w:rFonts w:eastAsia="Times New Roman"/>
      <w:color w:val="000000" w:themeColor="text1"/>
      <w:kern w:val="12"/>
      <w:sz w:val="20"/>
      <w:szCs w:val="24"/>
      <w:lang w:val="en-US" w:eastAsia="en-US"/>
    </w:rPr>
  </w:style>
  <w:style w:type="character" w:customStyle="1" w:styleId="EYBodytextwithparaspaceChar">
    <w:name w:val="EY Body text (with para space) Char"/>
    <w:basedOn w:val="DefaultParagraphFont"/>
    <w:link w:val="EYBodytextwithparaspace"/>
    <w:rsid w:val="00841B4A"/>
    <w:rPr>
      <w:rFonts w:ascii="Arial" w:eastAsia="Times New Roman" w:hAnsi="Arial" w:cs="Arial"/>
      <w:color w:val="000000" w:themeColor="text1"/>
      <w:kern w:val="12"/>
      <w:sz w:val="20"/>
      <w:szCs w:val="24"/>
      <w:lang w:val="en-US"/>
    </w:rPr>
  </w:style>
  <w:style w:type="character" w:customStyle="1" w:styleId="charsectno">
    <w:name w:val="charsectno"/>
    <w:basedOn w:val="DefaultParagraphFont"/>
    <w:rsid w:val="00F340F2"/>
  </w:style>
  <w:style w:type="paragraph" w:customStyle="1" w:styleId="Multilevellist">
    <w:name w:val="Multi level list"/>
    <w:basedOn w:val="Normal"/>
    <w:rsid w:val="00E649DC"/>
    <w:pPr>
      <w:tabs>
        <w:tab w:val="left" w:pos="0"/>
      </w:tabs>
      <w:spacing w:before="0" w:after="120"/>
      <w:ind w:left="1871" w:hanging="251"/>
    </w:pPr>
    <w:rPr>
      <w:szCs w:val="32"/>
      <w:lang w:val="en-US"/>
    </w:rPr>
  </w:style>
  <w:style w:type="character" w:styleId="Strong">
    <w:name w:val="Strong"/>
    <w:basedOn w:val="DefaultParagraphFont"/>
    <w:uiPriority w:val="22"/>
    <w:qFormat/>
    <w:rsid w:val="00267870"/>
    <w:rPr>
      <w:b/>
      <w:bCs/>
    </w:rPr>
  </w:style>
  <w:style w:type="paragraph" w:styleId="IntenseQuote">
    <w:name w:val="Intense Quote"/>
    <w:basedOn w:val="Normal"/>
    <w:next w:val="Normal"/>
    <w:link w:val="IntenseQuoteChar"/>
    <w:uiPriority w:val="30"/>
    <w:qFormat/>
    <w:rsid w:val="00EA0A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0A1D"/>
    <w:rPr>
      <w:rFonts w:ascii="Arial" w:eastAsia="MS Mincho" w:hAnsi="Arial" w:cs="Arial"/>
      <w:i/>
      <w:iCs/>
      <w:color w:val="4472C4" w:themeColor="accent1"/>
      <w:sz w:val="24"/>
      <w:szCs w:val="16"/>
      <w:lang w:eastAsia="ja-JP"/>
    </w:rPr>
  </w:style>
  <w:style w:type="character" w:customStyle="1" w:styleId="markedcontent">
    <w:name w:val="markedcontent"/>
    <w:basedOn w:val="DefaultParagraphFont"/>
    <w:rsid w:val="00460314"/>
  </w:style>
  <w:style w:type="paragraph" w:customStyle="1" w:styleId="pf0">
    <w:name w:val="pf0"/>
    <w:basedOn w:val="Normal"/>
    <w:rsid w:val="00866813"/>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f01">
    <w:name w:val="cf01"/>
    <w:basedOn w:val="DefaultParagraphFont"/>
    <w:rsid w:val="00866813"/>
    <w:rPr>
      <w:rFonts w:ascii="Segoe UI" w:hAnsi="Segoe UI" w:cs="Segoe UI" w:hint="default"/>
      <w:sz w:val="18"/>
      <w:szCs w:val="18"/>
    </w:rPr>
  </w:style>
  <w:style w:type="character" w:customStyle="1" w:styleId="cf11">
    <w:name w:val="cf11"/>
    <w:basedOn w:val="DefaultParagraphFont"/>
    <w:rsid w:val="00866813"/>
    <w:rPr>
      <w:rFonts w:ascii="Segoe UI" w:hAnsi="Segoe UI" w:cs="Segoe UI" w:hint="default"/>
      <w:color w:val="1F1923"/>
      <w:sz w:val="18"/>
      <w:szCs w:val="18"/>
      <w:shd w:val="clear" w:color="auto" w:fill="FFFFFF"/>
    </w:rPr>
  </w:style>
  <w:style w:type="paragraph" w:customStyle="1" w:styleId="transcript-list-item">
    <w:name w:val="transcript-list-item"/>
    <w:basedOn w:val="Normal"/>
    <w:rsid w:val="00046D1D"/>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735">
      <w:bodyDiv w:val="1"/>
      <w:marLeft w:val="0"/>
      <w:marRight w:val="0"/>
      <w:marTop w:val="0"/>
      <w:marBottom w:val="0"/>
      <w:divBdr>
        <w:top w:val="none" w:sz="0" w:space="0" w:color="auto"/>
        <w:left w:val="none" w:sz="0" w:space="0" w:color="auto"/>
        <w:bottom w:val="none" w:sz="0" w:space="0" w:color="auto"/>
        <w:right w:val="none" w:sz="0" w:space="0" w:color="auto"/>
      </w:divBdr>
    </w:div>
    <w:div w:id="41252301">
      <w:bodyDiv w:val="1"/>
      <w:marLeft w:val="0"/>
      <w:marRight w:val="0"/>
      <w:marTop w:val="0"/>
      <w:marBottom w:val="0"/>
      <w:divBdr>
        <w:top w:val="none" w:sz="0" w:space="0" w:color="auto"/>
        <w:left w:val="none" w:sz="0" w:space="0" w:color="auto"/>
        <w:bottom w:val="none" w:sz="0" w:space="0" w:color="auto"/>
        <w:right w:val="none" w:sz="0" w:space="0" w:color="auto"/>
      </w:divBdr>
    </w:div>
    <w:div w:id="63455290">
      <w:bodyDiv w:val="1"/>
      <w:marLeft w:val="0"/>
      <w:marRight w:val="0"/>
      <w:marTop w:val="0"/>
      <w:marBottom w:val="0"/>
      <w:divBdr>
        <w:top w:val="none" w:sz="0" w:space="0" w:color="auto"/>
        <w:left w:val="none" w:sz="0" w:space="0" w:color="auto"/>
        <w:bottom w:val="none" w:sz="0" w:space="0" w:color="auto"/>
        <w:right w:val="none" w:sz="0" w:space="0" w:color="auto"/>
      </w:divBdr>
    </w:div>
    <w:div w:id="77482998">
      <w:bodyDiv w:val="1"/>
      <w:marLeft w:val="0"/>
      <w:marRight w:val="0"/>
      <w:marTop w:val="0"/>
      <w:marBottom w:val="0"/>
      <w:divBdr>
        <w:top w:val="none" w:sz="0" w:space="0" w:color="auto"/>
        <w:left w:val="none" w:sz="0" w:space="0" w:color="auto"/>
        <w:bottom w:val="none" w:sz="0" w:space="0" w:color="auto"/>
        <w:right w:val="none" w:sz="0" w:space="0" w:color="auto"/>
      </w:divBdr>
    </w:div>
    <w:div w:id="94135661">
      <w:bodyDiv w:val="1"/>
      <w:marLeft w:val="0"/>
      <w:marRight w:val="0"/>
      <w:marTop w:val="0"/>
      <w:marBottom w:val="0"/>
      <w:divBdr>
        <w:top w:val="none" w:sz="0" w:space="0" w:color="auto"/>
        <w:left w:val="none" w:sz="0" w:space="0" w:color="auto"/>
        <w:bottom w:val="none" w:sz="0" w:space="0" w:color="auto"/>
        <w:right w:val="none" w:sz="0" w:space="0" w:color="auto"/>
      </w:divBdr>
    </w:div>
    <w:div w:id="97023759">
      <w:bodyDiv w:val="1"/>
      <w:marLeft w:val="0"/>
      <w:marRight w:val="0"/>
      <w:marTop w:val="0"/>
      <w:marBottom w:val="0"/>
      <w:divBdr>
        <w:top w:val="none" w:sz="0" w:space="0" w:color="auto"/>
        <w:left w:val="none" w:sz="0" w:space="0" w:color="auto"/>
        <w:bottom w:val="none" w:sz="0" w:space="0" w:color="auto"/>
        <w:right w:val="none" w:sz="0" w:space="0" w:color="auto"/>
      </w:divBdr>
    </w:div>
    <w:div w:id="117916494">
      <w:bodyDiv w:val="1"/>
      <w:marLeft w:val="0"/>
      <w:marRight w:val="0"/>
      <w:marTop w:val="0"/>
      <w:marBottom w:val="0"/>
      <w:divBdr>
        <w:top w:val="none" w:sz="0" w:space="0" w:color="auto"/>
        <w:left w:val="none" w:sz="0" w:space="0" w:color="auto"/>
        <w:bottom w:val="none" w:sz="0" w:space="0" w:color="auto"/>
        <w:right w:val="none" w:sz="0" w:space="0" w:color="auto"/>
      </w:divBdr>
    </w:div>
    <w:div w:id="129906108">
      <w:bodyDiv w:val="1"/>
      <w:marLeft w:val="0"/>
      <w:marRight w:val="0"/>
      <w:marTop w:val="0"/>
      <w:marBottom w:val="0"/>
      <w:divBdr>
        <w:top w:val="none" w:sz="0" w:space="0" w:color="auto"/>
        <w:left w:val="none" w:sz="0" w:space="0" w:color="auto"/>
        <w:bottom w:val="none" w:sz="0" w:space="0" w:color="auto"/>
        <w:right w:val="none" w:sz="0" w:space="0" w:color="auto"/>
      </w:divBdr>
    </w:div>
    <w:div w:id="145702891">
      <w:bodyDiv w:val="1"/>
      <w:marLeft w:val="0"/>
      <w:marRight w:val="0"/>
      <w:marTop w:val="0"/>
      <w:marBottom w:val="0"/>
      <w:divBdr>
        <w:top w:val="none" w:sz="0" w:space="0" w:color="auto"/>
        <w:left w:val="none" w:sz="0" w:space="0" w:color="auto"/>
        <w:bottom w:val="none" w:sz="0" w:space="0" w:color="auto"/>
        <w:right w:val="none" w:sz="0" w:space="0" w:color="auto"/>
      </w:divBdr>
      <w:divsChild>
        <w:div w:id="1001737782">
          <w:marLeft w:val="0"/>
          <w:marRight w:val="0"/>
          <w:marTop w:val="0"/>
          <w:marBottom w:val="0"/>
          <w:divBdr>
            <w:top w:val="none" w:sz="0" w:space="0" w:color="auto"/>
            <w:left w:val="none" w:sz="0" w:space="0" w:color="auto"/>
            <w:bottom w:val="none" w:sz="0" w:space="0" w:color="auto"/>
            <w:right w:val="none" w:sz="0" w:space="0" w:color="auto"/>
          </w:divBdr>
        </w:div>
      </w:divsChild>
    </w:div>
    <w:div w:id="157113909">
      <w:bodyDiv w:val="1"/>
      <w:marLeft w:val="0"/>
      <w:marRight w:val="0"/>
      <w:marTop w:val="0"/>
      <w:marBottom w:val="0"/>
      <w:divBdr>
        <w:top w:val="none" w:sz="0" w:space="0" w:color="auto"/>
        <w:left w:val="none" w:sz="0" w:space="0" w:color="auto"/>
        <w:bottom w:val="none" w:sz="0" w:space="0" w:color="auto"/>
        <w:right w:val="none" w:sz="0" w:space="0" w:color="auto"/>
      </w:divBdr>
    </w:div>
    <w:div w:id="170874498">
      <w:bodyDiv w:val="1"/>
      <w:marLeft w:val="0"/>
      <w:marRight w:val="0"/>
      <w:marTop w:val="0"/>
      <w:marBottom w:val="0"/>
      <w:divBdr>
        <w:top w:val="none" w:sz="0" w:space="0" w:color="auto"/>
        <w:left w:val="none" w:sz="0" w:space="0" w:color="auto"/>
        <w:bottom w:val="none" w:sz="0" w:space="0" w:color="auto"/>
        <w:right w:val="none" w:sz="0" w:space="0" w:color="auto"/>
      </w:divBdr>
    </w:div>
    <w:div w:id="178586057">
      <w:bodyDiv w:val="1"/>
      <w:marLeft w:val="0"/>
      <w:marRight w:val="0"/>
      <w:marTop w:val="0"/>
      <w:marBottom w:val="0"/>
      <w:divBdr>
        <w:top w:val="none" w:sz="0" w:space="0" w:color="auto"/>
        <w:left w:val="none" w:sz="0" w:space="0" w:color="auto"/>
        <w:bottom w:val="none" w:sz="0" w:space="0" w:color="auto"/>
        <w:right w:val="none" w:sz="0" w:space="0" w:color="auto"/>
      </w:divBdr>
    </w:div>
    <w:div w:id="214705757">
      <w:bodyDiv w:val="1"/>
      <w:marLeft w:val="0"/>
      <w:marRight w:val="0"/>
      <w:marTop w:val="0"/>
      <w:marBottom w:val="0"/>
      <w:divBdr>
        <w:top w:val="none" w:sz="0" w:space="0" w:color="auto"/>
        <w:left w:val="none" w:sz="0" w:space="0" w:color="auto"/>
        <w:bottom w:val="none" w:sz="0" w:space="0" w:color="auto"/>
        <w:right w:val="none" w:sz="0" w:space="0" w:color="auto"/>
      </w:divBdr>
    </w:div>
    <w:div w:id="216747973">
      <w:bodyDiv w:val="1"/>
      <w:marLeft w:val="0"/>
      <w:marRight w:val="0"/>
      <w:marTop w:val="0"/>
      <w:marBottom w:val="0"/>
      <w:divBdr>
        <w:top w:val="none" w:sz="0" w:space="0" w:color="auto"/>
        <w:left w:val="none" w:sz="0" w:space="0" w:color="auto"/>
        <w:bottom w:val="none" w:sz="0" w:space="0" w:color="auto"/>
        <w:right w:val="none" w:sz="0" w:space="0" w:color="auto"/>
      </w:divBdr>
      <w:divsChild>
        <w:div w:id="1366443063">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234315671">
      <w:bodyDiv w:val="1"/>
      <w:marLeft w:val="0"/>
      <w:marRight w:val="0"/>
      <w:marTop w:val="0"/>
      <w:marBottom w:val="0"/>
      <w:divBdr>
        <w:top w:val="none" w:sz="0" w:space="0" w:color="auto"/>
        <w:left w:val="none" w:sz="0" w:space="0" w:color="auto"/>
        <w:bottom w:val="none" w:sz="0" w:space="0" w:color="auto"/>
        <w:right w:val="none" w:sz="0" w:space="0" w:color="auto"/>
      </w:divBdr>
    </w:div>
    <w:div w:id="245772554">
      <w:bodyDiv w:val="1"/>
      <w:marLeft w:val="0"/>
      <w:marRight w:val="0"/>
      <w:marTop w:val="0"/>
      <w:marBottom w:val="0"/>
      <w:divBdr>
        <w:top w:val="none" w:sz="0" w:space="0" w:color="auto"/>
        <w:left w:val="none" w:sz="0" w:space="0" w:color="auto"/>
        <w:bottom w:val="none" w:sz="0" w:space="0" w:color="auto"/>
        <w:right w:val="none" w:sz="0" w:space="0" w:color="auto"/>
      </w:divBdr>
    </w:div>
    <w:div w:id="273484904">
      <w:bodyDiv w:val="1"/>
      <w:marLeft w:val="0"/>
      <w:marRight w:val="0"/>
      <w:marTop w:val="0"/>
      <w:marBottom w:val="0"/>
      <w:divBdr>
        <w:top w:val="none" w:sz="0" w:space="0" w:color="auto"/>
        <w:left w:val="none" w:sz="0" w:space="0" w:color="auto"/>
        <w:bottom w:val="none" w:sz="0" w:space="0" w:color="auto"/>
        <w:right w:val="none" w:sz="0" w:space="0" w:color="auto"/>
      </w:divBdr>
    </w:div>
    <w:div w:id="275986043">
      <w:bodyDiv w:val="1"/>
      <w:marLeft w:val="0"/>
      <w:marRight w:val="0"/>
      <w:marTop w:val="0"/>
      <w:marBottom w:val="0"/>
      <w:divBdr>
        <w:top w:val="none" w:sz="0" w:space="0" w:color="auto"/>
        <w:left w:val="none" w:sz="0" w:space="0" w:color="auto"/>
        <w:bottom w:val="none" w:sz="0" w:space="0" w:color="auto"/>
        <w:right w:val="none" w:sz="0" w:space="0" w:color="auto"/>
      </w:divBdr>
    </w:div>
    <w:div w:id="297884524">
      <w:bodyDiv w:val="1"/>
      <w:marLeft w:val="0"/>
      <w:marRight w:val="0"/>
      <w:marTop w:val="0"/>
      <w:marBottom w:val="0"/>
      <w:divBdr>
        <w:top w:val="none" w:sz="0" w:space="0" w:color="auto"/>
        <w:left w:val="none" w:sz="0" w:space="0" w:color="auto"/>
        <w:bottom w:val="none" w:sz="0" w:space="0" w:color="auto"/>
        <w:right w:val="none" w:sz="0" w:space="0" w:color="auto"/>
      </w:divBdr>
    </w:div>
    <w:div w:id="326593021">
      <w:bodyDiv w:val="1"/>
      <w:marLeft w:val="0"/>
      <w:marRight w:val="0"/>
      <w:marTop w:val="0"/>
      <w:marBottom w:val="0"/>
      <w:divBdr>
        <w:top w:val="none" w:sz="0" w:space="0" w:color="auto"/>
        <w:left w:val="none" w:sz="0" w:space="0" w:color="auto"/>
        <w:bottom w:val="none" w:sz="0" w:space="0" w:color="auto"/>
        <w:right w:val="none" w:sz="0" w:space="0" w:color="auto"/>
      </w:divBdr>
    </w:div>
    <w:div w:id="363292803">
      <w:bodyDiv w:val="1"/>
      <w:marLeft w:val="0"/>
      <w:marRight w:val="0"/>
      <w:marTop w:val="0"/>
      <w:marBottom w:val="0"/>
      <w:divBdr>
        <w:top w:val="none" w:sz="0" w:space="0" w:color="auto"/>
        <w:left w:val="none" w:sz="0" w:space="0" w:color="auto"/>
        <w:bottom w:val="none" w:sz="0" w:space="0" w:color="auto"/>
        <w:right w:val="none" w:sz="0" w:space="0" w:color="auto"/>
      </w:divBdr>
    </w:div>
    <w:div w:id="372118574">
      <w:bodyDiv w:val="1"/>
      <w:marLeft w:val="0"/>
      <w:marRight w:val="0"/>
      <w:marTop w:val="0"/>
      <w:marBottom w:val="0"/>
      <w:divBdr>
        <w:top w:val="none" w:sz="0" w:space="0" w:color="auto"/>
        <w:left w:val="none" w:sz="0" w:space="0" w:color="auto"/>
        <w:bottom w:val="none" w:sz="0" w:space="0" w:color="auto"/>
        <w:right w:val="none" w:sz="0" w:space="0" w:color="auto"/>
      </w:divBdr>
    </w:div>
    <w:div w:id="393361169">
      <w:bodyDiv w:val="1"/>
      <w:marLeft w:val="0"/>
      <w:marRight w:val="0"/>
      <w:marTop w:val="0"/>
      <w:marBottom w:val="0"/>
      <w:divBdr>
        <w:top w:val="none" w:sz="0" w:space="0" w:color="auto"/>
        <w:left w:val="none" w:sz="0" w:space="0" w:color="auto"/>
        <w:bottom w:val="none" w:sz="0" w:space="0" w:color="auto"/>
        <w:right w:val="none" w:sz="0" w:space="0" w:color="auto"/>
      </w:divBdr>
    </w:div>
    <w:div w:id="398020703">
      <w:bodyDiv w:val="1"/>
      <w:marLeft w:val="0"/>
      <w:marRight w:val="0"/>
      <w:marTop w:val="0"/>
      <w:marBottom w:val="0"/>
      <w:divBdr>
        <w:top w:val="none" w:sz="0" w:space="0" w:color="auto"/>
        <w:left w:val="none" w:sz="0" w:space="0" w:color="auto"/>
        <w:bottom w:val="none" w:sz="0" w:space="0" w:color="auto"/>
        <w:right w:val="none" w:sz="0" w:space="0" w:color="auto"/>
      </w:divBdr>
    </w:div>
    <w:div w:id="406348621">
      <w:bodyDiv w:val="1"/>
      <w:marLeft w:val="0"/>
      <w:marRight w:val="0"/>
      <w:marTop w:val="0"/>
      <w:marBottom w:val="0"/>
      <w:divBdr>
        <w:top w:val="none" w:sz="0" w:space="0" w:color="auto"/>
        <w:left w:val="none" w:sz="0" w:space="0" w:color="auto"/>
        <w:bottom w:val="none" w:sz="0" w:space="0" w:color="auto"/>
        <w:right w:val="none" w:sz="0" w:space="0" w:color="auto"/>
      </w:divBdr>
    </w:div>
    <w:div w:id="426121378">
      <w:bodyDiv w:val="1"/>
      <w:marLeft w:val="0"/>
      <w:marRight w:val="0"/>
      <w:marTop w:val="0"/>
      <w:marBottom w:val="0"/>
      <w:divBdr>
        <w:top w:val="none" w:sz="0" w:space="0" w:color="auto"/>
        <w:left w:val="none" w:sz="0" w:space="0" w:color="auto"/>
        <w:bottom w:val="none" w:sz="0" w:space="0" w:color="auto"/>
        <w:right w:val="none" w:sz="0" w:space="0" w:color="auto"/>
      </w:divBdr>
    </w:div>
    <w:div w:id="434639122">
      <w:bodyDiv w:val="1"/>
      <w:marLeft w:val="0"/>
      <w:marRight w:val="0"/>
      <w:marTop w:val="0"/>
      <w:marBottom w:val="0"/>
      <w:divBdr>
        <w:top w:val="none" w:sz="0" w:space="0" w:color="auto"/>
        <w:left w:val="none" w:sz="0" w:space="0" w:color="auto"/>
        <w:bottom w:val="none" w:sz="0" w:space="0" w:color="auto"/>
        <w:right w:val="none" w:sz="0" w:space="0" w:color="auto"/>
      </w:divBdr>
    </w:div>
    <w:div w:id="436411223">
      <w:bodyDiv w:val="1"/>
      <w:marLeft w:val="0"/>
      <w:marRight w:val="0"/>
      <w:marTop w:val="0"/>
      <w:marBottom w:val="0"/>
      <w:divBdr>
        <w:top w:val="none" w:sz="0" w:space="0" w:color="auto"/>
        <w:left w:val="none" w:sz="0" w:space="0" w:color="auto"/>
        <w:bottom w:val="none" w:sz="0" w:space="0" w:color="auto"/>
        <w:right w:val="none" w:sz="0" w:space="0" w:color="auto"/>
      </w:divBdr>
    </w:div>
    <w:div w:id="458887704">
      <w:bodyDiv w:val="1"/>
      <w:marLeft w:val="0"/>
      <w:marRight w:val="0"/>
      <w:marTop w:val="0"/>
      <w:marBottom w:val="0"/>
      <w:divBdr>
        <w:top w:val="none" w:sz="0" w:space="0" w:color="auto"/>
        <w:left w:val="none" w:sz="0" w:space="0" w:color="auto"/>
        <w:bottom w:val="none" w:sz="0" w:space="0" w:color="auto"/>
        <w:right w:val="none" w:sz="0" w:space="0" w:color="auto"/>
      </w:divBdr>
    </w:div>
    <w:div w:id="482166787">
      <w:bodyDiv w:val="1"/>
      <w:marLeft w:val="0"/>
      <w:marRight w:val="0"/>
      <w:marTop w:val="0"/>
      <w:marBottom w:val="0"/>
      <w:divBdr>
        <w:top w:val="none" w:sz="0" w:space="0" w:color="auto"/>
        <w:left w:val="none" w:sz="0" w:space="0" w:color="auto"/>
        <w:bottom w:val="none" w:sz="0" w:space="0" w:color="auto"/>
        <w:right w:val="none" w:sz="0" w:space="0" w:color="auto"/>
      </w:divBdr>
    </w:div>
    <w:div w:id="497497238">
      <w:bodyDiv w:val="1"/>
      <w:marLeft w:val="0"/>
      <w:marRight w:val="0"/>
      <w:marTop w:val="0"/>
      <w:marBottom w:val="0"/>
      <w:divBdr>
        <w:top w:val="none" w:sz="0" w:space="0" w:color="auto"/>
        <w:left w:val="none" w:sz="0" w:space="0" w:color="auto"/>
        <w:bottom w:val="none" w:sz="0" w:space="0" w:color="auto"/>
        <w:right w:val="none" w:sz="0" w:space="0" w:color="auto"/>
      </w:divBdr>
    </w:div>
    <w:div w:id="501629829">
      <w:bodyDiv w:val="1"/>
      <w:marLeft w:val="0"/>
      <w:marRight w:val="0"/>
      <w:marTop w:val="0"/>
      <w:marBottom w:val="0"/>
      <w:divBdr>
        <w:top w:val="none" w:sz="0" w:space="0" w:color="auto"/>
        <w:left w:val="none" w:sz="0" w:space="0" w:color="auto"/>
        <w:bottom w:val="none" w:sz="0" w:space="0" w:color="auto"/>
        <w:right w:val="none" w:sz="0" w:space="0" w:color="auto"/>
      </w:divBdr>
    </w:div>
    <w:div w:id="509374212">
      <w:bodyDiv w:val="1"/>
      <w:marLeft w:val="0"/>
      <w:marRight w:val="0"/>
      <w:marTop w:val="0"/>
      <w:marBottom w:val="0"/>
      <w:divBdr>
        <w:top w:val="none" w:sz="0" w:space="0" w:color="auto"/>
        <w:left w:val="none" w:sz="0" w:space="0" w:color="auto"/>
        <w:bottom w:val="none" w:sz="0" w:space="0" w:color="auto"/>
        <w:right w:val="none" w:sz="0" w:space="0" w:color="auto"/>
      </w:divBdr>
    </w:div>
    <w:div w:id="510072519">
      <w:bodyDiv w:val="1"/>
      <w:marLeft w:val="0"/>
      <w:marRight w:val="0"/>
      <w:marTop w:val="0"/>
      <w:marBottom w:val="0"/>
      <w:divBdr>
        <w:top w:val="none" w:sz="0" w:space="0" w:color="auto"/>
        <w:left w:val="none" w:sz="0" w:space="0" w:color="auto"/>
        <w:bottom w:val="none" w:sz="0" w:space="0" w:color="auto"/>
        <w:right w:val="none" w:sz="0" w:space="0" w:color="auto"/>
      </w:divBdr>
    </w:div>
    <w:div w:id="512764112">
      <w:bodyDiv w:val="1"/>
      <w:marLeft w:val="0"/>
      <w:marRight w:val="0"/>
      <w:marTop w:val="0"/>
      <w:marBottom w:val="0"/>
      <w:divBdr>
        <w:top w:val="none" w:sz="0" w:space="0" w:color="auto"/>
        <w:left w:val="none" w:sz="0" w:space="0" w:color="auto"/>
        <w:bottom w:val="none" w:sz="0" w:space="0" w:color="auto"/>
        <w:right w:val="none" w:sz="0" w:space="0" w:color="auto"/>
      </w:divBdr>
    </w:div>
    <w:div w:id="517740967">
      <w:bodyDiv w:val="1"/>
      <w:marLeft w:val="0"/>
      <w:marRight w:val="0"/>
      <w:marTop w:val="0"/>
      <w:marBottom w:val="0"/>
      <w:divBdr>
        <w:top w:val="none" w:sz="0" w:space="0" w:color="auto"/>
        <w:left w:val="none" w:sz="0" w:space="0" w:color="auto"/>
        <w:bottom w:val="none" w:sz="0" w:space="0" w:color="auto"/>
        <w:right w:val="none" w:sz="0" w:space="0" w:color="auto"/>
      </w:divBdr>
      <w:divsChild>
        <w:div w:id="203979849">
          <w:marLeft w:val="0"/>
          <w:marRight w:val="0"/>
          <w:marTop w:val="0"/>
          <w:marBottom w:val="0"/>
          <w:divBdr>
            <w:top w:val="none" w:sz="0" w:space="0" w:color="auto"/>
            <w:left w:val="none" w:sz="0" w:space="0" w:color="auto"/>
            <w:bottom w:val="none" w:sz="0" w:space="0" w:color="auto"/>
            <w:right w:val="none" w:sz="0" w:space="0" w:color="auto"/>
          </w:divBdr>
        </w:div>
      </w:divsChild>
    </w:div>
    <w:div w:id="529757128">
      <w:bodyDiv w:val="1"/>
      <w:marLeft w:val="0"/>
      <w:marRight w:val="0"/>
      <w:marTop w:val="0"/>
      <w:marBottom w:val="0"/>
      <w:divBdr>
        <w:top w:val="none" w:sz="0" w:space="0" w:color="auto"/>
        <w:left w:val="none" w:sz="0" w:space="0" w:color="auto"/>
        <w:bottom w:val="none" w:sz="0" w:space="0" w:color="auto"/>
        <w:right w:val="none" w:sz="0" w:space="0" w:color="auto"/>
      </w:divBdr>
    </w:div>
    <w:div w:id="541787564">
      <w:bodyDiv w:val="1"/>
      <w:marLeft w:val="0"/>
      <w:marRight w:val="0"/>
      <w:marTop w:val="0"/>
      <w:marBottom w:val="0"/>
      <w:divBdr>
        <w:top w:val="none" w:sz="0" w:space="0" w:color="auto"/>
        <w:left w:val="none" w:sz="0" w:space="0" w:color="auto"/>
        <w:bottom w:val="none" w:sz="0" w:space="0" w:color="auto"/>
        <w:right w:val="none" w:sz="0" w:space="0" w:color="auto"/>
      </w:divBdr>
    </w:div>
    <w:div w:id="550580669">
      <w:bodyDiv w:val="1"/>
      <w:marLeft w:val="0"/>
      <w:marRight w:val="0"/>
      <w:marTop w:val="0"/>
      <w:marBottom w:val="0"/>
      <w:divBdr>
        <w:top w:val="none" w:sz="0" w:space="0" w:color="auto"/>
        <w:left w:val="none" w:sz="0" w:space="0" w:color="auto"/>
        <w:bottom w:val="none" w:sz="0" w:space="0" w:color="auto"/>
        <w:right w:val="none" w:sz="0" w:space="0" w:color="auto"/>
      </w:divBdr>
    </w:div>
    <w:div w:id="556554949">
      <w:bodyDiv w:val="1"/>
      <w:marLeft w:val="0"/>
      <w:marRight w:val="0"/>
      <w:marTop w:val="0"/>
      <w:marBottom w:val="0"/>
      <w:divBdr>
        <w:top w:val="none" w:sz="0" w:space="0" w:color="auto"/>
        <w:left w:val="none" w:sz="0" w:space="0" w:color="auto"/>
        <w:bottom w:val="none" w:sz="0" w:space="0" w:color="auto"/>
        <w:right w:val="none" w:sz="0" w:space="0" w:color="auto"/>
      </w:divBdr>
    </w:div>
    <w:div w:id="583612290">
      <w:bodyDiv w:val="1"/>
      <w:marLeft w:val="0"/>
      <w:marRight w:val="0"/>
      <w:marTop w:val="0"/>
      <w:marBottom w:val="0"/>
      <w:divBdr>
        <w:top w:val="none" w:sz="0" w:space="0" w:color="auto"/>
        <w:left w:val="none" w:sz="0" w:space="0" w:color="auto"/>
        <w:bottom w:val="none" w:sz="0" w:space="0" w:color="auto"/>
        <w:right w:val="none" w:sz="0" w:space="0" w:color="auto"/>
      </w:divBdr>
    </w:div>
    <w:div w:id="611207969">
      <w:bodyDiv w:val="1"/>
      <w:marLeft w:val="0"/>
      <w:marRight w:val="0"/>
      <w:marTop w:val="0"/>
      <w:marBottom w:val="0"/>
      <w:divBdr>
        <w:top w:val="none" w:sz="0" w:space="0" w:color="auto"/>
        <w:left w:val="none" w:sz="0" w:space="0" w:color="auto"/>
        <w:bottom w:val="none" w:sz="0" w:space="0" w:color="auto"/>
        <w:right w:val="none" w:sz="0" w:space="0" w:color="auto"/>
      </w:divBdr>
    </w:div>
    <w:div w:id="659625642">
      <w:bodyDiv w:val="1"/>
      <w:marLeft w:val="0"/>
      <w:marRight w:val="0"/>
      <w:marTop w:val="0"/>
      <w:marBottom w:val="0"/>
      <w:divBdr>
        <w:top w:val="none" w:sz="0" w:space="0" w:color="auto"/>
        <w:left w:val="none" w:sz="0" w:space="0" w:color="auto"/>
        <w:bottom w:val="none" w:sz="0" w:space="0" w:color="auto"/>
        <w:right w:val="none" w:sz="0" w:space="0" w:color="auto"/>
      </w:divBdr>
    </w:div>
    <w:div w:id="681250771">
      <w:bodyDiv w:val="1"/>
      <w:marLeft w:val="0"/>
      <w:marRight w:val="0"/>
      <w:marTop w:val="0"/>
      <w:marBottom w:val="0"/>
      <w:divBdr>
        <w:top w:val="none" w:sz="0" w:space="0" w:color="auto"/>
        <w:left w:val="none" w:sz="0" w:space="0" w:color="auto"/>
        <w:bottom w:val="none" w:sz="0" w:space="0" w:color="auto"/>
        <w:right w:val="none" w:sz="0" w:space="0" w:color="auto"/>
      </w:divBdr>
    </w:div>
    <w:div w:id="692994156">
      <w:bodyDiv w:val="1"/>
      <w:marLeft w:val="0"/>
      <w:marRight w:val="0"/>
      <w:marTop w:val="0"/>
      <w:marBottom w:val="0"/>
      <w:divBdr>
        <w:top w:val="none" w:sz="0" w:space="0" w:color="auto"/>
        <w:left w:val="none" w:sz="0" w:space="0" w:color="auto"/>
        <w:bottom w:val="none" w:sz="0" w:space="0" w:color="auto"/>
        <w:right w:val="none" w:sz="0" w:space="0" w:color="auto"/>
      </w:divBdr>
    </w:div>
    <w:div w:id="708602738">
      <w:bodyDiv w:val="1"/>
      <w:marLeft w:val="0"/>
      <w:marRight w:val="0"/>
      <w:marTop w:val="0"/>
      <w:marBottom w:val="0"/>
      <w:divBdr>
        <w:top w:val="none" w:sz="0" w:space="0" w:color="auto"/>
        <w:left w:val="none" w:sz="0" w:space="0" w:color="auto"/>
        <w:bottom w:val="none" w:sz="0" w:space="0" w:color="auto"/>
        <w:right w:val="none" w:sz="0" w:space="0" w:color="auto"/>
      </w:divBdr>
    </w:div>
    <w:div w:id="745030224">
      <w:bodyDiv w:val="1"/>
      <w:marLeft w:val="0"/>
      <w:marRight w:val="0"/>
      <w:marTop w:val="0"/>
      <w:marBottom w:val="0"/>
      <w:divBdr>
        <w:top w:val="none" w:sz="0" w:space="0" w:color="auto"/>
        <w:left w:val="none" w:sz="0" w:space="0" w:color="auto"/>
        <w:bottom w:val="none" w:sz="0" w:space="0" w:color="auto"/>
        <w:right w:val="none" w:sz="0" w:space="0" w:color="auto"/>
      </w:divBdr>
    </w:div>
    <w:div w:id="754670714">
      <w:bodyDiv w:val="1"/>
      <w:marLeft w:val="0"/>
      <w:marRight w:val="0"/>
      <w:marTop w:val="0"/>
      <w:marBottom w:val="0"/>
      <w:divBdr>
        <w:top w:val="none" w:sz="0" w:space="0" w:color="auto"/>
        <w:left w:val="none" w:sz="0" w:space="0" w:color="auto"/>
        <w:bottom w:val="none" w:sz="0" w:space="0" w:color="auto"/>
        <w:right w:val="none" w:sz="0" w:space="0" w:color="auto"/>
      </w:divBdr>
    </w:div>
    <w:div w:id="754865024">
      <w:bodyDiv w:val="1"/>
      <w:marLeft w:val="0"/>
      <w:marRight w:val="0"/>
      <w:marTop w:val="0"/>
      <w:marBottom w:val="0"/>
      <w:divBdr>
        <w:top w:val="none" w:sz="0" w:space="0" w:color="auto"/>
        <w:left w:val="none" w:sz="0" w:space="0" w:color="auto"/>
        <w:bottom w:val="none" w:sz="0" w:space="0" w:color="auto"/>
        <w:right w:val="none" w:sz="0" w:space="0" w:color="auto"/>
      </w:divBdr>
    </w:div>
    <w:div w:id="770126767">
      <w:bodyDiv w:val="1"/>
      <w:marLeft w:val="0"/>
      <w:marRight w:val="0"/>
      <w:marTop w:val="0"/>
      <w:marBottom w:val="0"/>
      <w:divBdr>
        <w:top w:val="none" w:sz="0" w:space="0" w:color="auto"/>
        <w:left w:val="none" w:sz="0" w:space="0" w:color="auto"/>
        <w:bottom w:val="none" w:sz="0" w:space="0" w:color="auto"/>
        <w:right w:val="none" w:sz="0" w:space="0" w:color="auto"/>
      </w:divBdr>
    </w:div>
    <w:div w:id="793717564">
      <w:bodyDiv w:val="1"/>
      <w:marLeft w:val="0"/>
      <w:marRight w:val="0"/>
      <w:marTop w:val="0"/>
      <w:marBottom w:val="0"/>
      <w:divBdr>
        <w:top w:val="none" w:sz="0" w:space="0" w:color="auto"/>
        <w:left w:val="none" w:sz="0" w:space="0" w:color="auto"/>
        <w:bottom w:val="none" w:sz="0" w:space="0" w:color="auto"/>
        <w:right w:val="none" w:sz="0" w:space="0" w:color="auto"/>
      </w:divBdr>
    </w:div>
    <w:div w:id="799033984">
      <w:bodyDiv w:val="1"/>
      <w:marLeft w:val="0"/>
      <w:marRight w:val="0"/>
      <w:marTop w:val="0"/>
      <w:marBottom w:val="0"/>
      <w:divBdr>
        <w:top w:val="none" w:sz="0" w:space="0" w:color="auto"/>
        <w:left w:val="none" w:sz="0" w:space="0" w:color="auto"/>
        <w:bottom w:val="none" w:sz="0" w:space="0" w:color="auto"/>
        <w:right w:val="none" w:sz="0" w:space="0" w:color="auto"/>
      </w:divBdr>
    </w:div>
    <w:div w:id="817188964">
      <w:bodyDiv w:val="1"/>
      <w:marLeft w:val="0"/>
      <w:marRight w:val="0"/>
      <w:marTop w:val="0"/>
      <w:marBottom w:val="0"/>
      <w:divBdr>
        <w:top w:val="none" w:sz="0" w:space="0" w:color="auto"/>
        <w:left w:val="none" w:sz="0" w:space="0" w:color="auto"/>
        <w:bottom w:val="none" w:sz="0" w:space="0" w:color="auto"/>
        <w:right w:val="none" w:sz="0" w:space="0" w:color="auto"/>
      </w:divBdr>
    </w:div>
    <w:div w:id="830831150">
      <w:bodyDiv w:val="1"/>
      <w:marLeft w:val="0"/>
      <w:marRight w:val="0"/>
      <w:marTop w:val="0"/>
      <w:marBottom w:val="0"/>
      <w:divBdr>
        <w:top w:val="none" w:sz="0" w:space="0" w:color="auto"/>
        <w:left w:val="none" w:sz="0" w:space="0" w:color="auto"/>
        <w:bottom w:val="none" w:sz="0" w:space="0" w:color="auto"/>
        <w:right w:val="none" w:sz="0" w:space="0" w:color="auto"/>
      </w:divBdr>
    </w:div>
    <w:div w:id="832985163">
      <w:bodyDiv w:val="1"/>
      <w:marLeft w:val="0"/>
      <w:marRight w:val="0"/>
      <w:marTop w:val="0"/>
      <w:marBottom w:val="0"/>
      <w:divBdr>
        <w:top w:val="none" w:sz="0" w:space="0" w:color="auto"/>
        <w:left w:val="none" w:sz="0" w:space="0" w:color="auto"/>
        <w:bottom w:val="none" w:sz="0" w:space="0" w:color="auto"/>
        <w:right w:val="none" w:sz="0" w:space="0" w:color="auto"/>
      </w:divBdr>
    </w:div>
    <w:div w:id="838231463">
      <w:bodyDiv w:val="1"/>
      <w:marLeft w:val="0"/>
      <w:marRight w:val="0"/>
      <w:marTop w:val="0"/>
      <w:marBottom w:val="0"/>
      <w:divBdr>
        <w:top w:val="none" w:sz="0" w:space="0" w:color="auto"/>
        <w:left w:val="none" w:sz="0" w:space="0" w:color="auto"/>
        <w:bottom w:val="none" w:sz="0" w:space="0" w:color="auto"/>
        <w:right w:val="none" w:sz="0" w:space="0" w:color="auto"/>
      </w:divBdr>
    </w:div>
    <w:div w:id="858739516">
      <w:bodyDiv w:val="1"/>
      <w:marLeft w:val="0"/>
      <w:marRight w:val="0"/>
      <w:marTop w:val="0"/>
      <w:marBottom w:val="0"/>
      <w:divBdr>
        <w:top w:val="none" w:sz="0" w:space="0" w:color="auto"/>
        <w:left w:val="none" w:sz="0" w:space="0" w:color="auto"/>
        <w:bottom w:val="none" w:sz="0" w:space="0" w:color="auto"/>
        <w:right w:val="none" w:sz="0" w:space="0" w:color="auto"/>
      </w:divBdr>
    </w:div>
    <w:div w:id="883172950">
      <w:bodyDiv w:val="1"/>
      <w:marLeft w:val="0"/>
      <w:marRight w:val="0"/>
      <w:marTop w:val="0"/>
      <w:marBottom w:val="0"/>
      <w:divBdr>
        <w:top w:val="none" w:sz="0" w:space="0" w:color="auto"/>
        <w:left w:val="none" w:sz="0" w:space="0" w:color="auto"/>
        <w:bottom w:val="none" w:sz="0" w:space="0" w:color="auto"/>
        <w:right w:val="none" w:sz="0" w:space="0" w:color="auto"/>
      </w:divBdr>
    </w:div>
    <w:div w:id="913008575">
      <w:bodyDiv w:val="1"/>
      <w:marLeft w:val="0"/>
      <w:marRight w:val="0"/>
      <w:marTop w:val="0"/>
      <w:marBottom w:val="0"/>
      <w:divBdr>
        <w:top w:val="none" w:sz="0" w:space="0" w:color="auto"/>
        <w:left w:val="none" w:sz="0" w:space="0" w:color="auto"/>
        <w:bottom w:val="none" w:sz="0" w:space="0" w:color="auto"/>
        <w:right w:val="none" w:sz="0" w:space="0" w:color="auto"/>
      </w:divBdr>
    </w:div>
    <w:div w:id="923342633">
      <w:bodyDiv w:val="1"/>
      <w:marLeft w:val="0"/>
      <w:marRight w:val="0"/>
      <w:marTop w:val="0"/>
      <w:marBottom w:val="0"/>
      <w:divBdr>
        <w:top w:val="none" w:sz="0" w:space="0" w:color="auto"/>
        <w:left w:val="none" w:sz="0" w:space="0" w:color="auto"/>
        <w:bottom w:val="none" w:sz="0" w:space="0" w:color="auto"/>
        <w:right w:val="none" w:sz="0" w:space="0" w:color="auto"/>
      </w:divBdr>
    </w:div>
    <w:div w:id="924152361">
      <w:bodyDiv w:val="1"/>
      <w:marLeft w:val="0"/>
      <w:marRight w:val="0"/>
      <w:marTop w:val="0"/>
      <w:marBottom w:val="0"/>
      <w:divBdr>
        <w:top w:val="none" w:sz="0" w:space="0" w:color="auto"/>
        <w:left w:val="none" w:sz="0" w:space="0" w:color="auto"/>
        <w:bottom w:val="none" w:sz="0" w:space="0" w:color="auto"/>
        <w:right w:val="none" w:sz="0" w:space="0" w:color="auto"/>
      </w:divBdr>
    </w:div>
    <w:div w:id="931863552">
      <w:bodyDiv w:val="1"/>
      <w:marLeft w:val="0"/>
      <w:marRight w:val="0"/>
      <w:marTop w:val="0"/>
      <w:marBottom w:val="0"/>
      <w:divBdr>
        <w:top w:val="none" w:sz="0" w:space="0" w:color="auto"/>
        <w:left w:val="none" w:sz="0" w:space="0" w:color="auto"/>
        <w:bottom w:val="none" w:sz="0" w:space="0" w:color="auto"/>
        <w:right w:val="none" w:sz="0" w:space="0" w:color="auto"/>
      </w:divBdr>
    </w:div>
    <w:div w:id="961808340">
      <w:bodyDiv w:val="1"/>
      <w:marLeft w:val="0"/>
      <w:marRight w:val="0"/>
      <w:marTop w:val="0"/>
      <w:marBottom w:val="0"/>
      <w:divBdr>
        <w:top w:val="none" w:sz="0" w:space="0" w:color="auto"/>
        <w:left w:val="none" w:sz="0" w:space="0" w:color="auto"/>
        <w:bottom w:val="none" w:sz="0" w:space="0" w:color="auto"/>
        <w:right w:val="none" w:sz="0" w:space="0" w:color="auto"/>
      </w:divBdr>
    </w:div>
    <w:div w:id="992295419">
      <w:bodyDiv w:val="1"/>
      <w:marLeft w:val="0"/>
      <w:marRight w:val="0"/>
      <w:marTop w:val="0"/>
      <w:marBottom w:val="0"/>
      <w:divBdr>
        <w:top w:val="none" w:sz="0" w:space="0" w:color="auto"/>
        <w:left w:val="none" w:sz="0" w:space="0" w:color="auto"/>
        <w:bottom w:val="none" w:sz="0" w:space="0" w:color="auto"/>
        <w:right w:val="none" w:sz="0" w:space="0" w:color="auto"/>
      </w:divBdr>
    </w:div>
    <w:div w:id="1011419610">
      <w:bodyDiv w:val="1"/>
      <w:marLeft w:val="0"/>
      <w:marRight w:val="0"/>
      <w:marTop w:val="0"/>
      <w:marBottom w:val="0"/>
      <w:divBdr>
        <w:top w:val="none" w:sz="0" w:space="0" w:color="auto"/>
        <w:left w:val="none" w:sz="0" w:space="0" w:color="auto"/>
        <w:bottom w:val="none" w:sz="0" w:space="0" w:color="auto"/>
        <w:right w:val="none" w:sz="0" w:space="0" w:color="auto"/>
      </w:divBdr>
    </w:div>
    <w:div w:id="1040325955">
      <w:bodyDiv w:val="1"/>
      <w:marLeft w:val="0"/>
      <w:marRight w:val="0"/>
      <w:marTop w:val="0"/>
      <w:marBottom w:val="0"/>
      <w:divBdr>
        <w:top w:val="none" w:sz="0" w:space="0" w:color="auto"/>
        <w:left w:val="none" w:sz="0" w:space="0" w:color="auto"/>
        <w:bottom w:val="none" w:sz="0" w:space="0" w:color="auto"/>
        <w:right w:val="none" w:sz="0" w:space="0" w:color="auto"/>
      </w:divBdr>
    </w:div>
    <w:div w:id="1041050445">
      <w:bodyDiv w:val="1"/>
      <w:marLeft w:val="0"/>
      <w:marRight w:val="0"/>
      <w:marTop w:val="0"/>
      <w:marBottom w:val="0"/>
      <w:divBdr>
        <w:top w:val="none" w:sz="0" w:space="0" w:color="auto"/>
        <w:left w:val="none" w:sz="0" w:space="0" w:color="auto"/>
        <w:bottom w:val="none" w:sz="0" w:space="0" w:color="auto"/>
        <w:right w:val="none" w:sz="0" w:space="0" w:color="auto"/>
      </w:divBdr>
    </w:div>
    <w:div w:id="1061951292">
      <w:bodyDiv w:val="1"/>
      <w:marLeft w:val="0"/>
      <w:marRight w:val="0"/>
      <w:marTop w:val="0"/>
      <w:marBottom w:val="0"/>
      <w:divBdr>
        <w:top w:val="none" w:sz="0" w:space="0" w:color="auto"/>
        <w:left w:val="none" w:sz="0" w:space="0" w:color="auto"/>
        <w:bottom w:val="none" w:sz="0" w:space="0" w:color="auto"/>
        <w:right w:val="none" w:sz="0" w:space="0" w:color="auto"/>
      </w:divBdr>
    </w:div>
    <w:div w:id="1071928009">
      <w:bodyDiv w:val="1"/>
      <w:marLeft w:val="0"/>
      <w:marRight w:val="0"/>
      <w:marTop w:val="0"/>
      <w:marBottom w:val="0"/>
      <w:divBdr>
        <w:top w:val="none" w:sz="0" w:space="0" w:color="auto"/>
        <w:left w:val="none" w:sz="0" w:space="0" w:color="auto"/>
        <w:bottom w:val="none" w:sz="0" w:space="0" w:color="auto"/>
        <w:right w:val="none" w:sz="0" w:space="0" w:color="auto"/>
      </w:divBdr>
      <w:divsChild>
        <w:div w:id="1306281480">
          <w:blockQuote w:val="1"/>
          <w:marLeft w:val="0"/>
          <w:marRight w:val="0"/>
          <w:marTop w:val="0"/>
          <w:marBottom w:val="0"/>
          <w:divBdr>
            <w:top w:val="none" w:sz="0" w:space="0" w:color="auto"/>
            <w:left w:val="single" w:sz="6" w:space="18" w:color="999999"/>
            <w:bottom w:val="none" w:sz="0" w:space="0" w:color="auto"/>
            <w:right w:val="none" w:sz="0" w:space="0" w:color="auto"/>
          </w:divBdr>
          <w:divsChild>
            <w:div w:id="717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3211">
      <w:bodyDiv w:val="1"/>
      <w:marLeft w:val="0"/>
      <w:marRight w:val="0"/>
      <w:marTop w:val="0"/>
      <w:marBottom w:val="0"/>
      <w:divBdr>
        <w:top w:val="none" w:sz="0" w:space="0" w:color="auto"/>
        <w:left w:val="none" w:sz="0" w:space="0" w:color="auto"/>
        <w:bottom w:val="none" w:sz="0" w:space="0" w:color="auto"/>
        <w:right w:val="none" w:sz="0" w:space="0" w:color="auto"/>
      </w:divBdr>
    </w:div>
    <w:div w:id="1078360720">
      <w:bodyDiv w:val="1"/>
      <w:marLeft w:val="0"/>
      <w:marRight w:val="0"/>
      <w:marTop w:val="0"/>
      <w:marBottom w:val="0"/>
      <w:divBdr>
        <w:top w:val="none" w:sz="0" w:space="0" w:color="auto"/>
        <w:left w:val="none" w:sz="0" w:space="0" w:color="auto"/>
        <w:bottom w:val="none" w:sz="0" w:space="0" w:color="auto"/>
        <w:right w:val="none" w:sz="0" w:space="0" w:color="auto"/>
      </w:divBdr>
    </w:div>
    <w:div w:id="1088428460">
      <w:bodyDiv w:val="1"/>
      <w:marLeft w:val="0"/>
      <w:marRight w:val="0"/>
      <w:marTop w:val="0"/>
      <w:marBottom w:val="0"/>
      <w:divBdr>
        <w:top w:val="none" w:sz="0" w:space="0" w:color="auto"/>
        <w:left w:val="none" w:sz="0" w:space="0" w:color="auto"/>
        <w:bottom w:val="none" w:sz="0" w:space="0" w:color="auto"/>
        <w:right w:val="none" w:sz="0" w:space="0" w:color="auto"/>
      </w:divBdr>
    </w:div>
    <w:div w:id="1091393220">
      <w:bodyDiv w:val="1"/>
      <w:marLeft w:val="0"/>
      <w:marRight w:val="0"/>
      <w:marTop w:val="0"/>
      <w:marBottom w:val="0"/>
      <w:divBdr>
        <w:top w:val="none" w:sz="0" w:space="0" w:color="auto"/>
        <w:left w:val="none" w:sz="0" w:space="0" w:color="auto"/>
        <w:bottom w:val="none" w:sz="0" w:space="0" w:color="auto"/>
        <w:right w:val="none" w:sz="0" w:space="0" w:color="auto"/>
      </w:divBdr>
    </w:div>
    <w:div w:id="1111053368">
      <w:bodyDiv w:val="1"/>
      <w:marLeft w:val="0"/>
      <w:marRight w:val="0"/>
      <w:marTop w:val="0"/>
      <w:marBottom w:val="0"/>
      <w:divBdr>
        <w:top w:val="none" w:sz="0" w:space="0" w:color="auto"/>
        <w:left w:val="none" w:sz="0" w:space="0" w:color="auto"/>
        <w:bottom w:val="none" w:sz="0" w:space="0" w:color="auto"/>
        <w:right w:val="none" w:sz="0" w:space="0" w:color="auto"/>
      </w:divBdr>
    </w:div>
    <w:div w:id="1116872771">
      <w:bodyDiv w:val="1"/>
      <w:marLeft w:val="0"/>
      <w:marRight w:val="0"/>
      <w:marTop w:val="0"/>
      <w:marBottom w:val="0"/>
      <w:divBdr>
        <w:top w:val="none" w:sz="0" w:space="0" w:color="auto"/>
        <w:left w:val="none" w:sz="0" w:space="0" w:color="auto"/>
        <w:bottom w:val="none" w:sz="0" w:space="0" w:color="auto"/>
        <w:right w:val="none" w:sz="0" w:space="0" w:color="auto"/>
      </w:divBdr>
    </w:div>
    <w:div w:id="1138955158">
      <w:bodyDiv w:val="1"/>
      <w:marLeft w:val="0"/>
      <w:marRight w:val="0"/>
      <w:marTop w:val="0"/>
      <w:marBottom w:val="0"/>
      <w:divBdr>
        <w:top w:val="none" w:sz="0" w:space="0" w:color="auto"/>
        <w:left w:val="none" w:sz="0" w:space="0" w:color="auto"/>
        <w:bottom w:val="none" w:sz="0" w:space="0" w:color="auto"/>
        <w:right w:val="none" w:sz="0" w:space="0" w:color="auto"/>
      </w:divBdr>
    </w:div>
    <w:div w:id="1151286339">
      <w:bodyDiv w:val="1"/>
      <w:marLeft w:val="0"/>
      <w:marRight w:val="0"/>
      <w:marTop w:val="0"/>
      <w:marBottom w:val="0"/>
      <w:divBdr>
        <w:top w:val="none" w:sz="0" w:space="0" w:color="auto"/>
        <w:left w:val="none" w:sz="0" w:space="0" w:color="auto"/>
        <w:bottom w:val="none" w:sz="0" w:space="0" w:color="auto"/>
        <w:right w:val="none" w:sz="0" w:space="0" w:color="auto"/>
      </w:divBdr>
    </w:div>
    <w:div w:id="1153569151">
      <w:bodyDiv w:val="1"/>
      <w:marLeft w:val="0"/>
      <w:marRight w:val="0"/>
      <w:marTop w:val="0"/>
      <w:marBottom w:val="0"/>
      <w:divBdr>
        <w:top w:val="none" w:sz="0" w:space="0" w:color="auto"/>
        <w:left w:val="none" w:sz="0" w:space="0" w:color="auto"/>
        <w:bottom w:val="none" w:sz="0" w:space="0" w:color="auto"/>
        <w:right w:val="none" w:sz="0" w:space="0" w:color="auto"/>
      </w:divBdr>
    </w:div>
    <w:div w:id="1167751992">
      <w:bodyDiv w:val="1"/>
      <w:marLeft w:val="0"/>
      <w:marRight w:val="0"/>
      <w:marTop w:val="0"/>
      <w:marBottom w:val="0"/>
      <w:divBdr>
        <w:top w:val="none" w:sz="0" w:space="0" w:color="auto"/>
        <w:left w:val="none" w:sz="0" w:space="0" w:color="auto"/>
        <w:bottom w:val="none" w:sz="0" w:space="0" w:color="auto"/>
        <w:right w:val="none" w:sz="0" w:space="0" w:color="auto"/>
      </w:divBdr>
    </w:div>
    <w:div w:id="1169753929">
      <w:bodyDiv w:val="1"/>
      <w:marLeft w:val="0"/>
      <w:marRight w:val="0"/>
      <w:marTop w:val="0"/>
      <w:marBottom w:val="0"/>
      <w:divBdr>
        <w:top w:val="none" w:sz="0" w:space="0" w:color="auto"/>
        <w:left w:val="none" w:sz="0" w:space="0" w:color="auto"/>
        <w:bottom w:val="none" w:sz="0" w:space="0" w:color="auto"/>
        <w:right w:val="none" w:sz="0" w:space="0" w:color="auto"/>
      </w:divBdr>
    </w:div>
    <w:div w:id="1178929612">
      <w:bodyDiv w:val="1"/>
      <w:marLeft w:val="0"/>
      <w:marRight w:val="0"/>
      <w:marTop w:val="0"/>
      <w:marBottom w:val="0"/>
      <w:divBdr>
        <w:top w:val="none" w:sz="0" w:space="0" w:color="auto"/>
        <w:left w:val="none" w:sz="0" w:space="0" w:color="auto"/>
        <w:bottom w:val="none" w:sz="0" w:space="0" w:color="auto"/>
        <w:right w:val="none" w:sz="0" w:space="0" w:color="auto"/>
      </w:divBdr>
    </w:div>
    <w:div w:id="1210872945">
      <w:bodyDiv w:val="1"/>
      <w:marLeft w:val="0"/>
      <w:marRight w:val="0"/>
      <w:marTop w:val="0"/>
      <w:marBottom w:val="0"/>
      <w:divBdr>
        <w:top w:val="none" w:sz="0" w:space="0" w:color="auto"/>
        <w:left w:val="none" w:sz="0" w:space="0" w:color="auto"/>
        <w:bottom w:val="none" w:sz="0" w:space="0" w:color="auto"/>
        <w:right w:val="none" w:sz="0" w:space="0" w:color="auto"/>
      </w:divBdr>
    </w:div>
    <w:div w:id="1228807922">
      <w:bodyDiv w:val="1"/>
      <w:marLeft w:val="0"/>
      <w:marRight w:val="0"/>
      <w:marTop w:val="0"/>
      <w:marBottom w:val="0"/>
      <w:divBdr>
        <w:top w:val="none" w:sz="0" w:space="0" w:color="auto"/>
        <w:left w:val="none" w:sz="0" w:space="0" w:color="auto"/>
        <w:bottom w:val="none" w:sz="0" w:space="0" w:color="auto"/>
        <w:right w:val="none" w:sz="0" w:space="0" w:color="auto"/>
      </w:divBdr>
      <w:divsChild>
        <w:div w:id="150608519">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246961846">
      <w:bodyDiv w:val="1"/>
      <w:marLeft w:val="0"/>
      <w:marRight w:val="0"/>
      <w:marTop w:val="0"/>
      <w:marBottom w:val="0"/>
      <w:divBdr>
        <w:top w:val="none" w:sz="0" w:space="0" w:color="auto"/>
        <w:left w:val="none" w:sz="0" w:space="0" w:color="auto"/>
        <w:bottom w:val="none" w:sz="0" w:space="0" w:color="auto"/>
        <w:right w:val="none" w:sz="0" w:space="0" w:color="auto"/>
      </w:divBdr>
    </w:div>
    <w:div w:id="1257402588">
      <w:bodyDiv w:val="1"/>
      <w:marLeft w:val="0"/>
      <w:marRight w:val="0"/>
      <w:marTop w:val="0"/>
      <w:marBottom w:val="0"/>
      <w:divBdr>
        <w:top w:val="none" w:sz="0" w:space="0" w:color="auto"/>
        <w:left w:val="none" w:sz="0" w:space="0" w:color="auto"/>
        <w:bottom w:val="none" w:sz="0" w:space="0" w:color="auto"/>
        <w:right w:val="none" w:sz="0" w:space="0" w:color="auto"/>
      </w:divBdr>
      <w:divsChild>
        <w:div w:id="315719410">
          <w:blockQuote w:val="1"/>
          <w:marLeft w:val="0"/>
          <w:marRight w:val="0"/>
          <w:marTop w:val="0"/>
          <w:marBottom w:val="0"/>
          <w:divBdr>
            <w:top w:val="none" w:sz="0" w:space="0" w:color="auto"/>
            <w:left w:val="single" w:sz="6" w:space="18" w:color="999999"/>
            <w:bottom w:val="none" w:sz="0" w:space="0" w:color="auto"/>
            <w:right w:val="none" w:sz="0" w:space="0" w:color="auto"/>
          </w:divBdr>
          <w:divsChild>
            <w:div w:id="20050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99578">
      <w:bodyDiv w:val="1"/>
      <w:marLeft w:val="0"/>
      <w:marRight w:val="0"/>
      <w:marTop w:val="0"/>
      <w:marBottom w:val="0"/>
      <w:divBdr>
        <w:top w:val="none" w:sz="0" w:space="0" w:color="auto"/>
        <w:left w:val="none" w:sz="0" w:space="0" w:color="auto"/>
        <w:bottom w:val="none" w:sz="0" w:space="0" w:color="auto"/>
        <w:right w:val="none" w:sz="0" w:space="0" w:color="auto"/>
      </w:divBdr>
    </w:div>
    <w:div w:id="1314410330">
      <w:bodyDiv w:val="1"/>
      <w:marLeft w:val="0"/>
      <w:marRight w:val="0"/>
      <w:marTop w:val="0"/>
      <w:marBottom w:val="0"/>
      <w:divBdr>
        <w:top w:val="none" w:sz="0" w:space="0" w:color="auto"/>
        <w:left w:val="none" w:sz="0" w:space="0" w:color="auto"/>
        <w:bottom w:val="none" w:sz="0" w:space="0" w:color="auto"/>
        <w:right w:val="none" w:sz="0" w:space="0" w:color="auto"/>
      </w:divBdr>
    </w:div>
    <w:div w:id="1314793167">
      <w:bodyDiv w:val="1"/>
      <w:marLeft w:val="0"/>
      <w:marRight w:val="0"/>
      <w:marTop w:val="0"/>
      <w:marBottom w:val="0"/>
      <w:divBdr>
        <w:top w:val="none" w:sz="0" w:space="0" w:color="auto"/>
        <w:left w:val="none" w:sz="0" w:space="0" w:color="auto"/>
        <w:bottom w:val="none" w:sz="0" w:space="0" w:color="auto"/>
        <w:right w:val="none" w:sz="0" w:space="0" w:color="auto"/>
      </w:divBdr>
    </w:div>
    <w:div w:id="1326400105">
      <w:bodyDiv w:val="1"/>
      <w:marLeft w:val="0"/>
      <w:marRight w:val="0"/>
      <w:marTop w:val="0"/>
      <w:marBottom w:val="0"/>
      <w:divBdr>
        <w:top w:val="none" w:sz="0" w:space="0" w:color="auto"/>
        <w:left w:val="none" w:sz="0" w:space="0" w:color="auto"/>
        <w:bottom w:val="none" w:sz="0" w:space="0" w:color="auto"/>
        <w:right w:val="none" w:sz="0" w:space="0" w:color="auto"/>
      </w:divBdr>
    </w:div>
    <w:div w:id="1336029420">
      <w:bodyDiv w:val="1"/>
      <w:marLeft w:val="0"/>
      <w:marRight w:val="0"/>
      <w:marTop w:val="0"/>
      <w:marBottom w:val="0"/>
      <w:divBdr>
        <w:top w:val="none" w:sz="0" w:space="0" w:color="auto"/>
        <w:left w:val="none" w:sz="0" w:space="0" w:color="auto"/>
        <w:bottom w:val="none" w:sz="0" w:space="0" w:color="auto"/>
        <w:right w:val="none" w:sz="0" w:space="0" w:color="auto"/>
      </w:divBdr>
    </w:div>
    <w:div w:id="1357923134">
      <w:bodyDiv w:val="1"/>
      <w:marLeft w:val="0"/>
      <w:marRight w:val="0"/>
      <w:marTop w:val="0"/>
      <w:marBottom w:val="0"/>
      <w:divBdr>
        <w:top w:val="none" w:sz="0" w:space="0" w:color="auto"/>
        <w:left w:val="none" w:sz="0" w:space="0" w:color="auto"/>
        <w:bottom w:val="none" w:sz="0" w:space="0" w:color="auto"/>
        <w:right w:val="none" w:sz="0" w:space="0" w:color="auto"/>
      </w:divBdr>
    </w:div>
    <w:div w:id="1358501095">
      <w:bodyDiv w:val="1"/>
      <w:marLeft w:val="0"/>
      <w:marRight w:val="0"/>
      <w:marTop w:val="0"/>
      <w:marBottom w:val="0"/>
      <w:divBdr>
        <w:top w:val="none" w:sz="0" w:space="0" w:color="auto"/>
        <w:left w:val="none" w:sz="0" w:space="0" w:color="auto"/>
        <w:bottom w:val="none" w:sz="0" w:space="0" w:color="auto"/>
        <w:right w:val="none" w:sz="0" w:space="0" w:color="auto"/>
      </w:divBdr>
    </w:div>
    <w:div w:id="1370299032">
      <w:bodyDiv w:val="1"/>
      <w:marLeft w:val="0"/>
      <w:marRight w:val="0"/>
      <w:marTop w:val="0"/>
      <w:marBottom w:val="0"/>
      <w:divBdr>
        <w:top w:val="none" w:sz="0" w:space="0" w:color="auto"/>
        <w:left w:val="none" w:sz="0" w:space="0" w:color="auto"/>
        <w:bottom w:val="none" w:sz="0" w:space="0" w:color="auto"/>
        <w:right w:val="none" w:sz="0" w:space="0" w:color="auto"/>
      </w:divBdr>
    </w:div>
    <w:div w:id="1395396185">
      <w:bodyDiv w:val="1"/>
      <w:marLeft w:val="0"/>
      <w:marRight w:val="0"/>
      <w:marTop w:val="0"/>
      <w:marBottom w:val="0"/>
      <w:divBdr>
        <w:top w:val="none" w:sz="0" w:space="0" w:color="auto"/>
        <w:left w:val="none" w:sz="0" w:space="0" w:color="auto"/>
        <w:bottom w:val="none" w:sz="0" w:space="0" w:color="auto"/>
        <w:right w:val="none" w:sz="0" w:space="0" w:color="auto"/>
      </w:divBdr>
    </w:div>
    <w:div w:id="1407606206">
      <w:bodyDiv w:val="1"/>
      <w:marLeft w:val="0"/>
      <w:marRight w:val="0"/>
      <w:marTop w:val="0"/>
      <w:marBottom w:val="0"/>
      <w:divBdr>
        <w:top w:val="none" w:sz="0" w:space="0" w:color="auto"/>
        <w:left w:val="none" w:sz="0" w:space="0" w:color="auto"/>
        <w:bottom w:val="none" w:sz="0" w:space="0" w:color="auto"/>
        <w:right w:val="none" w:sz="0" w:space="0" w:color="auto"/>
      </w:divBdr>
    </w:div>
    <w:div w:id="1409572128">
      <w:bodyDiv w:val="1"/>
      <w:marLeft w:val="0"/>
      <w:marRight w:val="0"/>
      <w:marTop w:val="0"/>
      <w:marBottom w:val="0"/>
      <w:divBdr>
        <w:top w:val="none" w:sz="0" w:space="0" w:color="auto"/>
        <w:left w:val="none" w:sz="0" w:space="0" w:color="auto"/>
        <w:bottom w:val="none" w:sz="0" w:space="0" w:color="auto"/>
        <w:right w:val="none" w:sz="0" w:space="0" w:color="auto"/>
      </w:divBdr>
    </w:div>
    <w:div w:id="1412047833">
      <w:bodyDiv w:val="1"/>
      <w:marLeft w:val="0"/>
      <w:marRight w:val="0"/>
      <w:marTop w:val="0"/>
      <w:marBottom w:val="0"/>
      <w:divBdr>
        <w:top w:val="none" w:sz="0" w:space="0" w:color="auto"/>
        <w:left w:val="none" w:sz="0" w:space="0" w:color="auto"/>
        <w:bottom w:val="none" w:sz="0" w:space="0" w:color="auto"/>
        <w:right w:val="none" w:sz="0" w:space="0" w:color="auto"/>
      </w:divBdr>
    </w:div>
    <w:div w:id="1415394616">
      <w:bodyDiv w:val="1"/>
      <w:marLeft w:val="0"/>
      <w:marRight w:val="0"/>
      <w:marTop w:val="0"/>
      <w:marBottom w:val="0"/>
      <w:divBdr>
        <w:top w:val="none" w:sz="0" w:space="0" w:color="auto"/>
        <w:left w:val="none" w:sz="0" w:space="0" w:color="auto"/>
        <w:bottom w:val="none" w:sz="0" w:space="0" w:color="auto"/>
        <w:right w:val="none" w:sz="0" w:space="0" w:color="auto"/>
      </w:divBdr>
    </w:div>
    <w:div w:id="1432897492">
      <w:bodyDiv w:val="1"/>
      <w:marLeft w:val="0"/>
      <w:marRight w:val="0"/>
      <w:marTop w:val="0"/>
      <w:marBottom w:val="0"/>
      <w:divBdr>
        <w:top w:val="none" w:sz="0" w:space="0" w:color="auto"/>
        <w:left w:val="none" w:sz="0" w:space="0" w:color="auto"/>
        <w:bottom w:val="none" w:sz="0" w:space="0" w:color="auto"/>
        <w:right w:val="none" w:sz="0" w:space="0" w:color="auto"/>
      </w:divBdr>
    </w:div>
    <w:div w:id="1445536228">
      <w:bodyDiv w:val="1"/>
      <w:marLeft w:val="0"/>
      <w:marRight w:val="0"/>
      <w:marTop w:val="0"/>
      <w:marBottom w:val="0"/>
      <w:divBdr>
        <w:top w:val="none" w:sz="0" w:space="0" w:color="auto"/>
        <w:left w:val="none" w:sz="0" w:space="0" w:color="auto"/>
        <w:bottom w:val="none" w:sz="0" w:space="0" w:color="auto"/>
        <w:right w:val="none" w:sz="0" w:space="0" w:color="auto"/>
      </w:divBdr>
    </w:div>
    <w:div w:id="1478843517">
      <w:bodyDiv w:val="1"/>
      <w:marLeft w:val="0"/>
      <w:marRight w:val="0"/>
      <w:marTop w:val="0"/>
      <w:marBottom w:val="0"/>
      <w:divBdr>
        <w:top w:val="none" w:sz="0" w:space="0" w:color="auto"/>
        <w:left w:val="none" w:sz="0" w:space="0" w:color="auto"/>
        <w:bottom w:val="none" w:sz="0" w:space="0" w:color="auto"/>
        <w:right w:val="none" w:sz="0" w:space="0" w:color="auto"/>
      </w:divBdr>
    </w:div>
    <w:div w:id="1534343628">
      <w:bodyDiv w:val="1"/>
      <w:marLeft w:val="0"/>
      <w:marRight w:val="0"/>
      <w:marTop w:val="0"/>
      <w:marBottom w:val="0"/>
      <w:divBdr>
        <w:top w:val="none" w:sz="0" w:space="0" w:color="auto"/>
        <w:left w:val="none" w:sz="0" w:space="0" w:color="auto"/>
        <w:bottom w:val="none" w:sz="0" w:space="0" w:color="auto"/>
        <w:right w:val="none" w:sz="0" w:space="0" w:color="auto"/>
      </w:divBdr>
    </w:div>
    <w:div w:id="1547177325">
      <w:bodyDiv w:val="1"/>
      <w:marLeft w:val="0"/>
      <w:marRight w:val="0"/>
      <w:marTop w:val="0"/>
      <w:marBottom w:val="0"/>
      <w:divBdr>
        <w:top w:val="none" w:sz="0" w:space="0" w:color="auto"/>
        <w:left w:val="none" w:sz="0" w:space="0" w:color="auto"/>
        <w:bottom w:val="none" w:sz="0" w:space="0" w:color="auto"/>
        <w:right w:val="none" w:sz="0" w:space="0" w:color="auto"/>
      </w:divBdr>
    </w:div>
    <w:div w:id="1561940144">
      <w:bodyDiv w:val="1"/>
      <w:marLeft w:val="0"/>
      <w:marRight w:val="0"/>
      <w:marTop w:val="0"/>
      <w:marBottom w:val="0"/>
      <w:divBdr>
        <w:top w:val="none" w:sz="0" w:space="0" w:color="auto"/>
        <w:left w:val="none" w:sz="0" w:space="0" w:color="auto"/>
        <w:bottom w:val="none" w:sz="0" w:space="0" w:color="auto"/>
        <w:right w:val="none" w:sz="0" w:space="0" w:color="auto"/>
      </w:divBdr>
    </w:div>
    <w:div w:id="1574048904">
      <w:bodyDiv w:val="1"/>
      <w:marLeft w:val="0"/>
      <w:marRight w:val="0"/>
      <w:marTop w:val="0"/>
      <w:marBottom w:val="0"/>
      <w:divBdr>
        <w:top w:val="none" w:sz="0" w:space="0" w:color="auto"/>
        <w:left w:val="none" w:sz="0" w:space="0" w:color="auto"/>
        <w:bottom w:val="none" w:sz="0" w:space="0" w:color="auto"/>
        <w:right w:val="none" w:sz="0" w:space="0" w:color="auto"/>
      </w:divBdr>
    </w:div>
    <w:div w:id="1609003207">
      <w:bodyDiv w:val="1"/>
      <w:marLeft w:val="0"/>
      <w:marRight w:val="0"/>
      <w:marTop w:val="0"/>
      <w:marBottom w:val="0"/>
      <w:divBdr>
        <w:top w:val="none" w:sz="0" w:space="0" w:color="auto"/>
        <w:left w:val="none" w:sz="0" w:space="0" w:color="auto"/>
        <w:bottom w:val="none" w:sz="0" w:space="0" w:color="auto"/>
        <w:right w:val="none" w:sz="0" w:space="0" w:color="auto"/>
      </w:divBdr>
    </w:div>
    <w:div w:id="1627468672">
      <w:bodyDiv w:val="1"/>
      <w:marLeft w:val="0"/>
      <w:marRight w:val="0"/>
      <w:marTop w:val="0"/>
      <w:marBottom w:val="0"/>
      <w:divBdr>
        <w:top w:val="none" w:sz="0" w:space="0" w:color="auto"/>
        <w:left w:val="none" w:sz="0" w:space="0" w:color="auto"/>
        <w:bottom w:val="none" w:sz="0" w:space="0" w:color="auto"/>
        <w:right w:val="none" w:sz="0" w:space="0" w:color="auto"/>
      </w:divBdr>
    </w:div>
    <w:div w:id="1642078899">
      <w:bodyDiv w:val="1"/>
      <w:marLeft w:val="0"/>
      <w:marRight w:val="0"/>
      <w:marTop w:val="0"/>
      <w:marBottom w:val="0"/>
      <w:divBdr>
        <w:top w:val="none" w:sz="0" w:space="0" w:color="auto"/>
        <w:left w:val="none" w:sz="0" w:space="0" w:color="auto"/>
        <w:bottom w:val="none" w:sz="0" w:space="0" w:color="auto"/>
        <w:right w:val="none" w:sz="0" w:space="0" w:color="auto"/>
      </w:divBdr>
    </w:div>
    <w:div w:id="1702047871">
      <w:bodyDiv w:val="1"/>
      <w:marLeft w:val="0"/>
      <w:marRight w:val="0"/>
      <w:marTop w:val="0"/>
      <w:marBottom w:val="0"/>
      <w:divBdr>
        <w:top w:val="none" w:sz="0" w:space="0" w:color="auto"/>
        <w:left w:val="none" w:sz="0" w:space="0" w:color="auto"/>
        <w:bottom w:val="none" w:sz="0" w:space="0" w:color="auto"/>
        <w:right w:val="none" w:sz="0" w:space="0" w:color="auto"/>
      </w:divBdr>
    </w:div>
    <w:div w:id="1703358659">
      <w:bodyDiv w:val="1"/>
      <w:marLeft w:val="0"/>
      <w:marRight w:val="0"/>
      <w:marTop w:val="0"/>
      <w:marBottom w:val="0"/>
      <w:divBdr>
        <w:top w:val="none" w:sz="0" w:space="0" w:color="auto"/>
        <w:left w:val="none" w:sz="0" w:space="0" w:color="auto"/>
        <w:bottom w:val="none" w:sz="0" w:space="0" w:color="auto"/>
        <w:right w:val="none" w:sz="0" w:space="0" w:color="auto"/>
      </w:divBdr>
    </w:div>
    <w:div w:id="1719862602">
      <w:bodyDiv w:val="1"/>
      <w:marLeft w:val="0"/>
      <w:marRight w:val="0"/>
      <w:marTop w:val="0"/>
      <w:marBottom w:val="0"/>
      <w:divBdr>
        <w:top w:val="none" w:sz="0" w:space="0" w:color="auto"/>
        <w:left w:val="none" w:sz="0" w:space="0" w:color="auto"/>
        <w:bottom w:val="none" w:sz="0" w:space="0" w:color="auto"/>
        <w:right w:val="none" w:sz="0" w:space="0" w:color="auto"/>
      </w:divBdr>
    </w:div>
    <w:div w:id="1721054504">
      <w:bodyDiv w:val="1"/>
      <w:marLeft w:val="0"/>
      <w:marRight w:val="0"/>
      <w:marTop w:val="0"/>
      <w:marBottom w:val="0"/>
      <w:divBdr>
        <w:top w:val="none" w:sz="0" w:space="0" w:color="auto"/>
        <w:left w:val="none" w:sz="0" w:space="0" w:color="auto"/>
        <w:bottom w:val="none" w:sz="0" w:space="0" w:color="auto"/>
        <w:right w:val="none" w:sz="0" w:space="0" w:color="auto"/>
      </w:divBdr>
    </w:div>
    <w:div w:id="1742480363">
      <w:bodyDiv w:val="1"/>
      <w:marLeft w:val="0"/>
      <w:marRight w:val="0"/>
      <w:marTop w:val="0"/>
      <w:marBottom w:val="0"/>
      <w:divBdr>
        <w:top w:val="none" w:sz="0" w:space="0" w:color="auto"/>
        <w:left w:val="none" w:sz="0" w:space="0" w:color="auto"/>
        <w:bottom w:val="none" w:sz="0" w:space="0" w:color="auto"/>
        <w:right w:val="none" w:sz="0" w:space="0" w:color="auto"/>
      </w:divBdr>
    </w:div>
    <w:div w:id="1761488693">
      <w:bodyDiv w:val="1"/>
      <w:marLeft w:val="0"/>
      <w:marRight w:val="0"/>
      <w:marTop w:val="0"/>
      <w:marBottom w:val="0"/>
      <w:divBdr>
        <w:top w:val="none" w:sz="0" w:space="0" w:color="auto"/>
        <w:left w:val="none" w:sz="0" w:space="0" w:color="auto"/>
        <w:bottom w:val="none" w:sz="0" w:space="0" w:color="auto"/>
        <w:right w:val="none" w:sz="0" w:space="0" w:color="auto"/>
      </w:divBdr>
    </w:div>
    <w:div w:id="1778863096">
      <w:bodyDiv w:val="1"/>
      <w:marLeft w:val="0"/>
      <w:marRight w:val="0"/>
      <w:marTop w:val="0"/>
      <w:marBottom w:val="0"/>
      <w:divBdr>
        <w:top w:val="none" w:sz="0" w:space="0" w:color="auto"/>
        <w:left w:val="none" w:sz="0" w:space="0" w:color="auto"/>
        <w:bottom w:val="none" w:sz="0" w:space="0" w:color="auto"/>
        <w:right w:val="none" w:sz="0" w:space="0" w:color="auto"/>
      </w:divBdr>
    </w:div>
    <w:div w:id="1792823265">
      <w:bodyDiv w:val="1"/>
      <w:marLeft w:val="0"/>
      <w:marRight w:val="0"/>
      <w:marTop w:val="0"/>
      <w:marBottom w:val="0"/>
      <w:divBdr>
        <w:top w:val="none" w:sz="0" w:space="0" w:color="auto"/>
        <w:left w:val="none" w:sz="0" w:space="0" w:color="auto"/>
        <w:bottom w:val="none" w:sz="0" w:space="0" w:color="auto"/>
        <w:right w:val="none" w:sz="0" w:space="0" w:color="auto"/>
      </w:divBdr>
    </w:div>
    <w:div w:id="1797485746">
      <w:bodyDiv w:val="1"/>
      <w:marLeft w:val="0"/>
      <w:marRight w:val="0"/>
      <w:marTop w:val="0"/>
      <w:marBottom w:val="0"/>
      <w:divBdr>
        <w:top w:val="none" w:sz="0" w:space="0" w:color="auto"/>
        <w:left w:val="none" w:sz="0" w:space="0" w:color="auto"/>
        <w:bottom w:val="none" w:sz="0" w:space="0" w:color="auto"/>
        <w:right w:val="none" w:sz="0" w:space="0" w:color="auto"/>
      </w:divBdr>
    </w:div>
    <w:div w:id="1839030624">
      <w:bodyDiv w:val="1"/>
      <w:marLeft w:val="0"/>
      <w:marRight w:val="0"/>
      <w:marTop w:val="0"/>
      <w:marBottom w:val="0"/>
      <w:divBdr>
        <w:top w:val="none" w:sz="0" w:space="0" w:color="auto"/>
        <w:left w:val="none" w:sz="0" w:space="0" w:color="auto"/>
        <w:bottom w:val="none" w:sz="0" w:space="0" w:color="auto"/>
        <w:right w:val="none" w:sz="0" w:space="0" w:color="auto"/>
      </w:divBdr>
    </w:div>
    <w:div w:id="1881549211">
      <w:bodyDiv w:val="1"/>
      <w:marLeft w:val="0"/>
      <w:marRight w:val="0"/>
      <w:marTop w:val="0"/>
      <w:marBottom w:val="0"/>
      <w:divBdr>
        <w:top w:val="none" w:sz="0" w:space="0" w:color="auto"/>
        <w:left w:val="none" w:sz="0" w:space="0" w:color="auto"/>
        <w:bottom w:val="none" w:sz="0" w:space="0" w:color="auto"/>
        <w:right w:val="none" w:sz="0" w:space="0" w:color="auto"/>
      </w:divBdr>
    </w:div>
    <w:div w:id="1884825102">
      <w:bodyDiv w:val="1"/>
      <w:marLeft w:val="0"/>
      <w:marRight w:val="0"/>
      <w:marTop w:val="0"/>
      <w:marBottom w:val="0"/>
      <w:divBdr>
        <w:top w:val="none" w:sz="0" w:space="0" w:color="auto"/>
        <w:left w:val="none" w:sz="0" w:space="0" w:color="auto"/>
        <w:bottom w:val="none" w:sz="0" w:space="0" w:color="auto"/>
        <w:right w:val="none" w:sz="0" w:space="0" w:color="auto"/>
      </w:divBdr>
    </w:div>
    <w:div w:id="1894005110">
      <w:bodyDiv w:val="1"/>
      <w:marLeft w:val="0"/>
      <w:marRight w:val="0"/>
      <w:marTop w:val="0"/>
      <w:marBottom w:val="0"/>
      <w:divBdr>
        <w:top w:val="none" w:sz="0" w:space="0" w:color="auto"/>
        <w:left w:val="none" w:sz="0" w:space="0" w:color="auto"/>
        <w:bottom w:val="none" w:sz="0" w:space="0" w:color="auto"/>
        <w:right w:val="none" w:sz="0" w:space="0" w:color="auto"/>
      </w:divBdr>
    </w:div>
    <w:div w:id="1894270484">
      <w:bodyDiv w:val="1"/>
      <w:marLeft w:val="0"/>
      <w:marRight w:val="0"/>
      <w:marTop w:val="0"/>
      <w:marBottom w:val="0"/>
      <w:divBdr>
        <w:top w:val="none" w:sz="0" w:space="0" w:color="auto"/>
        <w:left w:val="none" w:sz="0" w:space="0" w:color="auto"/>
        <w:bottom w:val="none" w:sz="0" w:space="0" w:color="auto"/>
        <w:right w:val="none" w:sz="0" w:space="0" w:color="auto"/>
      </w:divBdr>
    </w:div>
    <w:div w:id="1900700179">
      <w:bodyDiv w:val="1"/>
      <w:marLeft w:val="0"/>
      <w:marRight w:val="0"/>
      <w:marTop w:val="0"/>
      <w:marBottom w:val="0"/>
      <w:divBdr>
        <w:top w:val="none" w:sz="0" w:space="0" w:color="auto"/>
        <w:left w:val="none" w:sz="0" w:space="0" w:color="auto"/>
        <w:bottom w:val="none" w:sz="0" w:space="0" w:color="auto"/>
        <w:right w:val="none" w:sz="0" w:space="0" w:color="auto"/>
      </w:divBdr>
    </w:div>
    <w:div w:id="1910769138">
      <w:bodyDiv w:val="1"/>
      <w:marLeft w:val="0"/>
      <w:marRight w:val="0"/>
      <w:marTop w:val="0"/>
      <w:marBottom w:val="0"/>
      <w:divBdr>
        <w:top w:val="none" w:sz="0" w:space="0" w:color="auto"/>
        <w:left w:val="none" w:sz="0" w:space="0" w:color="auto"/>
        <w:bottom w:val="none" w:sz="0" w:space="0" w:color="auto"/>
        <w:right w:val="none" w:sz="0" w:space="0" w:color="auto"/>
      </w:divBdr>
    </w:div>
    <w:div w:id="1927838604">
      <w:bodyDiv w:val="1"/>
      <w:marLeft w:val="0"/>
      <w:marRight w:val="0"/>
      <w:marTop w:val="0"/>
      <w:marBottom w:val="0"/>
      <w:divBdr>
        <w:top w:val="none" w:sz="0" w:space="0" w:color="auto"/>
        <w:left w:val="none" w:sz="0" w:space="0" w:color="auto"/>
        <w:bottom w:val="none" w:sz="0" w:space="0" w:color="auto"/>
        <w:right w:val="none" w:sz="0" w:space="0" w:color="auto"/>
      </w:divBdr>
    </w:div>
    <w:div w:id="1979718865">
      <w:bodyDiv w:val="1"/>
      <w:marLeft w:val="0"/>
      <w:marRight w:val="0"/>
      <w:marTop w:val="0"/>
      <w:marBottom w:val="0"/>
      <w:divBdr>
        <w:top w:val="none" w:sz="0" w:space="0" w:color="auto"/>
        <w:left w:val="none" w:sz="0" w:space="0" w:color="auto"/>
        <w:bottom w:val="none" w:sz="0" w:space="0" w:color="auto"/>
        <w:right w:val="none" w:sz="0" w:space="0" w:color="auto"/>
      </w:divBdr>
    </w:div>
    <w:div w:id="1979993442">
      <w:bodyDiv w:val="1"/>
      <w:marLeft w:val="0"/>
      <w:marRight w:val="0"/>
      <w:marTop w:val="0"/>
      <w:marBottom w:val="0"/>
      <w:divBdr>
        <w:top w:val="none" w:sz="0" w:space="0" w:color="auto"/>
        <w:left w:val="none" w:sz="0" w:space="0" w:color="auto"/>
        <w:bottom w:val="none" w:sz="0" w:space="0" w:color="auto"/>
        <w:right w:val="none" w:sz="0" w:space="0" w:color="auto"/>
      </w:divBdr>
    </w:div>
    <w:div w:id="1984966197">
      <w:bodyDiv w:val="1"/>
      <w:marLeft w:val="0"/>
      <w:marRight w:val="0"/>
      <w:marTop w:val="0"/>
      <w:marBottom w:val="0"/>
      <w:divBdr>
        <w:top w:val="none" w:sz="0" w:space="0" w:color="auto"/>
        <w:left w:val="none" w:sz="0" w:space="0" w:color="auto"/>
        <w:bottom w:val="none" w:sz="0" w:space="0" w:color="auto"/>
        <w:right w:val="none" w:sz="0" w:space="0" w:color="auto"/>
      </w:divBdr>
    </w:div>
    <w:div w:id="1988438112">
      <w:bodyDiv w:val="1"/>
      <w:marLeft w:val="0"/>
      <w:marRight w:val="0"/>
      <w:marTop w:val="0"/>
      <w:marBottom w:val="0"/>
      <w:divBdr>
        <w:top w:val="none" w:sz="0" w:space="0" w:color="auto"/>
        <w:left w:val="none" w:sz="0" w:space="0" w:color="auto"/>
        <w:bottom w:val="none" w:sz="0" w:space="0" w:color="auto"/>
        <w:right w:val="none" w:sz="0" w:space="0" w:color="auto"/>
      </w:divBdr>
    </w:div>
    <w:div w:id="2004552273">
      <w:bodyDiv w:val="1"/>
      <w:marLeft w:val="0"/>
      <w:marRight w:val="0"/>
      <w:marTop w:val="0"/>
      <w:marBottom w:val="0"/>
      <w:divBdr>
        <w:top w:val="none" w:sz="0" w:space="0" w:color="auto"/>
        <w:left w:val="none" w:sz="0" w:space="0" w:color="auto"/>
        <w:bottom w:val="none" w:sz="0" w:space="0" w:color="auto"/>
        <w:right w:val="none" w:sz="0" w:space="0" w:color="auto"/>
      </w:divBdr>
    </w:div>
    <w:div w:id="2018844007">
      <w:bodyDiv w:val="1"/>
      <w:marLeft w:val="0"/>
      <w:marRight w:val="0"/>
      <w:marTop w:val="0"/>
      <w:marBottom w:val="0"/>
      <w:divBdr>
        <w:top w:val="none" w:sz="0" w:space="0" w:color="auto"/>
        <w:left w:val="none" w:sz="0" w:space="0" w:color="auto"/>
        <w:bottom w:val="none" w:sz="0" w:space="0" w:color="auto"/>
        <w:right w:val="none" w:sz="0" w:space="0" w:color="auto"/>
      </w:divBdr>
    </w:div>
    <w:div w:id="2028286043">
      <w:bodyDiv w:val="1"/>
      <w:marLeft w:val="0"/>
      <w:marRight w:val="0"/>
      <w:marTop w:val="0"/>
      <w:marBottom w:val="0"/>
      <w:divBdr>
        <w:top w:val="none" w:sz="0" w:space="0" w:color="auto"/>
        <w:left w:val="none" w:sz="0" w:space="0" w:color="auto"/>
        <w:bottom w:val="none" w:sz="0" w:space="0" w:color="auto"/>
        <w:right w:val="none" w:sz="0" w:space="0" w:color="auto"/>
      </w:divBdr>
    </w:div>
    <w:div w:id="2048217094">
      <w:bodyDiv w:val="1"/>
      <w:marLeft w:val="0"/>
      <w:marRight w:val="0"/>
      <w:marTop w:val="0"/>
      <w:marBottom w:val="0"/>
      <w:divBdr>
        <w:top w:val="none" w:sz="0" w:space="0" w:color="auto"/>
        <w:left w:val="none" w:sz="0" w:space="0" w:color="auto"/>
        <w:bottom w:val="none" w:sz="0" w:space="0" w:color="auto"/>
        <w:right w:val="none" w:sz="0" w:space="0" w:color="auto"/>
      </w:divBdr>
    </w:div>
    <w:div w:id="2056734570">
      <w:bodyDiv w:val="1"/>
      <w:marLeft w:val="0"/>
      <w:marRight w:val="0"/>
      <w:marTop w:val="0"/>
      <w:marBottom w:val="0"/>
      <w:divBdr>
        <w:top w:val="none" w:sz="0" w:space="0" w:color="auto"/>
        <w:left w:val="none" w:sz="0" w:space="0" w:color="auto"/>
        <w:bottom w:val="none" w:sz="0" w:space="0" w:color="auto"/>
        <w:right w:val="none" w:sz="0" w:space="0" w:color="auto"/>
      </w:divBdr>
    </w:div>
    <w:div w:id="2062173957">
      <w:bodyDiv w:val="1"/>
      <w:marLeft w:val="0"/>
      <w:marRight w:val="0"/>
      <w:marTop w:val="0"/>
      <w:marBottom w:val="0"/>
      <w:divBdr>
        <w:top w:val="none" w:sz="0" w:space="0" w:color="auto"/>
        <w:left w:val="none" w:sz="0" w:space="0" w:color="auto"/>
        <w:bottom w:val="none" w:sz="0" w:space="0" w:color="auto"/>
        <w:right w:val="none" w:sz="0" w:space="0" w:color="auto"/>
      </w:divBdr>
    </w:div>
    <w:div w:id="2066566605">
      <w:bodyDiv w:val="1"/>
      <w:marLeft w:val="0"/>
      <w:marRight w:val="0"/>
      <w:marTop w:val="0"/>
      <w:marBottom w:val="0"/>
      <w:divBdr>
        <w:top w:val="none" w:sz="0" w:space="0" w:color="auto"/>
        <w:left w:val="none" w:sz="0" w:space="0" w:color="auto"/>
        <w:bottom w:val="none" w:sz="0" w:space="0" w:color="auto"/>
        <w:right w:val="none" w:sz="0" w:space="0" w:color="auto"/>
      </w:divBdr>
    </w:div>
    <w:div w:id="2080053949">
      <w:bodyDiv w:val="1"/>
      <w:marLeft w:val="0"/>
      <w:marRight w:val="0"/>
      <w:marTop w:val="0"/>
      <w:marBottom w:val="0"/>
      <w:divBdr>
        <w:top w:val="none" w:sz="0" w:space="0" w:color="auto"/>
        <w:left w:val="none" w:sz="0" w:space="0" w:color="auto"/>
        <w:bottom w:val="none" w:sz="0" w:space="0" w:color="auto"/>
        <w:right w:val="none" w:sz="0" w:space="0" w:color="auto"/>
      </w:divBdr>
    </w:div>
    <w:div w:id="2087681249">
      <w:bodyDiv w:val="1"/>
      <w:marLeft w:val="0"/>
      <w:marRight w:val="0"/>
      <w:marTop w:val="0"/>
      <w:marBottom w:val="0"/>
      <w:divBdr>
        <w:top w:val="none" w:sz="0" w:space="0" w:color="auto"/>
        <w:left w:val="none" w:sz="0" w:space="0" w:color="auto"/>
        <w:bottom w:val="none" w:sz="0" w:space="0" w:color="auto"/>
        <w:right w:val="none" w:sz="0" w:space="0" w:color="auto"/>
      </w:divBdr>
    </w:div>
    <w:div w:id="2099135934">
      <w:bodyDiv w:val="1"/>
      <w:marLeft w:val="0"/>
      <w:marRight w:val="0"/>
      <w:marTop w:val="0"/>
      <w:marBottom w:val="0"/>
      <w:divBdr>
        <w:top w:val="none" w:sz="0" w:space="0" w:color="auto"/>
        <w:left w:val="none" w:sz="0" w:space="0" w:color="auto"/>
        <w:bottom w:val="none" w:sz="0" w:space="0" w:color="auto"/>
        <w:right w:val="none" w:sz="0" w:space="0" w:color="auto"/>
      </w:divBdr>
    </w:div>
    <w:div w:id="2110347273">
      <w:bodyDiv w:val="1"/>
      <w:marLeft w:val="0"/>
      <w:marRight w:val="0"/>
      <w:marTop w:val="0"/>
      <w:marBottom w:val="0"/>
      <w:divBdr>
        <w:top w:val="none" w:sz="0" w:space="0" w:color="auto"/>
        <w:left w:val="none" w:sz="0" w:space="0" w:color="auto"/>
        <w:bottom w:val="none" w:sz="0" w:space="0" w:color="auto"/>
        <w:right w:val="none" w:sz="0" w:space="0" w:color="auto"/>
      </w:divBdr>
    </w:div>
    <w:div w:id="21123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lanie.chatfield@bc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ca.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a@bca.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ca.org.au/2020/11/09/the-secret/" TargetMode="External"/><Relationship Id="rId13" Type="http://schemas.openxmlformats.org/officeDocument/2006/relationships/hyperlink" Target="https://humanrights.gov.au/our-work/legal/exemption-applications-under-disability-discrimination-act-1992-cth" TargetMode="External"/><Relationship Id="rId18" Type="http://schemas.openxmlformats.org/officeDocument/2006/relationships/hyperlink" Target="https://humanrights.gov.au/free-and-equal" TargetMode="External"/><Relationship Id="rId3" Type="http://schemas.openxmlformats.org/officeDocument/2006/relationships/hyperlink" Target="https://www.theguardian.com/society/article/2024/sep/01/debra-simons-13cabs-guide-dog-complaint-ntwnfb" TargetMode="External"/><Relationship Id="rId7" Type="http://schemas.openxmlformats.org/officeDocument/2006/relationships/hyperlink" Target="https://humanrights.gov.au/about/news/sex-discrimination-acts-positive-duty-making-workplaces-safer" TargetMode="External"/><Relationship Id="rId12" Type="http://schemas.openxmlformats.org/officeDocument/2006/relationships/hyperlink" Target="https://tech.cornell.edu/news/online-microaggressions-strongly-impact-disabled-users/" TargetMode="External"/><Relationship Id="rId17" Type="http://schemas.openxmlformats.org/officeDocument/2006/relationships/hyperlink" Target="ttps://humanrights.gov.au/our-work/legal/exemption-applications-under-disability-discrimination-act-1992-cth" TargetMode="External"/><Relationship Id="rId2" Type="http://schemas.openxmlformats.org/officeDocument/2006/relationships/hyperlink" Target="https://minister.dcceew.gov.au/watt/media-releases/joint-media-release-action-red-tape-and-approvals-build-more-homes-more-quickly" TargetMode="External"/><Relationship Id="rId16" Type="http://schemas.openxmlformats.org/officeDocument/2006/relationships/hyperlink" Target="https://www.msn.com/en-au/sport/other/paralympian-jeremy-mcclure-refused-multiple-uber-rides-with-guide-dog/ar-AA1M8R1s?ocid=BingNewsSerp" TargetMode="External"/><Relationship Id="rId1" Type="http://schemas.openxmlformats.org/officeDocument/2006/relationships/hyperlink" Target="https://www.ag.gov.au/sites/default/files/2025-08/dda-issues-paper-text.DOCX" TargetMode="External"/><Relationship Id="rId6" Type="http://schemas.openxmlformats.org/officeDocument/2006/relationships/hyperlink" Target="https://humanrights.gov.au/sites/default/files/Speaking%20from%20Experience%20Report_0_0.pdf" TargetMode="External"/><Relationship Id="rId11" Type="http://schemas.openxmlformats.org/officeDocument/2006/relationships/hyperlink" Target="https://dl.acm.org/doi/10.1145/3613904.3642148" TargetMode="External"/><Relationship Id="rId5" Type="http://schemas.openxmlformats.org/officeDocument/2006/relationships/hyperlink" Target="https://www.abc.net.au/news/2025-09-08/paralympian-refused-uber-rides-with-guide-dog-discrimination/105748262" TargetMode="External"/><Relationship Id="rId15" Type="http://schemas.openxmlformats.org/officeDocument/2006/relationships/hyperlink" Target="https://www.abc.net.au/news/2024-04-06/motel-refuses-booking-guide-dog-despite-law/103675926" TargetMode="External"/><Relationship Id="rId10" Type="http://schemas.openxmlformats.org/officeDocument/2006/relationships/hyperlink" Target="http://www.iiep.unesco.org/en" TargetMode="External"/><Relationship Id="rId4" Type="http://schemas.openxmlformats.org/officeDocument/2006/relationships/hyperlink" Target="https://jec.org.au/disability-rights/disability-discrimination/after-32-refusals-guide-dog-user-paula-is-taking-on-uber-for-discrimination/" TargetMode="External"/><Relationship Id="rId9" Type="http://schemas.openxmlformats.org/officeDocument/2006/relationships/hyperlink" Target="https://www.volunteeringaustralia.org/policy/advocacy-campaigns/recognising-the-role-volunteering-plays-for-australians-living-with-disability/" TargetMode="External"/><Relationship Id="rId14" Type="http://schemas.openxmlformats.org/officeDocument/2006/relationships/hyperlink" Target="https://humanrights.gov.au/our-work/legal/australasian-railway-association-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E34EF-BE4C-40C2-A112-5E5ECDACA61B}">
  <ds:schemaRefs>
    <ds:schemaRef ds:uri="http://schemas.openxmlformats.org/officeDocument/2006/bibliography"/>
  </ds:schemaRefs>
</ds:datastoreItem>
</file>

<file path=customXml/itemProps2.xml><?xml version="1.0" encoding="utf-8"?>
<ds:datastoreItem xmlns:ds="http://schemas.openxmlformats.org/officeDocument/2006/customXml" ds:itemID="{E1404067-E6B0-499C-9B3B-E7576580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7996B-21FF-4AEC-9E51-FB880B0B7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14913</Words>
  <Characters>80682</Characters>
  <Application>Microsoft Office Word</Application>
  <DocSecurity>0</DocSecurity>
  <Lines>1646</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95280</CharactersWithSpaces>
  <SharedDoc>false</SharedDoc>
  <HLinks>
    <vt:vector size="330" baseType="variant">
      <vt:variant>
        <vt:i4>1900597</vt:i4>
      </vt:variant>
      <vt:variant>
        <vt:i4>221</vt:i4>
      </vt:variant>
      <vt:variant>
        <vt:i4>0</vt:i4>
      </vt:variant>
      <vt:variant>
        <vt:i4>5</vt:i4>
      </vt:variant>
      <vt:variant>
        <vt:lpwstr/>
      </vt:variant>
      <vt:variant>
        <vt:lpwstr>_Toc210506789</vt:lpwstr>
      </vt:variant>
      <vt:variant>
        <vt:i4>1900597</vt:i4>
      </vt:variant>
      <vt:variant>
        <vt:i4>215</vt:i4>
      </vt:variant>
      <vt:variant>
        <vt:i4>0</vt:i4>
      </vt:variant>
      <vt:variant>
        <vt:i4>5</vt:i4>
      </vt:variant>
      <vt:variant>
        <vt:lpwstr/>
      </vt:variant>
      <vt:variant>
        <vt:lpwstr>_Toc210506788</vt:lpwstr>
      </vt:variant>
      <vt:variant>
        <vt:i4>1900597</vt:i4>
      </vt:variant>
      <vt:variant>
        <vt:i4>209</vt:i4>
      </vt:variant>
      <vt:variant>
        <vt:i4>0</vt:i4>
      </vt:variant>
      <vt:variant>
        <vt:i4>5</vt:i4>
      </vt:variant>
      <vt:variant>
        <vt:lpwstr/>
      </vt:variant>
      <vt:variant>
        <vt:lpwstr>_Toc210506787</vt:lpwstr>
      </vt:variant>
      <vt:variant>
        <vt:i4>1900597</vt:i4>
      </vt:variant>
      <vt:variant>
        <vt:i4>203</vt:i4>
      </vt:variant>
      <vt:variant>
        <vt:i4>0</vt:i4>
      </vt:variant>
      <vt:variant>
        <vt:i4>5</vt:i4>
      </vt:variant>
      <vt:variant>
        <vt:lpwstr/>
      </vt:variant>
      <vt:variant>
        <vt:lpwstr>_Toc210506786</vt:lpwstr>
      </vt:variant>
      <vt:variant>
        <vt:i4>1900597</vt:i4>
      </vt:variant>
      <vt:variant>
        <vt:i4>197</vt:i4>
      </vt:variant>
      <vt:variant>
        <vt:i4>0</vt:i4>
      </vt:variant>
      <vt:variant>
        <vt:i4>5</vt:i4>
      </vt:variant>
      <vt:variant>
        <vt:lpwstr/>
      </vt:variant>
      <vt:variant>
        <vt:lpwstr>_Toc210506785</vt:lpwstr>
      </vt:variant>
      <vt:variant>
        <vt:i4>1900597</vt:i4>
      </vt:variant>
      <vt:variant>
        <vt:i4>191</vt:i4>
      </vt:variant>
      <vt:variant>
        <vt:i4>0</vt:i4>
      </vt:variant>
      <vt:variant>
        <vt:i4>5</vt:i4>
      </vt:variant>
      <vt:variant>
        <vt:lpwstr/>
      </vt:variant>
      <vt:variant>
        <vt:lpwstr>_Toc210506784</vt:lpwstr>
      </vt:variant>
      <vt:variant>
        <vt:i4>1900597</vt:i4>
      </vt:variant>
      <vt:variant>
        <vt:i4>185</vt:i4>
      </vt:variant>
      <vt:variant>
        <vt:i4>0</vt:i4>
      </vt:variant>
      <vt:variant>
        <vt:i4>5</vt:i4>
      </vt:variant>
      <vt:variant>
        <vt:lpwstr/>
      </vt:variant>
      <vt:variant>
        <vt:lpwstr>_Toc210506783</vt:lpwstr>
      </vt:variant>
      <vt:variant>
        <vt:i4>1900597</vt:i4>
      </vt:variant>
      <vt:variant>
        <vt:i4>179</vt:i4>
      </vt:variant>
      <vt:variant>
        <vt:i4>0</vt:i4>
      </vt:variant>
      <vt:variant>
        <vt:i4>5</vt:i4>
      </vt:variant>
      <vt:variant>
        <vt:lpwstr/>
      </vt:variant>
      <vt:variant>
        <vt:lpwstr>_Toc210506782</vt:lpwstr>
      </vt:variant>
      <vt:variant>
        <vt:i4>1900597</vt:i4>
      </vt:variant>
      <vt:variant>
        <vt:i4>173</vt:i4>
      </vt:variant>
      <vt:variant>
        <vt:i4>0</vt:i4>
      </vt:variant>
      <vt:variant>
        <vt:i4>5</vt:i4>
      </vt:variant>
      <vt:variant>
        <vt:lpwstr/>
      </vt:variant>
      <vt:variant>
        <vt:lpwstr>_Toc210506781</vt:lpwstr>
      </vt:variant>
      <vt:variant>
        <vt:i4>1900597</vt:i4>
      </vt:variant>
      <vt:variant>
        <vt:i4>167</vt:i4>
      </vt:variant>
      <vt:variant>
        <vt:i4>0</vt:i4>
      </vt:variant>
      <vt:variant>
        <vt:i4>5</vt:i4>
      </vt:variant>
      <vt:variant>
        <vt:lpwstr/>
      </vt:variant>
      <vt:variant>
        <vt:lpwstr>_Toc210506780</vt:lpwstr>
      </vt:variant>
      <vt:variant>
        <vt:i4>1179701</vt:i4>
      </vt:variant>
      <vt:variant>
        <vt:i4>161</vt:i4>
      </vt:variant>
      <vt:variant>
        <vt:i4>0</vt:i4>
      </vt:variant>
      <vt:variant>
        <vt:i4>5</vt:i4>
      </vt:variant>
      <vt:variant>
        <vt:lpwstr/>
      </vt:variant>
      <vt:variant>
        <vt:lpwstr>_Toc210506779</vt:lpwstr>
      </vt:variant>
      <vt:variant>
        <vt:i4>1179701</vt:i4>
      </vt:variant>
      <vt:variant>
        <vt:i4>155</vt:i4>
      </vt:variant>
      <vt:variant>
        <vt:i4>0</vt:i4>
      </vt:variant>
      <vt:variant>
        <vt:i4>5</vt:i4>
      </vt:variant>
      <vt:variant>
        <vt:lpwstr/>
      </vt:variant>
      <vt:variant>
        <vt:lpwstr>_Toc210506778</vt:lpwstr>
      </vt:variant>
      <vt:variant>
        <vt:i4>1179701</vt:i4>
      </vt:variant>
      <vt:variant>
        <vt:i4>149</vt:i4>
      </vt:variant>
      <vt:variant>
        <vt:i4>0</vt:i4>
      </vt:variant>
      <vt:variant>
        <vt:i4>5</vt:i4>
      </vt:variant>
      <vt:variant>
        <vt:lpwstr/>
      </vt:variant>
      <vt:variant>
        <vt:lpwstr>_Toc210506777</vt:lpwstr>
      </vt:variant>
      <vt:variant>
        <vt:i4>1179701</vt:i4>
      </vt:variant>
      <vt:variant>
        <vt:i4>143</vt:i4>
      </vt:variant>
      <vt:variant>
        <vt:i4>0</vt:i4>
      </vt:variant>
      <vt:variant>
        <vt:i4>5</vt:i4>
      </vt:variant>
      <vt:variant>
        <vt:lpwstr/>
      </vt:variant>
      <vt:variant>
        <vt:lpwstr>_Toc210506776</vt:lpwstr>
      </vt:variant>
      <vt:variant>
        <vt:i4>1179701</vt:i4>
      </vt:variant>
      <vt:variant>
        <vt:i4>137</vt:i4>
      </vt:variant>
      <vt:variant>
        <vt:i4>0</vt:i4>
      </vt:variant>
      <vt:variant>
        <vt:i4>5</vt:i4>
      </vt:variant>
      <vt:variant>
        <vt:lpwstr/>
      </vt:variant>
      <vt:variant>
        <vt:lpwstr>_Toc210506775</vt:lpwstr>
      </vt:variant>
      <vt:variant>
        <vt:i4>1179701</vt:i4>
      </vt:variant>
      <vt:variant>
        <vt:i4>131</vt:i4>
      </vt:variant>
      <vt:variant>
        <vt:i4>0</vt:i4>
      </vt:variant>
      <vt:variant>
        <vt:i4>5</vt:i4>
      </vt:variant>
      <vt:variant>
        <vt:lpwstr/>
      </vt:variant>
      <vt:variant>
        <vt:lpwstr>_Toc210506774</vt:lpwstr>
      </vt:variant>
      <vt:variant>
        <vt:i4>1179701</vt:i4>
      </vt:variant>
      <vt:variant>
        <vt:i4>125</vt:i4>
      </vt:variant>
      <vt:variant>
        <vt:i4>0</vt:i4>
      </vt:variant>
      <vt:variant>
        <vt:i4>5</vt:i4>
      </vt:variant>
      <vt:variant>
        <vt:lpwstr/>
      </vt:variant>
      <vt:variant>
        <vt:lpwstr>_Toc210506773</vt:lpwstr>
      </vt:variant>
      <vt:variant>
        <vt:i4>1179701</vt:i4>
      </vt:variant>
      <vt:variant>
        <vt:i4>119</vt:i4>
      </vt:variant>
      <vt:variant>
        <vt:i4>0</vt:i4>
      </vt:variant>
      <vt:variant>
        <vt:i4>5</vt:i4>
      </vt:variant>
      <vt:variant>
        <vt:lpwstr/>
      </vt:variant>
      <vt:variant>
        <vt:lpwstr>_Toc210506772</vt:lpwstr>
      </vt:variant>
      <vt:variant>
        <vt:i4>1179701</vt:i4>
      </vt:variant>
      <vt:variant>
        <vt:i4>113</vt:i4>
      </vt:variant>
      <vt:variant>
        <vt:i4>0</vt:i4>
      </vt:variant>
      <vt:variant>
        <vt:i4>5</vt:i4>
      </vt:variant>
      <vt:variant>
        <vt:lpwstr/>
      </vt:variant>
      <vt:variant>
        <vt:lpwstr>_Toc210506771</vt:lpwstr>
      </vt:variant>
      <vt:variant>
        <vt:i4>1179701</vt:i4>
      </vt:variant>
      <vt:variant>
        <vt:i4>107</vt:i4>
      </vt:variant>
      <vt:variant>
        <vt:i4>0</vt:i4>
      </vt:variant>
      <vt:variant>
        <vt:i4>5</vt:i4>
      </vt:variant>
      <vt:variant>
        <vt:lpwstr/>
      </vt:variant>
      <vt:variant>
        <vt:lpwstr>_Toc210506770</vt:lpwstr>
      </vt:variant>
      <vt:variant>
        <vt:i4>1245237</vt:i4>
      </vt:variant>
      <vt:variant>
        <vt:i4>101</vt:i4>
      </vt:variant>
      <vt:variant>
        <vt:i4>0</vt:i4>
      </vt:variant>
      <vt:variant>
        <vt:i4>5</vt:i4>
      </vt:variant>
      <vt:variant>
        <vt:lpwstr/>
      </vt:variant>
      <vt:variant>
        <vt:lpwstr>_Toc210506769</vt:lpwstr>
      </vt:variant>
      <vt:variant>
        <vt:i4>1245237</vt:i4>
      </vt:variant>
      <vt:variant>
        <vt:i4>95</vt:i4>
      </vt:variant>
      <vt:variant>
        <vt:i4>0</vt:i4>
      </vt:variant>
      <vt:variant>
        <vt:i4>5</vt:i4>
      </vt:variant>
      <vt:variant>
        <vt:lpwstr/>
      </vt:variant>
      <vt:variant>
        <vt:lpwstr>_Toc210506768</vt:lpwstr>
      </vt:variant>
      <vt:variant>
        <vt:i4>1245237</vt:i4>
      </vt:variant>
      <vt:variant>
        <vt:i4>89</vt:i4>
      </vt:variant>
      <vt:variant>
        <vt:i4>0</vt:i4>
      </vt:variant>
      <vt:variant>
        <vt:i4>5</vt:i4>
      </vt:variant>
      <vt:variant>
        <vt:lpwstr/>
      </vt:variant>
      <vt:variant>
        <vt:lpwstr>_Toc210506767</vt:lpwstr>
      </vt:variant>
      <vt:variant>
        <vt:i4>1245237</vt:i4>
      </vt:variant>
      <vt:variant>
        <vt:i4>83</vt:i4>
      </vt:variant>
      <vt:variant>
        <vt:i4>0</vt:i4>
      </vt:variant>
      <vt:variant>
        <vt:i4>5</vt:i4>
      </vt:variant>
      <vt:variant>
        <vt:lpwstr/>
      </vt:variant>
      <vt:variant>
        <vt:lpwstr>_Toc210506766</vt:lpwstr>
      </vt:variant>
      <vt:variant>
        <vt:i4>1245237</vt:i4>
      </vt:variant>
      <vt:variant>
        <vt:i4>77</vt:i4>
      </vt:variant>
      <vt:variant>
        <vt:i4>0</vt:i4>
      </vt:variant>
      <vt:variant>
        <vt:i4>5</vt:i4>
      </vt:variant>
      <vt:variant>
        <vt:lpwstr/>
      </vt:variant>
      <vt:variant>
        <vt:lpwstr>_Toc210506765</vt:lpwstr>
      </vt:variant>
      <vt:variant>
        <vt:i4>1245237</vt:i4>
      </vt:variant>
      <vt:variant>
        <vt:i4>71</vt:i4>
      </vt:variant>
      <vt:variant>
        <vt:i4>0</vt:i4>
      </vt:variant>
      <vt:variant>
        <vt:i4>5</vt:i4>
      </vt:variant>
      <vt:variant>
        <vt:lpwstr/>
      </vt:variant>
      <vt:variant>
        <vt:lpwstr>_Toc210506764</vt:lpwstr>
      </vt:variant>
      <vt:variant>
        <vt:i4>1245237</vt:i4>
      </vt:variant>
      <vt:variant>
        <vt:i4>65</vt:i4>
      </vt:variant>
      <vt:variant>
        <vt:i4>0</vt:i4>
      </vt:variant>
      <vt:variant>
        <vt:i4>5</vt:i4>
      </vt:variant>
      <vt:variant>
        <vt:lpwstr/>
      </vt:variant>
      <vt:variant>
        <vt:lpwstr>_Toc210506763</vt:lpwstr>
      </vt:variant>
      <vt:variant>
        <vt:i4>1245237</vt:i4>
      </vt:variant>
      <vt:variant>
        <vt:i4>59</vt:i4>
      </vt:variant>
      <vt:variant>
        <vt:i4>0</vt:i4>
      </vt:variant>
      <vt:variant>
        <vt:i4>5</vt:i4>
      </vt:variant>
      <vt:variant>
        <vt:lpwstr/>
      </vt:variant>
      <vt:variant>
        <vt:lpwstr>_Toc210506762</vt:lpwstr>
      </vt:variant>
      <vt:variant>
        <vt:i4>1245237</vt:i4>
      </vt:variant>
      <vt:variant>
        <vt:i4>53</vt:i4>
      </vt:variant>
      <vt:variant>
        <vt:i4>0</vt:i4>
      </vt:variant>
      <vt:variant>
        <vt:i4>5</vt:i4>
      </vt:variant>
      <vt:variant>
        <vt:lpwstr/>
      </vt:variant>
      <vt:variant>
        <vt:lpwstr>_Toc210506761</vt:lpwstr>
      </vt:variant>
      <vt:variant>
        <vt:i4>1245237</vt:i4>
      </vt:variant>
      <vt:variant>
        <vt:i4>47</vt:i4>
      </vt:variant>
      <vt:variant>
        <vt:i4>0</vt:i4>
      </vt:variant>
      <vt:variant>
        <vt:i4>5</vt:i4>
      </vt:variant>
      <vt:variant>
        <vt:lpwstr/>
      </vt:variant>
      <vt:variant>
        <vt:lpwstr>_Toc210506760</vt:lpwstr>
      </vt:variant>
      <vt:variant>
        <vt:i4>1048629</vt:i4>
      </vt:variant>
      <vt:variant>
        <vt:i4>41</vt:i4>
      </vt:variant>
      <vt:variant>
        <vt:i4>0</vt:i4>
      </vt:variant>
      <vt:variant>
        <vt:i4>5</vt:i4>
      </vt:variant>
      <vt:variant>
        <vt:lpwstr/>
      </vt:variant>
      <vt:variant>
        <vt:lpwstr>_Toc210506759</vt:lpwstr>
      </vt:variant>
      <vt:variant>
        <vt:i4>1048629</vt:i4>
      </vt:variant>
      <vt:variant>
        <vt:i4>35</vt:i4>
      </vt:variant>
      <vt:variant>
        <vt:i4>0</vt:i4>
      </vt:variant>
      <vt:variant>
        <vt:i4>5</vt:i4>
      </vt:variant>
      <vt:variant>
        <vt:lpwstr/>
      </vt:variant>
      <vt:variant>
        <vt:lpwstr>_Toc210506758</vt:lpwstr>
      </vt:variant>
      <vt:variant>
        <vt:i4>1048629</vt:i4>
      </vt:variant>
      <vt:variant>
        <vt:i4>29</vt:i4>
      </vt:variant>
      <vt:variant>
        <vt:i4>0</vt:i4>
      </vt:variant>
      <vt:variant>
        <vt:i4>5</vt:i4>
      </vt:variant>
      <vt:variant>
        <vt:lpwstr/>
      </vt:variant>
      <vt:variant>
        <vt:lpwstr>_Toc210506757</vt:lpwstr>
      </vt:variant>
      <vt:variant>
        <vt:i4>1048629</vt:i4>
      </vt:variant>
      <vt:variant>
        <vt:i4>23</vt:i4>
      </vt:variant>
      <vt:variant>
        <vt:i4>0</vt:i4>
      </vt:variant>
      <vt:variant>
        <vt:i4>5</vt:i4>
      </vt:variant>
      <vt:variant>
        <vt:lpwstr/>
      </vt:variant>
      <vt:variant>
        <vt:lpwstr>_Toc210506756</vt:lpwstr>
      </vt:variant>
      <vt:variant>
        <vt:i4>1048629</vt:i4>
      </vt:variant>
      <vt:variant>
        <vt:i4>17</vt:i4>
      </vt:variant>
      <vt:variant>
        <vt:i4>0</vt:i4>
      </vt:variant>
      <vt:variant>
        <vt:i4>5</vt:i4>
      </vt:variant>
      <vt:variant>
        <vt:lpwstr/>
      </vt:variant>
      <vt:variant>
        <vt:lpwstr>_Toc210506755</vt:lpwstr>
      </vt:variant>
      <vt:variant>
        <vt:i4>1048629</vt:i4>
      </vt:variant>
      <vt:variant>
        <vt:i4>11</vt:i4>
      </vt:variant>
      <vt:variant>
        <vt:i4>0</vt:i4>
      </vt:variant>
      <vt:variant>
        <vt:i4>5</vt:i4>
      </vt:variant>
      <vt:variant>
        <vt:lpwstr/>
      </vt:variant>
      <vt:variant>
        <vt:lpwstr>_Toc210506754</vt:lpwstr>
      </vt:variant>
      <vt:variant>
        <vt:i4>6750273</vt:i4>
      </vt:variant>
      <vt:variant>
        <vt:i4>6</vt:i4>
      </vt:variant>
      <vt:variant>
        <vt:i4>0</vt:i4>
      </vt:variant>
      <vt:variant>
        <vt:i4>5</vt:i4>
      </vt:variant>
      <vt:variant>
        <vt:lpwstr>mailto:melanie.chatfield@bca.org.au</vt:lpwstr>
      </vt:variant>
      <vt:variant>
        <vt:lpwstr/>
      </vt:variant>
      <vt:variant>
        <vt:i4>7209012</vt:i4>
      </vt:variant>
      <vt:variant>
        <vt:i4>3</vt:i4>
      </vt:variant>
      <vt:variant>
        <vt:i4>0</vt:i4>
      </vt:variant>
      <vt:variant>
        <vt:i4>5</vt:i4>
      </vt:variant>
      <vt:variant>
        <vt:lpwstr>http://www.bca.org.au/</vt:lpwstr>
      </vt:variant>
      <vt:variant>
        <vt:lpwstr/>
      </vt:variant>
      <vt:variant>
        <vt:i4>721016</vt:i4>
      </vt:variant>
      <vt:variant>
        <vt:i4>0</vt:i4>
      </vt:variant>
      <vt:variant>
        <vt:i4>0</vt:i4>
      </vt:variant>
      <vt:variant>
        <vt:i4>5</vt:i4>
      </vt:variant>
      <vt:variant>
        <vt:lpwstr>mailto:bca@bca.org.au</vt:lpwstr>
      </vt:variant>
      <vt:variant>
        <vt:lpwstr/>
      </vt:variant>
      <vt:variant>
        <vt:i4>196612</vt:i4>
      </vt:variant>
      <vt:variant>
        <vt:i4>42</vt:i4>
      </vt:variant>
      <vt:variant>
        <vt:i4>0</vt:i4>
      </vt:variant>
      <vt:variant>
        <vt:i4>5</vt:i4>
      </vt:variant>
      <vt:variant>
        <vt:lpwstr>https://humanrights.gov.au/free-and-equal</vt:lpwstr>
      </vt:variant>
      <vt:variant>
        <vt:lpwstr/>
      </vt:variant>
      <vt:variant>
        <vt:i4>5111903</vt:i4>
      </vt:variant>
      <vt:variant>
        <vt:i4>39</vt:i4>
      </vt:variant>
      <vt:variant>
        <vt:i4>0</vt:i4>
      </vt:variant>
      <vt:variant>
        <vt:i4>5</vt:i4>
      </vt:variant>
      <vt:variant>
        <vt:lpwstr>https://www.msn.com/en-au/sport/other/paralympian-jeremy-mcclure-refused-multiple-uber-rides-with-guide-dog/ar-AA1M8R1s?ocid=BingNewsSerp</vt:lpwstr>
      </vt:variant>
      <vt:variant>
        <vt:lpwstr/>
      </vt:variant>
      <vt:variant>
        <vt:i4>1245251</vt:i4>
      </vt:variant>
      <vt:variant>
        <vt:i4>36</vt:i4>
      </vt:variant>
      <vt:variant>
        <vt:i4>0</vt:i4>
      </vt:variant>
      <vt:variant>
        <vt:i4>5</vt:i4>
      </vt:variant>
      <vt:variant>
        <vt:lpwstr>https://www.abc.net.au/news/2024-04-06/motel-refuses-booking-guide-dog-despite-law/103675926</vt:lpwstr>
      </vt:variant>
      <vt:variant>
        <vt:lpwstr/>
      </vt:variant>
      <vt:variant>
        <vt:i4>6684798</vt:i4>
      </vt:variant>
      <vt:variant>
        <vt:i4>33</vt:i4>
      </vt:variant>
      <vt:variant>
        <vt:i4>0</vt:i4>
      </vt:variant>
      <vt:variant>
        <vt:i4>5</vt:i4>
      </vt:variant>
      <vt:variant>
        <vt:lpwstr>https://humanrights.gov.au/our-work/legal/australasian-railway-association-ara</vt:lpwstr>
      </vt:variant>
      <vt:variant>
        <vt:lpwstr/>
      </vt:variant>
      <vt:variant>
        <vt:i4>6029402</vt:i4>
      </vt:variant>
      <vt:variant>
        <vt:i4>30</vt:i4>
      </vt:variant>
      <vt:variant>
        <vt:i4>0</vt:i4>
      </vt:variant>
      <vt:variant>
        <vt:i4>5</vt:i4>
      </vt:variant>
      <vt:variant>
        <vt:lpwstr>https://tech.cornell.edu/news/online-microaggressions-strongly-impact-disabled-users/</vt:lpwstr>
      </vt:variant>
      <vt:variant>
        <vt:lpwstr/>
      </vt:variant>
      <vt:variant>
        <vt:i4>7209067</vt:i4>
      </vt:variant>
      <vt:variant>
        <vt:i4>27</vt:i4>
      </vt:variant>
      <vt:variant>
        <vt:i4>0</vt:i4>
      </vt:variant>
      <vt:variant>
        <vt:i4>5</vt:i4>
      </vt:variant>
      <vt:variant>
        <vt:lpwstr>https://dl.acm.org/doi/10.1145/3613904.3642148</vt:lpwstr>
      </vt:variant>
      <vt:variant>
        <vt:lpwstr/>
      </vt:variant>
      <vt:variant>
        <vt:i4>1441865</vt:i4>
      </vt:variant>
      <vt:variant>
        <vt:i4>24</vt:i4>
      </vt:variant>
      <vt:variant>
        <vt:i4>0</vt:i4>
      </vt:variant>
      <vt:variant>
        <vt:i4>5</vt:i4>
      </vt:variant>
      <vt:variant>
        <vt:lpwstr>http://www.iiep.unesco.org/en</vt:lpwstr>
      </vt:variant>
      <vt:variant>
        <vt:lpwstr/>
      </vt:variant>
      <vt:variant>
        <vt:i4>720966</vt:i4>
      </vt:variant>
      <vt:variant>
        <vt:i4>21</vt:i4>
      </vt:variant>
      <vt:variant>
        <vt:i4>0</vt:i4>
      </vt:variant>
      <vt:variant>
        <vt:i4>5</vt:i4>
      </vt:variant>
      <vt:variant>
        <vt:lpwstr>https://www.bca.org.au/2020/11/09/the-secret/</vt:lpwstr>
      </vt:variant>
      <vt:variant>
        <vt:lpwstr/>
      </vt:variant>
      <vt:variant>
        <vt:i4>3014763</vt:i4>
      </vt:variant>
      <vt:variant>
        <vt:i4>18</vt:i4>
      </vt:variant>
      <vt:variant>
        <vt:i4>0</vt:i4>
      </vt:variant>
      <vt:variant>
        <vt:i4>5</vt:i4>
      </vt:variant>
      <vt:variant>
        <vt:lpwstr>https://humanrights.gov.au/about/news/sex-discrimination-acts-positive-duty-making-workplaces-safer</vt:lpwstr>
      </vt:variant>
      <vt:variant>
        <vt:lpwstr/>
      </vt:variant>
      <vt:variant>
        <vt:i4>7667762</vt:i4>
      </vt:variant>
      <vt:variant>
        <vt:i4>15</vt:i4>
      </vt:variant>
      <vt:variant>
        <vt:i4>0</vt:i4>
      </vt:variant>
      <vt:variant>
        <vt:i4>5</vt:i4>
      </vt:variant>
      <vt:variant>
        <vt:lpwstr>https://humanrights.gov.au/sites/default/files/Speaking from Experience Report_0_0.pdf</vt:lpwstr>
      </vt:variant>
      <vt:variant>
        <vt:lpwstr/>
      </vt:variant>
      <vt:variant>
        <vt:i4>327773</vt:i4>
      </vt:variant>
      <vt:variant>
        <vt:i4>12</vt:i4>
      </vt:variant>
      <vt:variant>
        <vt:i4>0</vt:i4>
      </vt:variant>
      <vt:variant>
        <vt:i4>5</vt:i4>
      </vt:variant>
      <vt:variant>
        <vt:lpwstr>https://www.abc.net.au/news/2025-09-08/paralympian-refused-uber-rides-with-guide-dog-discrimination/105748262</vt:lpwstr>
      </vt:variant>
      <vt:variant>
        <vt:lpwstr/>
      </vt:variant>
      <vt:variant>
        <vt:i4>3211298</vt:i4>
      </vt:variant>
      <vt:variant>
        <vt:i4>9</vt:i4>
      </vt:variant>
      <vt:variant>
        <vt:i4>0</vt:i4>
      </vt:variant>
      <vt:variant>
        <vt:i4>5</vt:i4>
      </vt:variant>
      <vt:variant>
        <vt:lpwstr>https://jec.org.au/disability-rights/disability-discrimination/after-32-refusals-guide-dog-user-paula-is-taking-on-uber-for-discrimination/</vt:lpwstr>
      </vt:variant>
      <vt:variant>
        <vt:lpwstr/>
      </vt:variant>
      <vt:variant>
        <vt:i4>3735655</vt:i4>
      </vt:variant>
      <vt:variant>
        <vt:i4>6</vt:i4>
      </vt:variant>
      <vt:variant>
        <vt:i4>0</vt:i4>
      </vt:variant>
      <vt:variant>
        <vt:i4>5</vt:i4>
      </vt:variant>
      <vt:variant>
        <vt:lpwstr>https://www.theguardian.com/society/article/2024/sep/01/debra-simons-13cabs-guide-dog-complaint-ntwnfb</vt:lpwstr>
      </vt:variant>
      <vt:variant>
        <vt:lpwstr/>
      </vt:variant>
      <vt:variant>
        <vt:i4>7274595</vt:i4>
      </vt:variant>
      <vt:variant>
        <vt:i4>3</vt:i4>
      </vt:variant>
      <vt:variant>
        <vt:i4>0</vt:i4>
      </vt:variant>
      <vt:variant>
        <vt:i4>5</vt:i4>
      </vt:variant>
      <vt:variant>
        <vt:lpwstr>https://minister.dcceew.gov.au/watt/media-releases/joint-media-release-action-red-tape-and-approvals-build-more-homes-more-quickly</vt:lpwstr>
      </vt:variant>
      <vt:variant>
        <vt:lpwstr/>
      </vt:variant>
      <vt:variant>
        <vt:i4>5636168</vt:i4>
      </vt:variant>
      <vt:variant>
        <vt:i4>0</vt:i4>
      </vt:variant>
      <vt:variant>
        <vt:i4>0</vt:i4>
      </vt:variant>
      <vt:variant>
        <vt:i4>5</vt:i4>
      </vt:variant>
      <vt:variant>
        <vt:lpwstr>https://www.ag.gov.au/sites/default/files/2025-08/dda-issues-paper-text.DOCX</vt:lpwstr>
      </vt:variant>
      <vt:variant>
        <vt:lpwstr/>
      </vt:variant>
      <vt:variant>
        <vt:i4>7864404</vt:i4>
      </vt:variant>
      <vt:variant>
        <vt:i4>0</vt:i4>
      </vt:variant>
      <vt:variant>
        <vt:i4>0</vt:i4>
      </vt:variant>
      <vt:variant>
        <vt:i4>5</vt:i4>
      </vt:variant>
      <vt:variant>
        <vt:lpwstr>https://www.volunteeringaustralia.org/policy/advocacy-campaigns/recognising-the-role-volunteering-plays-for-australians-living-with-disability/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Reynolds-Ryan</dc:creator>
  <cp:keywords/>
  <dc:description/>
  <cp:lastModifiedBy>Melanie Chatfield</cp:lastModifiedBy>
  <cp:revision>5</cp:revision>
  <dcterms:created xsi:type="dcterms:W3CDTF">2025-10-24T05:12:00Z</dcterms:created>
  <dcterms:modified xsi:type="dcterms:W3CDTF">2025-10-24T05:15:00Z</dcterms:modified>
</cp:coreProperties>
</file>