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A87A" w14:textId="77777777" w:rsidR="00EF620E" w:rsidRDefault="00EF620E" w:rsidP="00B0474A">
      <w:pPr>
        <w:ind w:left="0"/>
      </w:pPr>
    </w:p>
    <w:p w14:paraId="28A958A6" w14:textId="6CA44344" w:rsidR="00B0474A" w:rsidRPr="00B0474A" w:rsidRDefault="00B0474A" w:rsidP="00B0474A">
      <w:pPr>
        <w:spacing w:line="360" w:lineRule="auto"/>
        <w:rPr>
          <w:b/>
          <w:bCs/>
        </w:rPr>
      </w:pPr>
      <w:r w:rsidRPr="00B0474A">
        <w:rPr>
          <w:b/>
          <w:bCs/>
        </w:rPr>
        <w:t>BCA Inform: My Aged Care</w:t>
      </w:r>
      <w:r w:rsidR="00B35946">
        <w:rPr>
          <w:b/>
          <w:bCs/>
        </w:rPr>
        <w:t xml:space="preserve"> Reform</w:t>
      </w:r>
    </w:p>
    <w:p w14:paraId="59FE0E8D" w14:textId="4CF8210D" w:rsidR="00B0474A" w:rsidRDefault="00EF620E" w:rsidP="00EF620E">
      <w:pPr>
        <w:spacing w:line="360" w:lineRule="auto"/>
      </w:pPr>
      <w:r>
        <w:t>On Tuesday, 3</w:t>
      </w:r>
      <w:r w:rsidRPr="00EF620E">
        <w:rPr>
          <w:vertAlign w:val="superscript"/>
        </w:rPr>
        <w:t>rd</w:t>
      </w:r>
      <w:r>
        <w:t xml:space="preserve"> February BCA Inform </w:t>
      </w:r>
      <w:r w:rsidR="00B35946">
        <w:t xml:space="preserve">provided </w:t>
      </w:r>
      <w:r>
        <w:t>an update on the latest happenings</w:t>
      </w:r>
      <w:r w:rsidR="00EF2E3C">
        <w:t xml:space="preserve"> in the world of</w:t>
      </w:r>
      <w:r>
        <w:t xml:space="preserve"> My Aged Care. </w:t>
      </w:r>
      <w:r w:rsidRPr="00EF620E">
        <w:t xml:space="preserve">The session was opened by </w:t>
      </w:r>
      <w:r>
        <w:t xml:space="preserve">BCA’s </w:t>
      </w:r>
      <w:r w:rsidRPr="00EF620E">
        <w:t>Policy Officer,</w:t>
      </w:r>
      <w:r>
        <w:t xml:space="preserve"> Melanie Chatfield</w:t>
      </w:r>
      <w:r w:rsidRPr="00EF620E">
        <w:t xml:space="preserve"> who outlined the focus on aged care services and introduced the</w:t>
      </w:r>
      <w:r w:rsidR="00B0474A">
        <w:t xml:space="preserve"> sessions</w:t>
      </w:r>
      <w:r w:rsidRPr="00EF620E">
        <w:t xml:space="preserve"> </w:t>
      </w:r>
      <w:r w:rsidR="00B0474A">
        <w:t xml:space="preserve">two special </w:t>
      </w:r>
      <w:r w:rsidRPr="00EF620E">
        <w:t xml:space="preserve">speakers: Jonathan Craig from Vision 2020 and Lauren Henley from Assistive Technology Suppliers Australia (ATSA). </w:t>
      </w:r>
    </w:p>
    <w:p w14:paraId="6CFF5971" w14:textId="1FECC995" w:rsidR="00EF620E" w:rsidRPr="00EF620E" w:rsidRDefault="00EF620E" w:rsidP="00EF620E">
      <w:pPr>
        <w:spacing w:line="360" w:lineRule="auto"/>
      </w:pPr>
      <w:r w:rsidRPr="00EF620E">
        <w:t>Jonathan’s presentation focused on recent and upcoming changes to aged care, particularly the transition to the Commonwealth Support at Home program and its implications for people with vision impairment.</w:t>
      </w:r>
    </w:p>
    <w:p w14:paraId="3B749617" w14:textId="77777777" w:rsidR="00F2660D" w:rsidRDefault="00EF620E" w:rsidP="00EF620E">
      <w:pPr>
        <w:spacing w:line="360" w:lineRule="auto"/>
      </w:pPr>
      <w:r w:rsidRPr="00EF620E">
        <w:t xml:space="preserve">Jonathan began with an overview of the Australian aged care system, noting that while around 198,000 people live in residential aged care, most people with vision impairment receive support through </w:t>
      </w:r>
      <w:proofErr w:type="gramStart"/>
      <w:r w:rsidRPr="00EF620E">
        <w:t>community</w:t>
      </w:r>
      <w:r w:rsidR="00B0474A">
        <w:t xml:space="preserve"> </w:t>
      </w:r>
      <w:r w:rsidRPr="00EF620E">
        <w:t>based</w:t>
      </w:r>
      <w:proofErr w:type="gramEnd"/>
      <w:r w:rsidRPr="00EF620E">
        <w:t xml:space="preserve"> programs. These include the Commonwealth Home Support Programme (CHSP) for people with lower needs and home care packages for those with higher needs. </w:t>
      </w:r>
    </w:p>
    <w:p w14:paraId="1B173F63" w14:textId="5496E24D" w:rsidR="00EF620E" w:rsidRPr="00EF620E" w:rsidRDefault="00EF620E" w:rsidP="00EF620E">
      <w:pPr>
        <w:spacing w:line="360" w:lineRule="auto"/>
      </w:pPr>
      <w:r w:rsidRPr="00EF620E">
        <w:t>He highlighted the complexity of the system, which contributed to the Royal Commission into Aged Care Quality and Safety and ultimately led to the introduction of the new Aged Care Act in 2025. The Act includes a statement of rights and aims to improve the quality and consistency of care across all aged care settings.</w:t>
      </w:r>
    </w:p>
    <w:p w14:paraId="65E76BD7" w14:textId="6504ECD6" w:rsidR="00EF620E" w:rsidRPr="00EF620E" w:rsidRDefault="00EF620E" w:rsidP="00EF620E">
      <w:pPr>
        <w:spacing w:line="360" w:lineRule="auto"/>
      </w:pPr>
      <w:r w:rsidRPr="00EF620E">
        <w:t>Jonathan then outlined key elements of the Aged Care Act reforms, including strengthened rights for aged care recipients, such as recognition of communication preferences and special needs. He explained the new funding model, which introduces co-contributions based on service type and income, with a lifetime cap of $130,000. He also described the transition from home care packages to the new Support at Home program. Vision</w:t>
      </w:r>
      <w:r w:rsidR="00B0474A">
        <w:t xml:space="preserve"> </w:t>
      </w:r>
      <w:r w:rsidRPr="00EF620E">
        <w:t>related services were initially excluded from the program, but temporary access to CHSP services was introduced as a workaround to ensure continuity of support.</w:t>
      </w:r>
    </w:p>
    <w:p w14:paraId="7A20FDC1" w14:textId="088EFFD0" w:rsidR="00EF620E" w:rsidRPr="00EF620E" w:rsidRDefault="00EF620E" w:rsidP="00EF620E">
      <w:pPr>
        <w:spacing w:line="360" w:lineRule="auto"/>
      </w:pPr>
      <w:r w:rsidRPr="00EF620E">
        <w:lastRenderedPageBreak/>
        <w:t xml:space="preserve">In discussing the transition to the Support at Home system, Jonathan acknowledged concerns about rising service costs. While the government maintains that people are </w:t>
      </w:r>
      <w:r w:rsidR="00B0474A">
        <w:t>“</w:t>
      </w:r>
      <w:r w:rsidRPr="00EF620E">
        <w:t>no worse off</w:t>
      </w:r>
      <w:r w:rsidR="00B0474A">
        <w:t>”</w:t>
      </w:r>
      <w:r w:rsidRPr="00EF620E">
        <w:t xml:space="preserve"> in terms of the percentage they contribute, he noted that higher service prices mean many individuals are paying more in real terms and, in some cases, reducing their services as a result. </w:t>
      </w:r>
    </w:p>
    <w:p w14:paraId="5EB3CF78" w14:textId="70F880E9" w:rsidR="00EF620E" w:rsidRPr="00EF620E" w:rsidRDefault="00EF620E" w:rsidP="00EF620E">
      <w:pPr>
        <w:spacing w:line="360" w:lineRule="auto"/>
      </w:pPr>
      <w:r w:rsidRPr="00EF620E">
        <w:t>Jonathan advised that issues can be escalated through mechanisms such as the Independent Complaints Commission.</w:t>
      </w:r>
    </w:p>
    <w:p w14:paraId="332B2043" w14:textId="7166BB25" w:rsidR="00EF620E" w:rsidRPr="00EF620E" w:rsidRDefault="00EF620E" w:rsidP="00EF620E">
      <w:pPr>
        <w:spacing w:line="360" w:lineRule="auto"/>
      </w:pPr>
      <w:r w:rsidRPr="00EF620E">
        <w:t xml:space="preserve">Lauren Henley </w:t>
      </w:r>
      <w:r w:rsidR="00B0474A">
        <w:t>from</w:t>
      </w:r>
      <w:r w:rsidRPr="00EF620E">
        <w:t xml:space="preserve"> Assistive Technology Suppliers Australia</w:t>
      </w:r>
      <w:r w:rsidR="00B0474A">
        <w:t xml:space="preserve"> (ATSA) then gave an overview</w:t>
      </w:r>
      <w:r w:rsidRPr="00EF620E">
        <w:t xml:space="preserve"> of the Support at Home program from an assistive technology perspective. She outlined that assistive technology and home modifications are now funded through a dedicated stream, which is intended to reduce delays in accessing essential equipment. Lauren highlighted the importance of the assistive technology and home modifications list, which </w:t>
      </w:r>
      <w:r w:rsidR="00B0474A">
        <w:t>“</w:t>
      </w:r>
      <w:r w:rsidRPr="00EF620E">
        <w:t>acts as a gatekeeper</w:t>
      </w:r>
      <w:r w:rsidR="00B0474A">
        <w:t>”</w:t>
      </w:r>
      <w:r w:rsidRPr="00EF620E">
        <w:t xml:space="preserve"> for what can be funded and is reviewed every 12 months.</w:t>
      </w:r>
    </w:p>
    <w:p w14:paraId="188172E0" w14:textId="148188A1" w:rsidR="00EF620E" w:rsidRPr="00EF620E" w:rsidRDefault="00EF620E" w:rsidP="00EF620E">
      <w:pPr>
        <w:spacing w:line="360" w:lineRule="auto"/>
      </w:pPr>
      <w:r w:rsidRPr="00EF620E">
        <w:t>Lauren explained the process for accessing assistive technology funding under the new scheme, noting that people transitioning from home care packages can use unspent funds and request an assistive technology data collection form from their aged care provider to help fast</w:t>
      </w:r>
      <w:r w:rsidR="00B0474A">
        <w:t xml:space="preserve"> </w:t>
      </w:r>
      <w:r w:rsidRPr="00EF620E">
        <w:t>track access. She outlined the funding tiers, explaining that equipment costing more than $15,000 requires additional documentation. She also clarified that while providers are responsible for arranging and sourcing equipment, individuals retain the right to choose their preferred supplier.</w:t>
      </w:r>
    </w:p>
    <w:p w14:paraId="09C6567B" w14:textId="77777777" w:rsidR="00CD5028" w:rsidRDefault="00EF620E" w:rsidP="00EF620E">
      <w:pPr>
        <w:spacing w:line="360" w:lineRule="auto"/>
      </w:pPr>
      <w:r w:rsidRPr="00EF620E">
        <w:t xml:space="preserve">Further details were provided on funding timeframes, with Lauren noting that allocated assistive technology funding must generally be used within 12 months and cannot be carried forward, although extensions may be possible in some circumstances. </w:t>
      </w:r>
    </w:p>
    <w:p w14:paraId="3920A842" w14:textId="56599BF2" w:rsidR="00EF620E" w:rsidRPr="00EF620E" w:rsidRDefault="00CD5028" w:rsidP="00EF620E">
      <w:pPr>
        <w:spacing w:line="360" w:lineRule="auto"/>
      </w:pPr>
      <w:r>
        <w:t>Lauren</w:t>
      </w:r>
      <w:r w:rsidR="00EF620E" w:rsidRPr="00EF620E">
        <w:t xml:space="preserve"> raised concerns about dog</w:t>
      </w:r>
      <w:r w:rsidR="00B0474A">
        <w:t xml:space="preserve"> guide</w:t>
      </w:r>
      <w:r w:rsidR="00EF620E" w:rsidRPr="00EF620E">
        <w:t xml:space="preserve"> funding under the Support at Home program, noting that the $2,000 annual allocation may not meet actual costs and is lower than comparable NDIS funding</w:t>
      </w:r>
      <w:r>
        <w:t>.</w:t>
      </w:r>
    </w:p>
    <w:p w14:paraId="34E3BE40" w14:textId="54E6BACE" w:rsidR="00EF620E" w:rsidRDefault="00EF620E" w:rsidP="00EF620E">
      <w:pPr>
        <w:spacing w:line="360" w:lineRule="auto"/>
      </w:pPr>
      <w:r w:rsidRPr="00EF620E">
        <w:lastRenderedPageBreak/>
        <w:t xml:space="preserve">Lauren concluded by outlining advocacy options for people experiencing barriers under the new system, including support from </w:t>
      </w:r>
      <w:r w:rsidR="00B0474A">
        <w:t xml:space="preserve">BCA </w:t>
      </w:r>
      <w:r w:rsidRPr="00EF620E">
        <w:t>and Older Persons Advocacy Network</w:t>
      </w:r>
      <w:r w:rsidR="00CD5028">
        <w:t xml:space="preserve"> (OPAN)</w:t>
      </w:r>
      <w:r w:rsidRPr="00EF620E">
        <w:t xml:space="preserve">. She encouraged participants to provide feedback on systemic issues to both ATSA and the Department of Health, noting that the department is aware of early implementation challenges and has indicated a willingness to address them. </w:t>
      </w:r>
    </w:p>
    <w:p w14:paraId="36403E9A" w14:textId="77777777" w:rsidR="000564A3" w:rsidRPr="000564A3" w:rsidRDefault="000564A3" w:rsidP="000564A3">
      <w:pPr>
        <w:spacing w:line="360" w:lineRule="auto"/>
      </w:pPr>
      <w:r w:rsidRPr="000564A3">
        <w:t>A dedicated page on BCA’s website will be created to share key messages from the session, along with links to valuable resources.</w:t>
      </w:r>
    </w:p>
    <w:p w14:paraId="4E6605B6" w14:textId="77777777" w:rsidR="000564A3" w:rsidRPr="00EF620E" w:rsidRDefault="000564A3" w:rsidP="00EF620E">
      <w:pPr>
        <w:spacing w:line="360" w:lineRule="auto"/>
      </w:pPr>
    </w:p>
    <w:p w14:paraId="285759AD" w14:textId="77777777" w:rsidR="00EF620E" w:rsidRDefault="00EF620E" w:rsidP="00EF620E">
      <w:pPr>
        <w:spacing w:line="360" w:lineRule="auto"/>
      </w:pPr>
    </w:p>
    <w:p w14:paraId="46F9E27E" w14:textId="77777777" w:rsidR="00EF620E" w:rsidRDefault="00EF620E"/>
    <w:sectPr w:rsidR="00EF6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37418"/>
    <w:multiLevelType w:val="multilevel"/>
    <w:tmpl w:val="FEDE4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6575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05"/>
    <w:rsid w:val="000564A3"/>
    <w:rsid w:val="002B44FD"/>
    <w:rsid w:val="00512632"/>
    <w:rsid w:val="00863956"/>
    <w:rsid w:val="008C6F5E"/>
    <w:rsid w:val="00B0474A"/>
    <w:rsid w:val="00B12FAB"/>
    <w:rsid w:val="00B35946"/>
    <w:rsid w:val="00BB7AB3"/>
    <w:rsid w:val="00C22E05"/>
    <w:rsid w:val="00C544E0"/>
    <w:rsid w:val="00CD5028"/>
    <w:rsid w:val="00DE2C30"/>
    <w:rsid w:val="00E87D5E"/>
    <w:rsid w:val="00EF2E3C"/>
    <w:rsid w:val="00EF620E"/>
    <w:rsid w:val="00F26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A11F"/>
  <w15:chartTrackingRefBased/>
  <w15:docId w15:val="{F621B80E-7616-4C7F-A1BF-574FA69F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E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E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2E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2E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2E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2E0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2E0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E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E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2E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2E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2E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2E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2E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2E05"/>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2E0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22E05"/>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E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2E05"/>
    <w:pPr>
      <w:spacing w:before="160"/>
      <w:jc w:val="center"/>
    </w:pPr>
    <w:rPr>
      <w:i/>
      <w:iCs/>
      <w:color w:val="404040" w:themeColor="text1" w:themeTint="BF"/>
    </w:rPr>
  </w:style>
  <w:style w:type="character" w:customStyle="1" w:styleId="QuoteChar">
    <w:name w:val="Quote Char"/>
    <w:basedOn w:val="DefaultParagraphFont"/>
    <w:link w:val="Quote"/>
    <w:uiPriority w:val="29"/>
    <w:rsid w:val="00C22E05"/>
    <w:rPr>
      <w:i/>
      <w:iCs/>
      <w:color w:val="404040" w:themeColor="text1" w:themeTint="BF"/>
    </w:rPr>
  </w:style>
  <w:style w:type="paragraph" w:styleId="ListParagraph">
    <w:name w:val="List Paragraph"/>
    <w:basedOn w:val="Normal"/>
    <w:uiPriority w:val="34"/>
    <w:qFormat/>
    <w:rsid w:val="00C22E05"/>
    <w:pPr>
      <w:ind w:left="720"/>
      <w:contextualSpacing/>
    </w:pPr>
  </w:style>
  <w:style w:type="character" w:styleId="IntenseEmphasis">
    <w:name w:val="Intense Emphasis"/>
    <w:basedOn w:val="DefaultParagraphFont"/>
    <w:uiPriority w:val="21"/>
    <w:qFormat/>
    <w:rsid w:val="00C22E05"/>
    <w:rPr>
      <w:i/>
      <w:iCs/>
      <w:color w:val="0F4761" w:themeColor="accent1" w:themeShade="BF"/>
    </w:rPr>
  </w:style>
  <w:style w:type="paragraph" w:styleId="IntenseQuote">
    <w:name w:val="Intense Quote"/>
    <w:basedOn w:val="Normal"/>
    <w:next w:val="Normal"/>
    <w:link w:val="IntenseQuoteChar"/>
    <w:uiPriority w:val="30"/>
    <w:qFormat/>
    <w:rsid w:val="00C2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E05"/>
    <w:rPr>
      <w:i/>
      <w:iCs/>
      <w:color w:val="0F4761" w:themeColor="accent1" w:themeShade="BF"/>
    </w:rPr>
  </w:style>
  <w:style w:type="character" w:styleId="IntenseReference">
    <w:name w:val="Intense Reference"/>
    <w:basedOn w:val="DefaultParagraphFont"/>
    <w:uiPriority w:val="32"/>
    <w:qFormat/>
    <w:rsid w:val="00C22E05"/>
    <w:rPr>
      <w:b/>
      <w:bCs/>
      <w:smallCaps/>
      <w:color w:val="0F4761" w:themeColor="accent1" w:themeShade="BF"/>
      <w:spacing w:val="5"/>
    </w:rPr>
  </w:style>
  <w:style w:type="character" w:styleId="Hyperlink">
    <w:name w:val="Hyperlink"/>
    <w:basedOn w:val="DefaultParagraphFont"/>
    <w:uiPriority w:val="99"/>
    <w:unhideWhenUsed/>
    <w:rsid w:val="00C22E05"/>
    <w:rPr>
      <w:color w:val="467886" w:themeColor="hyperlink"/>
      <w:u w:val="single"/>
    </w:rPr>
  </w:style>
  <w:style w:type="character" w:styleId="UnresolvedMention">
    <w:name w:val="Unresolved Mention"/>
    <w:basedOn w:val="DefaultParagraphFont"/>
    <w:uiPriority w:val="99"/>
    <w:semiHidden/>
    <w:unhideWhenUsed/>
    <w:rsid w:val="00C22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697</Words>
  <Characters>3726</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10</cp:revision>
  <dcterms:created xsi:type="dcterms:W3CDTF">2026-02-09T03:07:00Z</dcterms:created>
  <dcterms:modified xsi:type="dcterms:W3CDTF">2026-02-12T00:47:00Z</dcterms:modified>
</cp:coreProperties>
</file>