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DB18" w14:textId="3AEA4261" w:rsidR="00B73870" w:rsidRDefault="00B73870" w:rsidP="007A750C">
      <w:pPr>
        <w:spacing w:line="360" w:lineRule="auto"/>
        <w:rPr>
          <w:rFonts w:ascii="Arial" w:hAnsi="Arial" w:cs="Arial"/>
          <w:b/>
          <w:bCs/>
        </w:rPr>
      </w:pPr>
      <w:r>
        <w:rPr>
          <w:noProof/>
        </w:rPr>
        <w:drawing>
          <wp:inline distT="0" distB="0" distL="0" distR="0" wp14:anchorId="48015BCE" wp14:editId="2DAB1AB1">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24500" cy="828675"/>
                    </a:xfrm>
                    <a:prstGeom prst="rect">
                      <a:avLst/>
                    </a:prstGeom>
                  </pic:spPr>
                </pic:pic>
              </a:graphicData>
            </a:graphic>
          </wp:inline>
        </w:drawing>
      </w:r>
    </w:p>
    <w:p w14:paraId="3E5758C2" w14:textId="77777777" w:rsidR="00B73870" w:rsidRPr="00A67164" w:rsidRDefault="00B73870" w:rsidP="00B73870">
      <w:pPr>
        <w:pStyle w:val="Date"/>
      </w:pPr>
      <w:r w:rsidRPr="00306E88">
        <w:rPr>
          <w:rStyle w:val="Heading2Char"/>
          <w:rFonts w:eastAsiaTheme="minorEastAsia" w:cs="Arial"/>
          <w:bCs w:val="0"/>
          <w:color w:val="500061"/>
          <w:sz w:val="24"/>
          <w:szCs w:val="24"/>
        </w:rPr>
        <w:t>Ph</w:t>
      </w:r>
      <w:r w:rsidRPr="00306E88">
        <w:t xml:space="preserve"> 1800 033 </w:t>
      </w:r>
      <w:proofErr w:type="gramStart"/>
      <w:r w:rsidRPr="00306E88">
        <w:t>660  |</w:t>
      </w:r>
      <w:proofErr w:type="gramEnd"/>
      <w:r w:rsidRPr="00306E88">
        <w:t xml:space="preserve">  </w:t>
      </w:r>
      <w:r w:rsidRPr="00306E88">
        <w:rPr>
          <w:rStyle w:val="Heading2Char"/>
          <w:rFonts w:eastAsiaTheme="minorEastAsia" w:cs="Arial"/>
          <w:bCs w:val="0"/>
          <w:color w:val="500061"/>
          <w:sz w:val="24"/>
          <w:szCs w:val="24"/>
        </w:rPr>
        <w:t>E</w:t>
      </w:r>
      <w:r w:rsidRPr="00306E88">
        <w:t xml:space="preserve"> </w:t>
      </w:r>
      <w:hyperlink r:id="rId12" w:history="1">
        <w:r w:rsidRPr="00306E88">
          <w:rPr>
            <w:rStyle w:val="Hyperlink"/>
            <w:color w:val="500061"/>
            <w:u w:val="none"/>
          </w:rPr>
          <w:t>bca@bca.org.au</w:t>
        </w:r>
      </w:hyperlink>
      <w:r w:rsidRPr="00306E88">
        <w:rPr>
          <w:rStyle w:val="Hyperlink"/>
          <w:color w:val="500061"/>
          <w:u w:val="none"/>
        </w:rPr>
        <w:t xml:space="preserve"> </w:t>
      </w:r>
      <w:r w:rsidRPr="00306E88">
        <w:t xml:space="preserve"> |  </w:t>
      </w:r>
      <w:r w:rsidRPr="00306E88">
        <w:rPr>
          <w:rStyle w:val="Heading2Char"/>
          <w:rFonts w:eastAsiaTheme="minorEastAsia" w:cs="Arial"/>
          <w:bCs w:val="0"/>
          <w:color w:val="500061"/>
          <w:sz w:val="24"/>
          <w:szCs w:val="24"/>
        </w:rPr>
        <w:t>W</w:t>
      </w:r>
      <w:r w:rsidRPr="00306E88">
        <w:t xml:space="preserve"> </w:t>
      </w:r>
      <w:hyperlink r:id="rId13" w:tooltip="click to go to BCA website" w:history="1">
        <w:r w:rsidRPr="00306E88">
          <w:rPr>
            <w:rStyle w:val="Hyperlink"/>
            <w:color w:val="500061"/>
            <w:u w:val="none"/>
          </w:rPr>
          <w:t>bca.org.au</w:t>
        </w:r>
      </w:hyperlink>
      <w:r w:rsidRPr="00306E88">
        <w:rPr>
          <w:rStyle w:val="Hyperlink"/>
          <w:color w:val="500061"/>
          <w:u w:val="none"/>
        </w:rPr>
        <w:t xml:space="preserve"> </w:t>
      </w:r>
      <w:proofErr w:type="gramStart"/>
      <w:r w:rsidRPr="00306E88">
        <w:rPr>
          <w:rStyle w:val="Hyperlink"/>
          <w:color w:val="500061"/>
          <w:u w:val="none"/>
        </w:rPr>
        <w:t xml:space="preserve">|  </w:t>
      </w:r>
      <w:r w:rsidRPr="00306E88">
        <w:rPr>
          <w:rStyle w:val="Heading2Char"/>
          <w:rFonts w:eastAsiaTheme="minorEastAsia" w:cs="Arial"/>
          <w:bCs w:val="0"/>
          <w:color w:val="500061"/>
          <w:sz w:val="24"/>
          <w:szCs w:val="24"/>
        </w:rPr>
        <w:t>ABN</w:t>
      </w:r>
      <w:proofErr w:type="gramEnd"/>
      <w:r w:rsidRPr="00306E88">
        <w:t xml:space="preserve"> 90 006 985 226</w:t>
      </w:r>
    </w:p>
    <w:p w14:paraId="5A5D0A0C" w14:textId="77777777" w:rsidR="00B73870" w:rsidRDefault="00B73870" w:rsidP="007A750C">
      <w:pPr>
        <w:spacing w:line="360" w:lineRule="auto"/>
        <w:rPr>
          <w:rFonts w:ascii="Arial" w:hAnsi="Arial" w:cs="Arial"/>
          <w:b/>
          <w:bCs/>
        </w:rPr>
      </w:pPr>
    </w:p>
    <w:p w14:paraId="3D941301" w14:textId="15E6514C" w:rsidR="007A750C" w:rsidRPr="004D12F4" w:rsidRDefault="004D12F4" w:rsidP="00B73870">
      <w:pPr>
        <w:pStyle w:val="Heading1"/>
        <w:rPr>
          <w:rFonts w:ascii="Arial" w:eastAsia="Times New Roman" w:hAnsi="Arial" w:cs="Arial"/>
          <w:b/>
          <w:bCs/>
          <w:color w:val="500061"/>
          <w:kern w:val="28"/>
          <w:sz w:val="44"/>
          <w14:ligatures w14:val="none"/>
        </w:rPr>
      </w:pPr>
      <w:r>
        <w:rPr>
          <w:rFonts w:ascii="Arial" w:eastAsia="Times New Roman" w:hAnsi="Arial" w:cs="Arial"/>
          <w:b/>
          <w:bCs/>
          <w:color w:val="500061"/>
          <w:kern w:val="28"/>
          <w:sz w:val="44"/>
          <w14:ligatures w14:val="none"/>
        </w:rPr>
        <w:t xml:space="preserve">Response to Australian Government Consultation on the </w:t>
      </w:r>
      <w:r w:rsidR="007A750C" w:rsidRPr="004D12F4">
        <w:rPr>
          <w:rFonts w:ascii="Arial" w:eastAsia="Times New Roman" w:hAnsi="Arial" w:cs="Arial"/>
          <w:b/>
          <w:bCs/>
          <w:color w:val="500061"/>
          <w:kern w:val="28"/>
          <w:sz w:val="44"/>
          <w14:ligatures w14:val="none"/>
        </w:rPr>
        <w:t xml:space="preserve">National Cultural Policy 2026 </w:t>
      </w:r>
    </w:p>
    <w:p w14:paraId="10C47754" w14:textId="77777777" w:rsidR="004D12F4" w:rsidRDefault="004D12F4" w:rsidP="004D12F4">
      <w:pPr>
        <w:spacing w:before="120" w:after="0" w:line="360" w:lineRule="auto"/>
        <w:rPr>
          <w:rFonts w:ascii="Arial" w:eastAsia="MS Mincho" w:hAnsi="Arial" w:cs="Arial"/>
          <w:szCs w:val="16"/>
          <w:lang w:eastAsia="ja-JP"/>
        </w:rPr>
      </w:pPr>
    </w:p>
    <w:p w14:paraId="32B3DD30" w14:textId="4435BAB2" w:rsidR="004D12F4" w:rsidRDefault="004D12F4" w:rsidP="004D12F4">
      <w:pPr>
        <w:spacing w:before="120" w:after="0" w:line="360" w:lineRule="auto"/>
        <w:rPr>
          <w:rFonts w:ascii="Arial" w:eastAsia="MS Mincho" w:hAnsi="Arial" w:cs="Arial"/>
          <w:szCs w:val="16"/>
          <w:lang w:eastAsia="ja-JP"/>
        </w:rPr>
      </w:pPr>
      <w:r>
        <w:rPr>
          <w:rFonts w:ascii="Arial" w:eastAsia="MS Mincho" w:hAnsi="Arial" w:cs="Arial"/>
          <w:szCs w:val="16"/>
          <w:lang w:eastAsia="ja-JP"/>
        </w:rPr>
        <w:t xml:space="preserve">Lodged </w:t>
      </w:r>
      <w:proofErr w:type="gramStart"/>
      <w:r>
        <w:rPr>
          <w:rFonts w:ascii="Arial" w:eastAsia="MS Mincho" w:hAnsi="Arial" w:cs="Arial"/>
          <w:szCs w:val="16"/>
          <w:lang w:eastAsia="ja-JP"/>
        </w:rPr>
        <w:t>via:</w:t>
      </w:r>
      <w:proofErr w:type="gramEnd"/>
      <w:r w:rsidR="005F5774">
        <w:rPr>
          <w:rFonts w:ascii="Arial" w:eastAsia="MS Mincho" w:hAnsi="Arial" w:cs="Arial"/>
          <w:szCs w:val="16"/>
          <w:lang w:eastAsia="ja-JP"/>
        </w:rPr>
        <w:t xml:space="preserve"> online submission edm.arts.gov.au</w:t>
      </w:r>
    </w:p>
    <w:p w14:paraId="292577AE" w14:textId="5C2280CB" w:rsidR="004D12F4" w:rsidRDefault="004D12F4" w:rsidP="004D12F4">
      <w:pPr>
        <w:spacing w:before="120" w:after="0" w:line="360" w:lineRule="auto"/>
        <w:rPr>
          <w:rFonts w:ascii="Arial" w:eastAsia="MS Mincho" w:hAnsi="Arial" w:cs="Arial"/>
          <w:szCs w:val="16"/>
          <w:lang w:eastAsia="ja-JP"/>
        </w:rPr>
      </w:pPr>
      <w:r w:rsidRPr="007E3155">
        <w:rPr>
          <w:rFonts w:ascii="Arial" w:eastAsia="MS Mincho" w:hAnsi="Arial" w:cs="Arial"/>
          <w:szCs w:val="16"/>
          <w:lang w:eastAsia="ja-JP"/>
        </w:rPr>
        <w:t>Author:</w:t>
      </w:r>
      <w:r>
        <w:rPr>
          <w:rFonts w:ascii="Arial" w:eastAsia="MS Mincho" w:hAnsi="Arial" w:cs="Arial"/>
          <w:szCs w:val="16"/>
          <w:lang w:eastAsia="ja-JP"/>
        </w:rPr>
        <w:t xml:space="preserve"> Melanie Chatfield</w:t>
      </w:r>
      <w:r w:rsidRPr="007E3155">
        <w:rPr>
          <w:rFonts w:ascii="Arial" w:eastAsia="MS Mincho" w:hAnsi="Arial" w:cs="Arial"/>
          <w:szCs w:val="16"/>
          <w:lang w:eastAsia="ja-JP"/>
        </w:rPr>
        <w:t>, National Policy Officer</w:t>
      </w:r>
    </w:p>
    <w:p w14:paraId="1D6D07AF" w14:textId="1BE31C6D" w:rsidR="004D12F4" w:rsidRPr="007E3155" w:rsidRDefault="00B44F97" w:rsidP="004D12F4">
      <w:pPr>
        <w:spacing w:before="120" w:after="0" w:line="360" w:lineRule="auto"/>
        <w:rPr>
          <w:rFonts w:ascii="Arial" w:eastAsia="MS Mincho" w:hAnsi="Arial" w:cs="Arial"/>
          <w:szCs w:val="16"/>
          <w:lang w:eastAsia="ja-JP"/>
        </w:rPr>
      </w:pPr>
      <w:r>
        <w:rPr>
          <w:rFonts w:ascii="Arial" w:eastAsia="MS Mincho" w:hAnsi="Arial" w:cs="Arial"/>
          <w:szCs w:val="16"/>
          <w:lang w:eastAsia="ja-JP"/>
        </w:rPr>
        <w:t>m</w:t>
      </w:r>
      <w:r w:rsidR="004D12F4" w:rsidRPr="000F6B35">
        <w:rPr>
          <w:rFonts w:ascii="Arial" w:eastAsia="MS Mincho" w:hAnsi="Arial" w:cs="Arial"/>
          <w:szCs w:val="16"/>
          <w:lang w:eastAsia="ja-JP"/>
        </w:rPr>
        <w:t>elanie.chatfield@bca.org.au</w:t>
      </w:r>
    </w:p>
    <w:p w14:paraId="57BEAE36" w14:textId="77777777" w:rsidR="004D12F4" w:rsidRDefault="004D12F4" w:rsidP="004D12F4">
      <w:pPr>
        <w:spacing w:line="360" w:lineRule="auto"/>
        <w:rPr>
          <w:rFonts w:ascii="Arial" w:hAnsi="Arial" w:cs="Arial"/>
        </w:rPr>
      </w:pPr>
    </w:p>
    <w:p w14:paraId="1251FB9F" w14:textId="605FD6C2" w:rsidR="004D12F4" w:rsidRDefault="004D12F4" w:rsidP="004D12F4">
      <w:pPr>
        <w:spacing w:line="360" w:lineRule="auto"/>
        <w:rPr>
          <w:rFonts w:ascii="Arial" w:hAnsi="Arial" w:cs="Arial"/>
        </w:rPr>
      </w:pPr>
      <w:r>
        <w:rPr>
          <w:rFonts w:ascii="Arial" w:hAnsi="Arial" w:cs="Arial"/>
        </w:rPr>
        <w:t>24 May 2026</w:t>
      </w:r>
    </w:p>
    <w:p w14:paraId="1D87DED5" w14:textId="6BDB5A8A" w:rsidR="00B17029" w:rsidRDefault="00B17029">
      <w:pPr>
        <w:rPr>
          <w:rFonts w:ascii="Arial" w:hAnsi="Arial" w:cs="Arial"/>
        </w:rPr>
      </w:pPr>
      <w:r>
        <w:rPr>
          <w:rFonts w:ascii="Arial" w:hAnsi="Arial" w:cs="Arial"/>
        </w:rPr>
        <w:br w:type="page"/>
      </w:r>
    </w:p>
    <w:p w14:paraId="0DE84087" w14:textId="77777777" w:rsidR="00B73870" w:rsidRPr="000F51C0" w:rsidRDefault="00B73870" w:rsidP="000F51C0">
      <w:pPr>
        <w:pStyle w:val="Heading2"/>
      </w:pPr>
      <w:bookmarkStart w:id="0" w:name="_Toc222243488"/>
      <w:r w:rsidRPr="000F51C0">
        <w:lastRenderedPageBreak/>
        <w:t>1. Introduction</w:t>
      </w:r>
      <w:bookmarkEnd w:id="0"/>
    </w:p>
    <w:p w14:paraId="6BAC05AB" w14:textId="163B3C64" w:rsidR="00A20A04" w:rsidRDefault="00B73870" w:rsidP="00B73870">
      <w:pPr>
        <w:spacing w:line="360" w:lineRule="auto"/>
        <w:rPr>
          <w:rFonts w:ascii="Arial" w:hAnsi="Arial" w:cs="Arial"/>
        </w:rPr>
      </w:pPr>
      <w:r w:rsidRPr="007A750C">
        <w:rPr>
          <w:rFonts w:ascii="Arial" w:hAnsi="Arial" w:cs="Arial"/>
        </w:rPr>
        <w:t xml:space="preserve">Blind Citizens Australia (BCA) </w:t>
      </w:r>
      <w:r w:rsidR="004E4C45" w:rsidRPr="007A750C">
        <w:rPr>
          <w:rFonts w:ascii="Arial" w:hAnsi="Arial" w:cs="Arial"/>
        </w:rPr>
        <w:t>welcomes the opportunity to contribute to the development of a renewed National Cultural Policy</w:t>
      </w:r>
      <w:r w:rsidR="003D3E4B">
        <w:rPr>
          <w:rFonts w:ascii="Arial" w:hAnsi="Arial" w:cs="Arial"/>
        </w:rPr>
        <w:t xml:space="preserve"> (NCP)</w:t>
      </w:r>
      <w:r w:rsidR="004E4C45" w:rsidRPr="007A750C">
        <w:rPr>
          <w:rFonts w:ascii="Arial" w:hAnsi="Arial" w:cs="Arial"/>
        </w:rPr>
        <w:t>.</w:t>
      </w:r>
      <w:r w:rsidR="003308CD">
        <w:rPr>
          <w:rFonts w:ascii="Arial" w:hAnsi="Arial" w:cs="Arial"/>
        </w:rPr>
        <w:t xml:space="preserve"> </w:t>
      </w:r>
    </w:p>
    <w:p w14:paraId="05E73723" w14:textId="7492FF20" w:rsidR="00B73870" w:rsidRDefault="00EF6993" w:rsidP="00B73870">
      <w:pPr>
        <w:spacing w:line="360" w:lineRule="auto"/>
        <w:rPr>
          <w:rFonts w:ascii="Arial" w:hAnsi="Arial" w:cs="Arial"/>
        </w:rPr>
      </w:pPr>
      <w:r>
        <w:rPr>
          <w:rFonts w:ascii="Arial" w:hAnsi="Arial" w:cs="Arial"/>
        </w:rPr>
        <w:t xml:space="preserve">BCA </w:t>
      </w:r>
      <w:r w:rsidR="00B73870" w:rsidRPr="007A750C">
        <w:rPr>
          <w:rFonts w:ascii="Arial" w:hAnsi="Arial" w:cs="Arial"/>
        </w:rPr>
        <w:t xml:space="preserve">is the national representative organisation of people who are blind or vision impaired. </w:t>
      </w:r>
      <w:r w:rsidR="00487C77" w:rsidRPr="004117C8">
        <w:rPr>
          <w:rFonts w:ascii="Arial" w:hAnsi="Arial" w:cs="Arial"/>
        </w:rPr>
        <w:t xml:space="preserve">Our </w:t>
      </w:r>
      <w:r w:rsidR="0038569F">
        <w:rPr>
          <w:rFonts w:ascii="Arial" w:hAnsi="Arial" w:cs="Arial"/>
        </w:rPr>
        <w:t>work</w:t>
      </w:r>
      <w:r w:rsidR="00487C77" w:rsidRPr="004117C8">
        <w:rPr>
          <w:rFonts w:ascii="Arial" w:hAnsi="Arial" w:cs="Arial"/>
        </w:rPr>
        <w:t xml:space="preserve"> is</w:t>
      </w:r>
      <w:r w:rsidR="009751D2">
        <w:rPr>
          <w:rFonts w:ascii="Arial" w:hAnsi="Arial" w:cs="Arial"/>
        </w:rPr>
        <w:t xml:space="preserve"> directly</w:t>
      </w:r>
      <w:r w:rsidR="00487C77" w:rsidRPr="004117C8">
        <w:rPr>
          <w:rFonts w:ascii="Arial" w:hAnsi="Arial" w:cs="Arial"/>
        </w:rPr>
        <w:t xml:space="preserve"> informed by lived </w:t>
      </w:r>
      <w:proofErr w:type="gramStart"/>
      <w:r w:rsidR="00487C77" w:rsidRPr="004117C8">
        <w:rPr>
          <w:rFonts w:ascii="Arial" w:hAnsi="Arial" w:cs="Arial"/>
        </w:rPr>
        <w:t>experience</w:t>
      </w:r>
      <w:proofErr w:type="gramEnd"/>
      <w:r w:rsidR="00487C77" w:rsidRPr="007A750C">
        <w:rPr>
          <w:rFonts w:ascii="Arial" w:hAnsi="Arial" w:cs="Arial"/>
        </w:rPr>
        <w:t xml:space="preserve"> </w:t>
      </w:r>
      <w:r w:rsidR="00487C77">
        <w:rPr>
          <w:rFonts w:ascii="Arial" w:hAnsi="Arial" w:cs="Arial"/>
        </w:rPr>
        <w:t>and w</w:t>
      </w:r>
      <w:r w:rsidR="00B73870" w:rsidRPr="007A750C">
        <w:rPr>
          <w:rFonts w:ascii="Arial" w:hAnsi="Arial" w:cs="Arial"/>
        </w:rPr>
        <w:t>e advocate for equity, inclusion, and full participation in all aspects of Australian life, including arts, culture, and creative industries.</w:t>
      </w:r>
      <w:r w:rsidR="00B17029">
        <w:rPr>
          <w:rFonts w:ascii="Arial" w:hAnsi="Arial" w:cs="Arial"/>
        </w:rPr>
        <w:t xml:space="preserve"> </w:t>
      </w:r>
      <w:r w:rsidR="009F0830">
        <w:rPr>
          <w:rFonts w:ascii="Arial" w:hAnsi="Arial" w:cs="Arial"/>
        </w:rPr>
        <w:t xml:space="preserve">It is estimated </w:t>
      </w:r>
      <w:r w:rsidR="006E2BDB">
        <w:rPr>
          <w:rFonts w:ascii="Arial" w:hAnsi="Arial" w:cs="Arial"/>
        </w:rPr>
        <w:t>that there are o</w:t>
      </w:r>
      <w:r w:rsidR="00B17029">
        <w:rPr>
          <w:rFonts w:ascii="Arial" w:eastAsia="MS Mincho" w:hAnsi="Arial" w:cs="Arial"/>
          <w:szCs w:val="16"/>
          <w:lang w:eastAsia="ja-JP"/>
        </w:rPr>
        <w:t xml:space="preserve">ver </w:t>
      </w:r>
      <w:r w:rsidR="00B17029" w:rsidRPr="00F96DB7">
        <w:rPr>
          <w:rFonts w:ascii="Arial" w:eastAsia="MS Mincho" w:hAnsi="Arial" w:cs="Arial"/>
          <w:szCs w:val="16"/>
          <w:lang w:eastAsia="ja-JP"/>
        </w:rPr>
        <w:t>5</w:t>
      </w:r>
      <w:r w:rsidR="00B17029">
        <w:rPr>
          <w:rFonts w:ascii="Arial" w:eastAsia="MS Mincho" w:hAnsi="Arial" w:cs="Arial"/>
          <w:szCs w:val="16"/>
          <w:lang w:eastAsia="ja-JP"/>
        </w:rPr>
        <w:t>00</w:t>
      </w:r>
      <w:r w:rsidR="00B17029" w:rsidRPr="00F96DB7">
        <w:rPr>
          <w:rFonts w:ascii="Arial" w:eastAsia="MS Mincho" w:hAnsi="Arial" w:cs="Arial"/>
          <w:szCs w:val="16"/>
          <w:lang w:eastAsia="ja-JP"/>
        </w:rPr>
        <w:t xml:space="preserve">,000 people </w:t>
      </w:r>
      <w:r w:rsidR="00B17029">
        <w:rPr>
          <w:rFonts w:ascii="Arial" w:eastAsia="MS Mincho" w:hAnsi="Arial" w:cs="Arial"/>
          <w:szCs w:val="16"/>
          <w:lang w:eastAsia="ja-JP"/>
        </w:rPr>
        <w:t>living in Australia</w:t>
      </w:r>
      <w:r w:rsidR="00BA2A8C">
        <w:rPr>
          <w:rFonts w:ascii="Arial" w:eastAsia="MS Mincho" w:hAnsi="Arial" w:cs="Arial"/>
          <w:szCs w:val="16"/>
          <w:lang w:eastAsia="ja-JP"/>
        </w:rPr>
        <w:t xml:space="preserve"> who</w:t>
      </w:r>
      <w:r w:rsidR="00B17029">
        <w:rPr>
          <w:rFonts w:ascii="Arial" w:eastAsia="MS Mincho" w:hAnsi="Arial" w:cs="Arial"/>
          <w:szCs w:val="16"/>
          <w:lang w:eastAsia="ja-JP"/>
        </w:rPr>
        <w:t xml:space="preserve"> </w:t>
      </w:r>
      <w:r w:rsidR="00B17029" w:rsidRPr="00F96DB7">
        <w:rPr>
          <w:rFonts w:ascii="Arial" w:eastAsia="MS Mincho" w:hAnsi="Arial" w:cs="Arial"/>
          <w:szCs w:val="16"/>
          <w:lang w:eastAsia="ja-JP"/>
        </w:rPr>
        <w:t>are blind or vision impaired</w:t>
      </w:r>
      <w:r w:rsidR="00B17029">
        <w:rPr>
          <w:rFonts w:ascii="Arial" w:eastAsia="MS Mincho" w:hAnsi="Arial" w:cs="Arial"/>
          <w:szCs w:val="16"/>
          <w:lang w:eastAsia="ja-JP"/>
        </w:rPr>
        <w:t xml:space="preserve"> and the extent to which they </w:t>
      </w:r>
      <w:r w:rsidR="00B17029" w:rsidRPr="007E3155">
        <w:rPr>
          <w:rFonts w:ascii="Arial" w:eastAsia="MS Mincho" w:hAnsi="Arial" w:cs="Arial"/>
          <w:szCs w:val="16"/>
          <w:lang w:eastAsia="ja-JP"/>
        </w:rPr>
        <w:t>can actively and independently participate in community life rel</w:t>
      </w:r>
      <w:r w:rsidR="00B17029">
        <w:rPr>
          <w:rFonts w:ascii="Arial" w:eastAsia="MS Mincho" w:hAnsi="Arial" w:cs="Arial"/>
          <w:szCs w:val="16"/>
          <w:lang w:eastAsia="ja-JP"/>
        </w:rPr>
        <w:t>ies</w:t>
      </w:r>
      <w:r w:rsidR="00B17029" w:rsidRPr="007E3155">
        <w:rPr>
          <w:rFonts w:ascii="Arial" w:eastAsia="MS Mincho" w:hAnsi="Arial" w:cs="Arial"/>
          <w:szCs w:val="16"/>
          <w:lang w:eastAsia="ja-JP"/>
        </w:rPr>
        <w:t xml:space="preserve"> on </w:t>
      </w:r>
      <w:r w:rsidR="00B17029">
        <w:rPr>
          <w:rFonts w:ascii="Arial" w:eastAsia="MS Mincho" w:hAnsi="Arial" w:cs="Arial"/>
          <w:szCs w:val="16"/>
          <w:lang w:eastAsia="ja-JP"/>
        </w:rPr>
        <w:t xml:space="preserve">public </w:t>
      </w:r>
      <w:r w:rsidR="00B17029" w:rsidRPr="007E3155">
        <w:rPr>
          <w:rFonts w:ascii="Arial" w:eastAsia="MS Mincho" w:hAnsi="Arial" w:cs="Arial"/>
          <w:szCs w:val="16"/>
          <w:lang w:eastAsia="ja-JP"/>
        </w:rPr>
        <w:t xml:space="preserve">facilities, services and systems being designed in a way that </w:t>
      </w:r>
      <w:r w:rsidR="00B17029">
        <w:rPr>
          <w:rFonts w:ascii="Arial" w:eastAsia="MS Mincho" w:hAnsi="Arial" w:cs="Arial"/>
          <w:szCs w:val="16"/>
          <w:lang w:eastAsia="ja-JP"/>
        </w:rPr>
        <w:t>is</w:t>
      </w:r>
      <w:r w:rsidR="00B17029" w:rsidRPr="007E3155">
        <w:rPr>
          <w:rFonts w:ascii="Arial" w:eastAsia="MS Mincho" w:hAnsi="Arial" w:cs="Arial"/>
          <w:szCs w:val="16"/>
          <w:lang w:eastAsia="ja-JP"/>
        </w:rPr>
        <w:t xml:space="preserve"> inclusive</w:t>
      </w:r>
      <w:r w:rsidR="00B17029">
        <w:rPr>
          <w:rFonts w:ascii="Arial" w:eastAsia="MS Mincho" w:hAnsi="Arial" w:cs="Arial"/>
          <w:szCs w:val="16"/>
          <w:lang w:eastAsia="ja-JP"/>
        </w:rPr>
        <w:t>.</w:t>
      </w:r>
    </w:p>
    <w:p w14:paraId="6AA96EFC" w14:textId="46BE14AA" w:rsidR="003850C8" w:rsidRDefault="00B73870" w:rsidP="003850C8">
      <w:pPr>
        <w:spacing w:line="360" w:lineRule="auto"/>
        <w:rPr>
          <w:rFonts w:ascii="Arial" w:hAnsi="Arial" w:cs="Arial"/>
        </w:rPr>
      </w:pPr>
      <w:r w:rsidRPr="007A750C">
        <w:rPr>
          <w:rFonts w:ascii="Arial" w:hAnsi="Arial" w:cs="Arial"/>
        </w:rPr>
        <w:t>Access to cultural life is recognised as a human right</w:t>
      </w:r>
      <w:r w:rsidR="00CF5A54">
        <w:rPr>
          <w:rFonts w:ascii="Arial" w:hAnsi="Arial" w:cs="Arial"/>
        </w:rPr>
        <w:t>.</w:t>
      </w:r>
      <w:r w:rsidR="0020695B">
        <w:rPr>
          <w:rStyle w:val="FootnoteReference"/>
          <w:rFonts w:ascii="Arial" w:hAnsi="Arial" w:cs="Arial"/>
        </w:rPr>
        <w:footnoteReference w:id="1"/>
      </w:r>
      <w:r w:rsidRPr="007A750C">
        <w:rPr>
          <w:rFonts w:ascii="Arial" w:hAnsi="Arial" w:cs="Arial"/>
        </w:rPr>
        <w:t xml:space="preserve"> </w:t>
      </w:r>
      <w:r w:rsidR="00E43577">
        <w:rPr>
          <w:rFonts w:ascii="Arial" w:hAnsi="Arial" w:cs="Arial"/>
        </w:rPr>
        <w:t>C</w:t>
      </w:r>
      <w:r w:rsidR="00E43577" w:rsidRPr="00512A89">
        <w:rPr>
          <w:rFonts w:ascii="Arial" w:hAnsi="Arial" w:cs="Arial"/>
        </w:rPr>
        <w:t>reative engagement supports inclusion and social connection</w:t>
      </w:r>
      <w:r w:rsidR="00E43577">
        <w:rPr>
          <w:rFonts w:ascii="Arial" w:hAnsi="Arial" w:cs="Arial"/>
        </w:rPr>
        <w:t xml:space="preserve">, </w:t>
      </w:r>
      <w:r w:rsidR="00CF5A54">
        <w:rPr>
          <w:rFonts w:ascii="Arial" w:hAnsi="Arial" w:cs="Arial"/>
        </w:rPr>
        <w:t>whereas</w:t>
      </w:r>
      <w:r w:rsidR="00E43577">
        <w:rPr>
          <w:rFonts w:ascii="Arial" w:hAnsi="Arial" w:cs="Arial"/>
        </w:rPr>
        <w:t xml:space="preserve"> e</w:t>
      </w:r>
      <w:r w:rsidR="00E43577" w:rsidRPr="007A750C">
        <w:rPr>
          <w:rFonts w:ascii="Arial" w:hAnsi="Arial" w:cs="Arial"/>
        </w:rPr>
        <w:t>xclusion from shared cultural experiences reinforces social isolation and reduces opportunities for</w:t>
      </w:r>
      <w:r w:rsidR="00026D6F">
        <w:rPr>
          <w:rFonts w:ascii="Arial" w:hAnsi="Arial" w:cs="Arial"/>
        </w:rPr>
        <w:t xml:space="preserve"> equitable</w:t>
      </w:r>
      <w:r w:rsidR="00E43577" w:rsidRPr="007A750C">
        <w:rPr>
          <w:rFonts w:ascii="Arial" w:hAnsi="Arial" w:cs="Arial"/>
        </w:rPr>
        <w:t xml:space="preserve"> community participation.</w:t>
      </w:r>
      <w:r w:rsidR="00E43577">
        <w:rPr>
          <w:rFonts w:ascii="Arial" w:hAnsi="Arial" w:cs="Arial"/>
        </w:rPr>
        <w:t xml:space="preserve"> </w:t>
      </w:r>
    </w:p>
    <w:p w14:paraId="7DFF82B0" w14:textId="360078F1" w:rsidR="00DA47F2" w:rsidRDefault="00B46A5E" w:rsidP="00DA47F2">
      <w:pPr>
        <w:spacing w:line="360" w:lineRule="auto"/>
        <w:rPr>
          <w:rFonts w:ascii="Arial" w:hAnsi="Arial" w:cs="Arial"/>
        </w:rPr>
      </w:pPr>
      <w:r>
        <w:rPr>
          <w:rFonts w:ascii="Arial" w:hAnsi="Arial" w:cs="Arial"/>
        </w:rPr>
        <w:t>Fo</w:t>
      </w:r>
      <w:r w:rsidRPr="00EF3841">
        <w:rPr>
          <w:rFonts w:ascii="Arial" w:hAnsi="Arial" w:cs="Arial"/>
        </w:rPr>
        <w:t xml:space="preserve">r people who are blind or vision impaired, access to arts and culture </w:t>
      </w:r>
      <w:r w:rsidR="009A18AD">
        <w:rPr>
          <w:rFonts w:ascii="Arial" w:hAnsi="Arial" w:cs="Arial"/>
        </w:rPr>
        <w:t xml:space="preserve">in Australia </w:t>
      </w:r>
      <w:r w:rsidRPr="00EF3841">
        <w:rPr>
          <w:rFonts w:ascii="Arial" w:hAnsi="Arial" w:cs="Arial"/>
        </w:rPr>
        <w:t>remains inconsistent and often inadequate.</w:t>
      </w:r>
      <w:r>
        <w:rPr>
          <w:rFonts w:ascii="Arial" w:hAnsi="Arial" w:cs="Arial"/>
        </w:rPr>
        <w:t xml:space="preserve"> </w:t>
      </w:r>
      <w:r w:rsidR="00DA47F2">
        <w:rPr>
          <w:rFonts w:ascii="Arial" w:hAnsi="Arial" w:cs="Arial"/>
        </w:rPr>
        <w:t>A</w:t>
      </w:r>
      <w:r w:rsidR="00DA47F2" w:rsidRPr="000D14D0">
        <w:rPr>
          <w:rFonts w:ascii="Arial" w:hAnsi="Arial" w:cs="Arial"/>
        </w:rPr>
        <w:t>ll Australians must be able to independently discover, access and engage with arts and culture on an equal basis with others, including through accessible physical, digital and communication environments.</w:t>
      </w:r>
    </w:p>
    <w:p w14:paraId="564BA1D6" w14:textId="4D9ED2DA" w:rsidR="009B0E34" w:rsidRDefault="009B0E34" w:rsidP="009B0E34">
      <w:pPr>
        <w:spacing w:line="360" w:lineRule="auto"/>
        <w:rPr>
          <w:rFonts w:ascii="Arial" w:hAnsi="Arial" w:cs="Arial"/>
        </w:rPr>
      </w:pPr>
      <w:r>
        <w:rPr>
          <w:rFonts w:ascii="Arial" w:hAnsi="Arial" w:cs="Arial"/>
        </w:rPr>
        <w:t>BCA recognises that c</w:t>
      </w:r>
      <w:r w:rsidRPr="00512A89">
        <w:rPr>
          <w:rFonts w:ascii="Arial" w:hAnsi="Arial" w:cs="Arial"/>
        </w:rPr>
        <w:t xml:space="preserve">ultural participation </w:t>
      </w:r>
      <w:r>
        <w:rPr>
          <w:rFonts w:ascii="Arial" w:hAnsi="Arial" w:cs="Arial"/>
        </w:rPr>
        <w:t>i</w:t>
      </w:r>
      <w:r w:rsidRPr="00512A89">
        <w:rPr>
          <w:rFonts w:ascii="Arial" w:hAnsi="Arial" w:cs="Arial"/>
        </w:rPr>
        <w:t>s part of broader inclusion infrastructure</w:t>
      </w:r>
      <w:r w:rsidR="00D65B7F">
        <w:rPr>
          <w:rFonts w:ascii="Arial" w:hAnsi="Arial" w:cs="Arial"/>
        </w:rPr>
        <w:t xml:space="preserve"> and our </w:t>
      </w:r>
      <w:r>
        <w:rPr>
          <w:rFonts w:ascii="Arial" w:hAnsi="Arial" w:cs="Arial"/>
        </w:rPr>
        <w:t>submission is underpinned by the D</w:t>
      </w:r>
      <w:r w:rsidR="00101CF2">
        <w:rPr>
          <w:rFonts w:ascii="Arial" w:hAnsi="Arial" w:cs="Arial"/>
        </w:rPr>
        <w:t xml:space="preserve">isability Discrimination </w:t>
      </w:r>
      <w:r>
        <w:rPr>
          <w:rFonts w:ascii="Arial" w:hAnsi="Arial" w:cs="Arial"/>
        </w:rPr>
        <w:t>A</w:t>
      </w:r>
      <w:r w:rsidR="00101CF2">
        <w:rPr>
          <w:rFonts w:ascii="Arial" w:hAnsi="Arial" w:cs="Arial"/>
        </w:rPr>
        <w:t>ct</w:t>
      </w:r>
      <w:r w:rsidR="00D2333F">
        <w:rPr>
          <w:rFonts w:ascii="Arial" w:hAnsi="Arial" w:cs="Arial"/>
        </w:rPr>
        <w:t xml:space="preserve"> 1992 (</w:t>
      </w:r>
      <w:proofErr w:type="spellStart"/>
      <w:r w:rsidR="00D2333F">
        <w:rPr>
          <w:rFonts w:ascii="Arial" w:hAnsi="Arial" w:cs="Arial"/>
        </w:rPr>
        <w:t>Cth</w:t>
      </w:r>
      <w:proofErr w:type="spellEnd"/>
      <w:r w:rsidR="00D2333F">
        <w:rPr>
          <w:rFonts w:ascii="Arial" w:hAnsi="Arial" w:cs="Arial"/>
        </w:rPr>
        <w:t>)</w:t>
      </w:r>
      <w:r>
        <w:rPr>
          <w:rFonts w:ascii="Arial" w:hAnsi="Arial" w:cs="Arial"/>
        </w:rPr>
        <w:t xml:space="preserve"> and</w:t>
      </w:r>
      <w:r w:rsidR="00190EDB">
        <w:rPr>
          <w:rFonts w:ascii="Arial" w:hAnsi="Arial" w:cs="Arial"/>
        </w:rPr>
        <w:t xml:space="preserve"> the</w:t>
      </w:r>
      <w:r w:rsidR="00B7096F">
        <w:rPr>
          <w:rFonts w:ascii="Arial" w:hAnsi="Arial" w:cs="Arial"/>
        </w:rPr>
        <w:t xml:space="preserve"> United Nations Convention on the Rights of Persons with Disabilities. </w:t>
      </w:r>
      <w:r w:rsidR="00190EDB">
        <w:rPr>
          <w:rFonts w:ascii="Arial" w:hAnsi="Arial" w:cs="Arial"/>
        </w:rPr>
        <w:t xml:space="preserve"> </w:t>
      </w:r>
    </w:p>
    <w:p w14:paraId="6BEB95F6" w14:textId="63ADF16F" w:rsidR="00B73870" w:rsidRPr="007A750C" w:rsidRDefault="000F51C0" w:rsidP="005F5774">
      <w:pPr>
        <w:pStyle w:val="Heading2"/>
      </w:pPr>
      <w:r>
        <w:t xml:space="preserve">2. </w:t>
      </w:r>
      <w:r w:rsidR="00466C78">
        <w:t>Challenges</w:t>
      </w:r>
      <w:r w:rsidR="008408C0">
        <w:t xml:space="preserve"> and opportunities </w:t>
      </w:r>
    </w:p>
    <w:p w14:paraId="4A7BD10A" w14:textId="6D678A69" w:rsidR="007546A8" w:rsidRDefault="00CE3516" w:rsidP="00FE7966">
      <w:pPr>
        <w:spacing w:line="360" w:lineRule="auto"/>
        <w:rPr>
          <w:rFonts w:ascii="Arial" w:hAnsi="Arial" w:cs="Arial"/>
        </w:rPr>
      </w:pPr>
      <w:r w:rsidRPr="004117C8">
        <w:rPr>
          <w:rFonts w:ascii="Arial" w:hAnsi="Arial" w:cs="Arial"/>
        </w:rPr>
        <w:t xml:space="preserve">BCA supports </w:t>
      </w:r>
      <w:r w:rsidR="00B7096F">
        <w:rPr>
          <w:rFonts w:ascii="Arial" w:hAnsi="Arial" w:cs="Arial"/>
        </w:rPr>
        <w:t>the NCP’s</w:t>
      </w:r>
      <w:r w:rsidRPr="004117C8">
        <w:rPr>
          <w:rFonts w:ascii="Arial" w:hAnsi="Arial" w:cs="Arial"/>
        </w:rPr>
        <w:t xml:space="preserve"> five-pillar framework and its continued role in shaping cultural policy.</w:t>
      </w:r>
      <w:r>
        <w:rPr>
          <w:rFonts w:ascii="Arial" w:hAnsi="Arial" w:cs="Arial"/>
        </w:rPr>
        <w:t xml:space="preserve"> </w:t>
      </w:r>
      <w:r w:rsidR="00032AB1">
        <w:rPr>
          <w:rFonts w:ascii="Arial" w:hAnsi="Arial" w:cs="Arial"/>
        </w:rPr>
        <w:t xml:space="preserve">BCA </w:t>
      </w:r>
      <w:r w:rsidR="00E43577" w:rsidRPr="007A750C">
        <w:rPr>
          <w:rFonts w:ascii="Arial" w:hAnsi="Arial" w:cs="Arial"/>
        </w:rPr>
        <w:t>acknowledge</w:t>
      </w:r>
      <w:r w:rsidR="00F2663D">
        <w:rPr>
          <w:rFonts w:ascii="Arial" w:hAnsi="Arial" w:cs="Arial"/>
        </w:rPr>
        <w:t>s</w:t>
      </w:r>
      <w:r w:rsidR="007D40FB">
        <w:rPr>
          <w:rFonts w:ascii="Arial" w:hAnsi="Arial" w:cs="Arial"/>
        </w:rPr>
        <w:t xml:space="preserve"> the commitment to inclusion and diversity in the </w:t>
      </w:r>
      <w:r w:rsidR="003545FC">
        <w:rPr>
          <w:rFonts w:ascii="Arial" w:hAnsi="Arial" w:cs="Arial"/>
        </w:rPr>
        <w:t>NCP</w:t>
      </w:r>
      <w:r w:rsidR="00170188">
        <w:rPr>
          <w:rFonts w:ascii="Arial" w:hAnsi="Arial" w:cs="Arial"/>
        </w:rPr>
        <w:t xml:space="preserve">, as well as </w:t>
      </w:r>
      <w:r w:rsidR="00032AB1">
        <w:rPr>
          <w:rFonts w:ascii="Arial" w:hAnsi="Arial" w:cs="Arial"/>
        </w:rPr>
        <w:t xml:space="preserve">work underway </w:t>
      </w:r>
      <w:r w:rsidR="000A084A">
        <w:rPr>
          <w:rFonts w:ascii="Arial" w:hAnsi="Arial" w:cs="Arial"/>
        </w:rPr>
        <w:t xml:space="preserve">via </w:t>
      </w:r>
      <w:r w:rsidR="00990E4A" w:rsidRPr="00A20B99">
        <w:rPr>
          <w:rFonts w:ascii="Arial" w:hAnsi="Arial" w:cs="Arial"/>
        </w:rPr>
        <w:t>Equity: The Arts and Disability Plan 2022–2026</w:t>
      </w:r>
      <w:r w:rsidR="00264B0C">
        <w:rPr>
          <w:rStyle w:val="FootnoteReference"/>
          <w:rFonts w:ascii="Arial" w:hAnsi="Arial" w:cs="Arial"/>
        </w:rPr>
        <w:footnoteReference w:id="2"/>
      </w:r>
      <w:r w:rsidR="00FB4CB8">
        <w:rPr>
          <w:rFonts w:ascii="Arial" w:hAnsi="Arial" w:cs="Arial"/>
        </w:rPr>
        <w:t>.</w:t>
      </w:r>
      <w:r w:rsidR="003C5A63">
        <w:rPr>
          <w:rFonts w:ascii="Arial" w:hAnsi="Arial" w:cs="Arial"/>
        </w:rPr>
        <w:t xml:space="preserve"> </w:t>
      </w:r>
    </w:p>
    <w:p w14:paraId="7E6B1271" w14:textId="73E7B08A" w:rsidR="00FE7966" w:rsidRDefault="00FB4CB8" w:rsidP="00FE7966">
      <w:pPr>
        <w:spacing w:line="360" w:lineRule="auto"/>
        <w:rPr>
          <w:rFonts w:ascii="Arial" w:hAnsi="Arial" w:cs="Arial"/>
        </w:rPr>
      </w:pPr>
      <w:r>
        <w:rPr>
          <w:rFonts w:ascii="Arial" w:hAnsi="Arial" w:cs="Arial"/>
        </w:rPr>
        <w:t>H</w:t>
      </w:r>
      <w:r w:rsidR="00E43577">
        <w:rPr>
          <w:rFonts w:ascii="Arial" w:hAnsi="Arial" w:cs="Arial"/>
        </w:rPr>
        <w:t>owever</w:t>
      </w:r>
      <w:r>
        <w:rPr>
          <w:rFonts w:ascii="Arial" w:hAnsi="Arial" w:cs="Arial"/>
        </w:rPr>
        <w:t>,</w:t>
      </w:r>
      <w:r w:rsidR="00E43577">
        <w:rPr>
          <w:rFonts w:ascii="Arial" w:hAnsi="Arial" w:cs="Arial"/>
        </w:rPr>
        <w:t xml:space="preserve"> </w:t>
      </w:r>
      <w:r w:rsidR="000A00D4">
        <w:rPr>
          <w:rFonts w:ascii="Arial" w:hAnsi="Arial" w:cs="Arial"/>
        </w:rPr>
        <w:t xml:space="preserve">we </w:t>
      </w:r>
      <w:r w:rsidR="00E43577">
        <w:rPr>
          <w:rFonts w:ascii="Arial" w:hAnsi="Arial" w:cs="Arial"/>
        </w:rPr>
        <w:t>believe</w:t>
      </w:r>
      <w:r w:rsidR="003C5A63">
        <w:rPr>
          <w:rFonts w:ascii="Arial" w:hAnsi="Arial" w:cs="Arial"/>
        </w:rPr>
        <w:t xml:space="preserve"> that </w:t>
      </w:r>
      <w:r w:rsidR="00E43577">
        <w:rPr>
          <w:rFonts w:ascii="Arial" w:hAnsi="Arial" w:cs="Arial"/>
        </w:rPr>
        <w:t xml:space="preserve">more </w:t>
      </w:r>
      <w:r w:rsidR="003C5A63">
        <w:rPr>
          <w:rFonts w:ascii="Arial" w:hAnsi="Arial" w:cs="Arial"/>
        </w:rPr>
        <w:t>needs to</w:t>
      </w:r>
      <w:r w:rsidR="00E43577">
        <w:rPr>
          <w:rFonts w:ascii="Arial" w:hAnsi="Arial" w:cs="Arial"/>
        </w:rPr>
        <w:t xml:space="preserve"> be done to </w:t>
      </w:r>
      <w:r w:rsidR="00E43577" w:rsidRPr="007A750C">
        <w:rPr>
          <w:rFonts w:ascii="Arial" w:hAnsi="Arial" w:cs="Arial"/>
        </w:rPr>
        <w:t>address the systemic barriers faced by people who are blind or vision impaired</w:t>
      </w:r>
      <w:r w:rsidR="00E43577">
        <w:rPr>
          <w:rFonts w:ascii="Arial" w:hAnsi="Arial" w:cs="Arial"/>
        </w:rPr>
        <w:t xml:space="preserve"> in</w:t>
      </w:r>
      <w:r w:rsidR="00A20B99">
        <w:rPr>
          <w:rFonts w:ascii="Arial" w:hAnsi="Arial" w:cs="Arial"/>
        </w:rPr>
        <w:t xml:space="preserve"> accessing</w:t>
      </w:r>
      <w:r w:rsidR="00E43577">
        <w:rPr>
          <w:rFonts w:ascii="Arial" w:hAnsi="Arial" w:cs="Arial"/>
        </w:rPr>
        <w:t xml:space="preserve"> cultural life</w:t>
      </w:r>
      <w:r w:rsidR="00E43577" w:rsidRPr="007A750C">
        <w:rPr>
          <w:rFonts w:ascii="Arial" w:hAnsi="Arial" w:cs="Arial"/>
        </w:rPr>
        <w:t>.</w:t>
      </w:r>
      <w:r w:rsidR="00E43577">
        <w:rPr>
          <w:rFonts w:ascii="Arial" w:hAnsi="Arial" w:cs="Arial"/>
        </w:rPr>
        <w:t xml:space="preserve"> </w:t>
      </w:r>
      <w:r w:rsidR="009608D3" w:rsidRPr="004117C8">
        <w:rPr>
          <w:rFonts w:ascii="Arial" w:hAnsi="Arial" w:cs="Arial"/>
        </w:rPr>
        <w:t xml:space="preserve">These </w:t>
      </w:r>
      <w:r w:rsidR="009608D3" w:rsidRPr="004117C8">
        <w:rPr>
          <w:rFonts w:ascii="Arial" w:hAnsi="Arial" w:cs="Arial"/>
        </w:rPr>
        <w:lastRenderedPageBreak/>
        <w:t>barriers</w:t>
      </w:r>
      <w:r w:rsidR="005852F9">
        <w:rPr>
          <w:rFonts w:ascii="Arial" w:hAnsi="Arial" w:cs="Arial"/>
        </w:rPr>
        <w:t xml:space="preserve"> continue to</w:t>
      </w:r>
      <w:r w:rsidR="009608D3" w:rsidRPr="004117C8">
        <w:rPr>
          <w:rFonts w:ascii="Arial" w:hAnsi="Arial" w:cs="Arial"/>
        </w:rPr>
        <w:t xml:space="preserve"> restrict participation and limit opportunities </w:t>
      </w:r>
      <w:r w:rsidR="005852F9">
        <w:rPr>
          <w:rFonts w:ascii="Arial" w:hAnsi="Arial" w:cs="Arial"/>
        </w:rPr>
        <w:t>to</w:t>
      </w:r>
      <w:r w:rsidR="009608D3" w:rsidRPr="004117C8">
        <w:rPr>
          <w:rFonts w:ascii="Arial" w:hAnsi="Arial" w:cs="Arial"/>
        </w:rPr>
        <w:t xml:space="preserve"> engage in shared cultural experiences</w:t>
      </w:r>
      <w:r w:rsidR="00A457AD">
        <w:rPr>
          <w:rFonts w:ascii="Arial" w:hAnsi="Arial" w:cs="Arial"/>
        </w:rPr>
        <w:t>.</w:t>
      </w:r>
      <w:r w:rsidR="00000336">
        <w:rPr>
          <w:rFonts w:ascii="Arial" w:hAnsi="Arial" w:cs="Arial"/>
        </w:rPr>
        <w:t xml:space="preserve"> </w:t>
      </w:r>
    </w:p>
    <w:p w14:paraId="30B5BEBA" w14:textId="6E0E5737" w:rsidR="00AF1C16" w:rsidRDefault="00AF1C16" w:rsidP="00FE7966">
      <w:pPr>
        <w:spacing w:line="360" w:lineRule="auto"/>
        <w:rPr>
          <w:rFonts w:ascii="Arial" w:hAnsi="Arial" w:cs="Arial"/>
        </w:rPr>
      </w:pPr>
      <w:r w:rsidRPr="00AF1C16">
        <w:rPr>
          <w:rFonts w:ascii="Arial" w:hAnsi="Arial" w:cs="Arial"/>
        </w:rPr>
        <w:t>While disability arts organisations continue to demonstrate leadership and innovation in accessible cultural practice, lasting inclusion cannot rely solely on specialist organisations, and requires a coordinated, system-wide commitment to accessibility and disability inclusion across the entire arts and cultural sector.</w:t>
      </w:r>
    </w:p>
    <w:p w14:paraId="150AFFDC" w14:textId="70453833" w:rsidR="00512A89" w:rsidRDefault="0054762C" w:rsidP="000F51C0">
      <w:pPr>
        <w:spacing w:line="360" w:lineRule="auto"/>
        <w:rPr>
          <w:rFonts w:ascii="Arial" w:hAnsi="Arial" w:cs="Arial"/>
        </w:rPr>
      </w:pPr>
      <w:r>
        <w:rPr>
          <w:rFonts w:ascii="Arial" w:hAnsi="Arial" w:cs="Arial"/>
        </w:rPr>
        <w:t>It’s our view that a</w:t>
      </w:r>
      <w:r w:rsidR="000F51C0" w:rsidRPr="000F51C0">
        <w:rPr>
          <w:rFonts w:ascii="Arial" w:hAnsi="Arial" w:cs="Arial"/>
        </w:rPr>
        <w:t xml:space="preserve">ccessibility </w:t>
      </w:r>
      <w:r w:rsidR="000D2453">
        <w:rPr>
          <w:rFonts w:ascii="Arial" w:hAnsi="Arial" w:cs="Arial"/>
        </w:rPr>
        <w:t>should be explicitly reflected in</w:t>
      </w:r>
      <w:r w:rsidR="00D4163E">
        <w:rPr>
          <w:rFonts w:ascii="Arial" w:hAnsi="Arial" w:cs="Arial"/>
        </w:rPr>
        <w:t xml:space="preserve"> the</w:t>
      </w:r>
      <w:r w:rsidR="000D2453">
        <w:rPr>
          <w:rFonts w:ascii="Arial" w:hAnsi="Arial" w:cs="Arial"/>
        </w:rPr>
        <w:t xml:space="preserve"> </w:t>
      </w:r>
      <w:r w:rsidR="00D4163E">
        <w:rPr>
          <w:rFonts w:ascii="Arial" w:hAnsi="Arial" w:cs="Arial"/>
        </w:rPr>
        <w:t xml:space="preserve">revised </w:t>
      </w:r>
      <w:r w:rsidR="000D2453">
        <w:rPr>
          <w:rFonts w:ascii="Arial" w:hAnsi="Arial" w:cs="Arial"/>
        </w:rPr>
        <w:t>NCP and</w:t>
      </w:r>
      <w:r w:rsidR="000F51C0" w:rsidRPr="000F51C0">
        <w:rPr>
          <w:rFonts w:ascii="Arial" w:hAnsi="Arial" w:cs="Arial"/>
        </w:rPr>
        <w:t xml:space="preserve"> consistently embedded as a mandatory structural requirement across</w:t>
      </w:r>
      <w:r w:rsidR="00BF28CC">
        <w:rPr>
          <w:rFonts w:ascii="Arial" w:hAnsi="Arial" w:cs="Arial"/>
        </w:rPr>
        <w:t xml:space="preserve"> all</w:t>
      </w:r>
      <w:r w:rsidR="000F51C0" w:rsidRPr="000F51C0">
        <w:rPr>
          <w:rFonts w:ascii="Arial" w:hAnsi="Arial" w:cs="Arial"/>
        </w:rPr>
        <w:t xml:space="preserve"> cultural funding, infrastructure, and audience engagement systems</w:t>
      </w:r>
      <w:r w:rsidR="000F51C0" w:rsidRPr="00512A89">
        <w:rPr>
          <w:rFonts w:ascii="Arial" w:hAnsi="Arial" w:cs="Arial"/>
        </w:rPr>
        <w:t xml:space="preserve">. </w:t>
      </w:r>
    </w:p>
    <w:p w14:paraId="73B44722" w14:textId="415B9391" w:rsidR="00EE2239" w:rsidRPr="00E344E2" w:rsidRDefault="00EE2239" w:rsidP="00E344E2">
      <w:pPr>
        <w:pStyle w:val="Heading3"/>
      </w:pPr>
      <w:r w:rsidRPr="00E344E2">
        <w:t>Pillar 1 — First Nations First</w:t>
      </w:r>
    </w:p>
    <w:p w14:paraId="5B984DF1" w14:textId="70166926" w:rsidR="002E1EAB" w:rsidRDefault="00EE2239" w:rsidP="00261A5A">
      <w:pPr>
        <w:spacing w:line="360" w:lineRule="auto"/>
        <w:rPr>
          <w:rFonts w:ascii="Arial" w:hAnsi="Arial" w:cs="Arial"/>
        </w:rPr>
      </w:pPr>
      <w:r w:rsidRPr="00EE2239">
        <w:rPr>
          <w:rFonts w:ascii="Arial" w:hAnsi="Arial" w:cs="Arial"/>
        </w:rPr>
        <w:t xml:space="preserve">BCA recognises the centrality of First Nations culture and leadership. </w:t>
      </w:r>
      <w:r w:rsidR="00584698" w:rsidRPr="00584698">
        <w:rPr>
          <w:rFonts w:ascii="Arial" w:hAnsi="Arial" w:cs="Arial"/>
        </w:rPr>
        <w:t>First Nations people who are blind or vision impaired often experience compounded exclusion due to the intersection of disability, racism, geographic isolation, socioeconomic disadvantage and barriers</w:t>
      </w:r>
      <w:r w:rsidR="002E1EAB">
        <w:rPr>
          <w:rFonts w:ascii="Arial" w:hAnsi="Arial" w:cs="Arial"/>
        </w:rPr>
        <w:t xml:space="preserve"> to participation, access and inclusion</w:t>
      </w:r>
      <w:r w:rsidR="006D38F0">
        <w:rPr>
          <w:rStyle w:val="FootnoteReference"/>
          <w:rFonts w:ascii="Arial" w:hAnsi="Arial" w:cs="Arial"/>
        </w:rPr>
        <w:footnoteReference w:id="3"/>
      </w:r>
      <w:r w:rsidR="002E1EAB">
        <w:rPr>
          <w:rFonts w:ascii="Arial" w:hAnsi="Arial" w:cs="Arial"/>
        </w:rPr>
        <w:t>.</w:t>
      </w:r>
      <w:r w:rsidR="00261A5A">
        <w:rPr>
          <w:rFonts w:ascii="Arial" w:hAnsi="Arial" w:cs="Arial"/>
        </w:rPr>
        <w:t xml:space="preserve"> </w:t>
      </w:r>
      <w:r w:rsidR="007E7E7E" w:rsidRPr="007E7E7E">
        <w:rPr>
          <w:rFonts w:ascii="Arial" w:hAnsi="Arial" w:cs="Arial"/>
        </w:rPr>
        <w:t>According to the Australian Institute of Health and Welfare, First Nations Australians experience vision impairment at almost three times the rate of non-Indigenous Australians</w:t>
      </w:r>
      <w:r w:rsidR="000337D0">
        <w:rPr>
          <w:rStyle w:val="FootnoteReference"/>
          <w:rFonts w:ascii="Arial" w:hAnsi="Arial" w:cs="Arial"/>
        </w:rPr>
        <w:footnoteReference w:id="4"/>
      </w:r>
      <w:r w:rsidR="007E7E7E" w:rsidRPr="007E7E7E">
        <w:rPr>
          <w:rFonts w:ascii="Arial" w:hAnsi="Arial" w:cs="Arial"/>
        </w:rPr>
        <w:t xml:space="preserve">. </w:t>
      </w:r>
    </w:p>
    <w:p w14:paraId="78EDB3F4" w14:textId="2AD3D840" w:rsidR="0067748A" w:rsidRDefault="00261A5A" w:rsidP="00261A5A">
      <w:pPr>
        <w:spacing w:line="360" w:lineRule="auto"/>
        <w:rPr>
          <w:rFonts w:ascii="Arial" w:hAnsi="Arial" w:cs="Arial"/>
        </w:rPr>
      </w:pPr>
      <w:r>
        <w:rPr>
          <w:rFonts w:ascii="Arial" w:hAnsi="Arial" w:cs="Arial"/>
        </w:rPr>
        <w:t>C</w:t>
      </w:r>
      <w:r w:rsidR="00EE2239" w:rsidRPr="00A77753">
        <w:rPr>
          <w:rFonts w:ascii="Arial" w:hAnsi="Arial" w:cs="Arial"/>
        </w:rPr>
        <w:t>ultural knowledge and storytelling</w:t>
      </w:r>
      <w:r>
        <w:rPr>
          <w:rFonts w:ascii="Arial" w:hAnsi="Arial" w:cs="Arial"/>
        </w:rPr>
        <w:t xml:space="preserve"> </w:t>
      </w:r>
      <w:r w:rsidR="00EE2239" w:rsidRPr="00A77753">
        <w:rPr>
          <w:rFonts w:ascii="Arial" w:hAnsi="Arial" w:cs="Arial"/>
        </w:rPr>
        <w:t>delivered through</w:t>
      </w:r>
      <w:r w:rsidR="00A77753" w:rsidRPr="00A77753">
        <w:rPr>
          <w:rFonts w:ascii="Arial" w:hAnsi="Arial" w:cs="Arial"/>
        </w:rPr>
        <w:t xml:space="preserve"> v</w:t>
      </w:r>
      <w:r w:rsidR="00EE2239" w:rsidRPr="00A77753">
        <w:rPr>
          <w:rFonts w:ascii="Arial" w:hAnsi="Arial" w:cs="Arial"/>
        </w:rPr>
        <w:t xml:space="preserve">isual art and performance without </w:t>
      </w:r>
      <w:r w:rsidR="00ED4B29">
        <w:rPr>
          <w:rFonts w:ascii="Arial" w:hAnsi="Arial" w:cs="Arial"/>
        </w:rPr>
        <w:t xml:space="preserve">provision for </w:t>
      </w:r>
      <w:r w:rsidR="00A77753" w:rsidRPr="00A77753">
        <w:rPr>
          <w:rFonts w:ascii="Arial" w:hAnsi="Arial" w:cs="Arial"/>
        </w:rPr>
        <w:t xml:space="preserve">audio </w:t>
      </w:r>
      <w:r w:rsidR="00EE2239" w:rsidRPr="00A77753">
        <w:rPr>
          <w:rFonts w:ascii="Arial" w:hAnsi="Arial" w:cs="Arial"/>
        </w:rPr>
        <w:t>description</w:t>
      </w:r>
      <w:r w:rsidR="00A77753" w:rsidRPr="00A77753">
        <w:rPr>
          <w:rFonts w:ascii="Arial" w:hAnsi="Arial" w:cs="Arial"/>
        </w:rPr>
        <w:t xml:space="preserve"> or tactile </w:t>
      </w:r>
      <w:proofErr w:type="gramStart"/>
      <w:r w:rsidR="00A77753" w:rsidRPr="00A77753">
        <w:rPr>
          <w:rFonts w:ascii="Arial" w:hAnsi="Arial" w:cs="Arial"/>
        </w:rPr>
        <w:t>features</w:t>
      </w:r>
      <w:r w:rsidR="002002EF">
        <w:rPr>
          <w:rFonts w:ascii="Arial" w:hAnsi="Arial" w:cs="Arial"/>
        </w:rPr>
        <w:t>,</w:t>
      </w:r>
      <w:r w:rsidR="00455A07">
        <w:rPr>
          <w:rFonts w:ascii="Arial" w:hAnsi="Arial" w:cs="Arial"/>
        </w:rPr>
        <w:t xml:space="preserve"> </w:t>
      </w:r>
      <w:r w:rsidR="00286DD5">
        <w:rPr>
          <w:rFonts w:ascii="Arial" w:hAnsi="Arial" w:cs="Arial"/>
        </w:rPr>
        <w:t>and</w:t>
      </w:r>
      <w:proofErr w:type="gramEnd"/>
      <w:r w:rsidR="00286DD5">
        <w:rPr>
          <w:rFonts w:ascii="Arial" w:hAnsi="Arial" w:cs="Arial"/>
        </w:rPr>
        <w:t xml:space="preserve"> </w:t>
      </w:r>
      <w:r w:rsidR="00A77753" w:rsidRPr="00A77753">
        <w:rPr>
          <w:rFonts w:ascii="Arial" w:hAnsi="Arial" w:cs="Arial"/>
        </w:rPr>
        <w:t>w</w:t>
      </w:r>
      <w:r w:rsidR="00EE2239" w:rsidRPr="00A77753">
        <w:rPr>
          <w:rFonts w:ascii="Arial" w:hAnsi="Arial" w:cs="Arial"/>
        </w:rPr>
        <w:t xml:space="preserve">ritten or visual language resources </w:t>
      </w:r>
      <w:r w:rsidR="00A77753" w:rsidRPr="00A77753">
        <w:rPr>
          <w:rFonts w:ascii="Arial" w:hAnsi="Arial" w:cs="Arial"/>
        </w:rPr>
        <w:t>not</w:t>
      </w:r>
      <w:r w:rsidR="00286DD5">
        <w:rPr>
          <w:rFonts w:ascii="Arial" w:hAnsi="Arial" w:cs="Arial"/>
        </w:rPr>
        <w:t xml:space="preserve"> </w:t>
      </w:r>
      <w:r w:rsidR="00A77753" w:rsidRPr="00A77753">
        <w:rPr>
          <w:rFonts w:ascii="Arial" w:hAnsi="Arial" w:cs="Arial"/>
        </w:rPr>
        <w:t xml:space="preserve">offered in </w:t>
      </w:r>
      <w:r w:rsidR="00EE2239" w:rsidRPr="00A77753">
        <w:rPr>
          <w:rFonts w:ascii="Arial" w:hAnsi="Arial" w:cs="Arial"/>
        </w:rPr>
        <w:t>accessible formats</w:t>
      </w:r>
      <w:r w:rsidR="004F7EDC">
        <w:rPr>
          <w:rFonts w:ascii="Arial" w:hAnsi="Arial" w:cs="Arial"/>
        </w:rPr>
        <w:t xml:space="preserve"> can exclude </w:t>
      </w:r>
      <w:r w:rsidR="004F7EDC" w:rsidRPr="00584698">
        <w:rPr>
          <w:rFonts w:ascii="Arial" w:hAnsi="Arial" w:cs="Arial"/>
        </w:rPr>
        <w:t>First Nations people who are blind or vision impaired</w:t>
      </w:r>
      <w:r w:rsidR="00A77753" w:rsidRPr="00A77753">
        <w:rPr>
          <w:rFonts w:ascii="Arial" w:hAnsi="Arial" w:cs="Arial"/>
        </w:rPr>
        <w:t>.</w:t>
      </w:r>
      <w:r w:rsidR="00EE2239" w:rsidRPr="00A77753">
        <w:rPr>
          <w:rFonts w:ascii="Arial" w:hAnsi="Arial" w:cs="Arial"/>
        </w:rPr>
        <w:t xml:space="preserve"> </w:t>
      </w:r>
      <w:r w:rsidR="00A77753" w:rsidRPr="00A77753">
        <w:rPr>
          <w:rFonts w:ascii="Arial" w:hAnsi="Arial" w:cs="Arial"/>
        </w:rPr>
        <w:t xml:space="preserve"> </w:t>
      </w:r>
    </w:p>
    <w:p w14:paraId="516BACD7" w14:textId="22E7E261" w:rsidR="0067748A" w:rsidRPr="006E5E2E" w:rsidRDefault="00AC5AF1" w:rsidP="000E4E0D">
      <w:pPr>
        <w:spacing w:line="360" w:lineRule="auto"/>
        <w:rPr>
          <w:rFonts w:ascii="Arial" w:hAnsi="Arial" w:cs="Arial"/>
        </w:rPr>
      </w:pPr>
      <w:r w:rsidRPr="006E5E2E">
        <w:rPr>
          <w:rFonts w:ascii="Arial" w:hAnsi="Arial" w:cs="Arial"/>
          <w:color w:val="000000" w:themeColor="text1"/>
        </w:rPr>
        <w:t xml:space="preserve">While significant national efforts are underway to revitalise and teach </w:t>
      </w:r>
      <w:r w:rsidR="006E5E2E" w:rsidRPr="006E5E2E">
        <w:rPr>
          <w:rFonts w:ascii="Arial" w:hAnsi="Arial" w:cs="Arial"/>
          <w:color w:val="000000" w:themeColor="text1"/>
        </w:rPr>
        <w:t xml:space="preserve">First Nation </w:t>
      </w:r>
      <w:r w:rsidRPr="006E5E2E">
        <w:rPr>
          <w:rFonts w:ascii="Arial" w:hAnsi="Arial" w:cs="Arial"/>
          <w:color w:val="000000" w:themeColor="text1"/>
        </w:rPr>
        <w:t xml:space="preserve">languages – with </w:t>
      </w:r>
      <w:r w:rsidRPr="00FE3360">
        <w:rPr>
          <w:rFonts w:ascii="Arial" w:hAnsi="Arial" w:cs="Arial"/>
          <w:color w:val="000000" w:themeColor="text1"/>
        </w:rPr>
        <w:t>First Languages Australia supporting a network of language centres across the country – there are currently no braille resources available in Australian Indigenous languages</w:t>
      </w:r>
      <w:r w:rsidR="006E5E2E" w:rsidRPr="00FE3360">
        <w:rPr>
          <w:rFonts w:ascii="Arial" w:hAnsi="Arial" w:cs="Arial"/>
          <w:color w:val="000000" w:themeColor="text1"/>
        </w:rPr>
        <w:t>.</w:t>
      </w:r>
      <w:r w:rsidR="00FE3360" w:rsidRPr="00FE3360">
        <w:rPr>
          <w:rFonts w:ascii="Arial" w:hAnsi="Arial" w:cs="Arial"/>
          <w:color w:val="000000" w:themeColor="text1"/>
        </w:rPr>
        <w:t xml:space="preserve"> </w:t>
      </w:r>
      <w:r w:rsidR="00F56F6E">
        <w:rPr>
          <w:rFonts w:ascii="Arial" w:hAnsi="Arial" w:cs="Arial"/>
          <w:color w:val="000000" w:themeColor="text1"/>
        </w:rPr>
        <w:t xml:space="preserve">First Nations </w:t>
      </w:r>
      <w:r w:rsidR="00EB1317">
        <w:rPr>
          <w:rFonts w:ascii="Arial" w:hAnsi="Arial" w:cs="Arial"/>
          <w:color w:val="000000" w:themeColor="text1"/>
        </w:rPr>
        <w:t>p</w:t>
      </w:r>
      <w:r w:rsidR="00FE3360" w:rsidRPr="00FE3360">
        <w:rPr>
          <w:rFonts w:ascii="Arial" w:hAnsi="Arial" w:cs="Arial"/>
          <w:color w:val="000000" w:themeColor="text1"/>
        </w:rPr>
        <w:t xml:space="preserve">eople who are blind or have low vision are effectively excluded from language revitalisation programs that rely on written materials. Ensuring that First Nations stories are published in accessible </w:t>
      </w:r>
      <w:r w:rsidR="00FE3360" w:rsidRPr="00FE3360">
        <w:rPr>
          <w:rFonts w:ascii="Arial" w:hAnsi="Arial" w:cs="Arial"/>
          <w:color w:val="000000" w:themeColor="text1"/>
        </w:rPr>
        <w:lastRenderedPageBreak/>
        <w:t>formats</w:t>
      </w:r>
      <w:r w:rsidR="00566D8C">
        <w:rPr>
          <w:rFonts w:ascii="Arial" w:hAnsi="Arial" w:cs="Arial"/>
          <w:color w:val="000000" w:themeColor="text1"/>
        </w:rPr>
        <w:t xml:space="preserve">, including audio and braille, </w:t>
      </w:r>
      <w:r w:rsidR="00FE3360" w:rsidRPr="00FE3360">
        <w:rPr>
          <w:rFonts w:ascii="Arial" w:hAnsi="Arial" w:cs="Arial"/>
          <w:color w:val="000000" w:themeColor="text1"/>
        </w:rPr>
        <w:t>is essential if the policy’s commitment to First Nations cultural expression is to be genuinely inclusive.</w:t>
      </w:r>
      <w:r w:rsidR="006E5E2E">
        <w:rPr>
          <w:rStyle w:val="FootnoteReference"/>
          <w:rFonts w:ascii="Arial" w:hAnsi="Arial" w:cs="Arial"/>
          <w:color w:val="000000" w:themeColor="text1"/>
        </w:rPr>
        <w:footnoteReference w:id="5"/>
      </w:r>
    </w:p>
    <w:p w14:paraId="16342E3B" w14:textId="521D845C" w:rsidR="00957E97" w:rsidRPr="00A77753" w:rsidRDefault="00495CE9" w:rsidP="00261A5A">
      <w:pPr>
        <w:spacing w:line="360" w:lineRule="auto"/>
        <w:rPr>
          <w:rFonts w:ascii="Arial" w:hAnsi="Arial" w:cs="Arial"/>
        </w:rPr>
      </w:pPr>
      <w:r>
        <w:rPr>
          <w:rFonts w:ascii="Arial" w:hAnsi="Arial" w:cs="Arial"/>
        </w:rPr>
        <w:t>Through co-design with First Nations people who are blind or vision impaired, t</w:t>
      </w:r>
      <w:r w:rsidR="00990437">
        <w:rPr>
          <w:rFonts w:ascii="Arial" w:hAnsi="Arial" w:cs="Arial"/>
        </w:rPr>
        <w:t xml:space="preserve">he Australian </w:t>
      </w:r>
      <w:r w:rsidR="00957E97" w:rsidRPr="00957E97">
        <w:rPr>
          <w:rFonts w:ascii="Arial" w:hAnsi="Arial" w:cs="Arial"/>
        </w:rPr>
        <w:t>Government should invest in culturally safe and accessible arts, media and cultural programs that enable First Nations people with disability to participate in, create, share and lead cultural activities and storytelling.</w:t>
      </w:r>
    </w:p>
    <w:p w14:paraId="7AC13304" w14:textId="77777777" w:rsidR="00EE2239" w:rsidRPr="004117C8" w:rsidRDefault="00EE2239" w:rsidP="003D3C6E">
      <w:pPr>
        <w:pStyle w:val="Heading3"/>
      </w:pPr>
      <w:r w:rsidRPr="004117C8">
        <w:t>Pillar 2 — A Place for Every Story</w:t>
      </w:r>
    </w:p>
    <w:p w14:paraId="69549C3A" w14:textId="77777777" w:rsidR="003D4DE3" w:rsidRDefault="00123FBD" w:rsidP="00EE2239">
      <w:pPr>
        <w:spacing w:line="360" w:lineRule="auto"/>
        <w:rPr>
          <w:rFonts w:ascii="Arial" w:hAnsi="Arial" w:cs="Arial"/>
        </w:rPr>
      </w:pPr>
      <w:r w:rsidRPr="00123FBD">
        <w:rPr>
          <w:rFonts w:ascii="Arial" w:hAnsi="Arial" w:cs="Arial"/>
        </w:rPr>
        <w:t>People who are blind or vision impaired must be able to participate in cultural life on an equal basis with others, including as audiences, artists, creators, storytellers, workers and cultural leaders.</w:t>
      </w:r>
      <w:r w:rsidR="003D4DE3">
        <w:rPr>
          <w:rFonts w:ascii="Arial" w:hAnsi="Arial" w:cs="Arial"/>
        </w:rPr>
        <w:t xml:space="preserve"> </w:t>
      </w:r>
      <w:r w:rsidR="00EE2239" w:rsidRPr="004117C8">
        <w:rPr>
          <w:rFonts w:ascii="Arial" w:hAnsi="Arial" w:cs="Arial"/>
        </w:rPr>
        <w:t xml:space="preserve">Despite </w:t>
      </w:r>
      <w:r w:rsidR="00EE5547">
        <w:rPr>
          <w:rFonts w:ascii="Arial" w:hAnsi="Arial" w:cs="Arial"/>
        </w:rPr>
        <w:t>the existing</w:t>
      </w:r>
      <w:r w:rsidR="00EE2239" w:rsidRPr="004117C8">
        <w:rPr>
          <w:rFonts w:ascii="Arial" w:hAnsi="Arial" w:cs="Arial"/>
        </w:rPr>
        <w:t xml:space="preserve"> focus on diversity</w:t>
      </w:r>
      <w:r w:rsidR="009004B8">
        <w:rPr>
          <w:rFonts w:ascii="Arial" w:hAnsi="Arial" w:cs="Arial"/>
        </w:rPr>
        <w:t xml:space="preserve"> and inclusion</w:t>
      </w:r>
      <w:r w:rsidR="00AA572D">
        <w:rPr>
          <w:rFonts w:ascii="Arial" w:hAnsi="Arial" w:cs="Arial"/>
        </w:rPr>
        <w:t xml:space="preserve"> within the</w:t>
      </w:r>
      <w:r w:rsidR="0079119B">
        <w:rPr>
          <w:rFonts w:ascii="Arial" w:hAnsi="Arial" w:cs="Arial"/>
        </w:rPr>
        <w:t xml:space="preserve"> </w:t>
      </w:r>
      <w:r w:rsidR="00EE5547">
        <w:rPr>
          <w:rFonts w:ascii="Arial" w:hAnsi="Arial" w:cs="Arial"/>
        </w:rPr>
        <w:t xml:space="preserve">NCP and associated plan, </w:t>
      </w:r>
      <w:r w:rsidR="00EE2239" w:rsidRPr="004117C8">
        <w:rPr>
          <w:rFonts w:ascii="Arial" w:hAnsi="Arial" w:cs="Arial"/>
        </w:rPr>
        <w:t xml:space="preserve">people who are blind or vision impaired </w:t>
      </w:r>
      <w:r w:rsidR="006B0E0C">
        <w:rPr>
          <w:rFonts w:ascii="Arial" w:hAnsi="Arial" w:cs="Arial"/>
        </w:rPr>
        <w:t xml:space="preserve">continue to </w:t>
      </w:r>
      <w:r w:rsidR="003D4DE3">
        <w:rPr>
          <w:rFonts w:ascii="Arial" w:hAnsi="Arial" w:cs="Arial"/>
        </w:rPr>
        <w:t xml:space="preserve">experience </w:t>
      </w:r>
      <w:r w:rsidR="00A641F1">
        <w:rPr>
          <w:rFonts w:ascii="Arial" w:hAnsi="Arial" w:cs="Arial"/>
        </w:rPr>
        <w:t>exclu</w:t>
      </w:r>
      <w:r w:rsidR="003D4DE3">
        <w:rPr>
          <w:rFonts w:ascii="Arial" w:hAnsi="Arial" w:cs="Arial"/>
        </w:rPr>
        <w:t>sion</w:t>
      </w:r>
      <w:r w:rsidR="00A641F1">
        <w:rPr>
          <w:rFonts w:ascii="Arial" w:hAnsi="Arial" w:cs="Arial"/>
        </w:rPr>
        <w:t>.</w:t>
      </w:r>
      <w:r w:rsidR="00EE5547">
        <w:rPr>
          <w:rFonts w:ascii="Arial" w:hAnsi="Arial" w:cs="Arial"/>
        </w:rPr>
        <w:t xml:space="preserve"> </w:t>
      </w:r>
    </w:p>
    <w:p w14:paraId="51197450" w14:textId="04BD32DB" w:rsidR="00395B76" w:rsidRDefault="00395B76" w:rsidP="00EE2239">
      <w:pPr>
        <w:spacing w:line="360" w:lineRule="auto"/>
        <w:rPr>
          <w:rFonts w:ascii="Arial" w:hAnsi="Arial" w:cs="Arial"/>
        </w:rPr>
      </w:pPr>
      <w:r w:rsidRPr="00395B76">
        <w:rPr>
          <w:rFonts w:ascii="Arial" w:hAnsi="Arial" w:cs="Arial"/>
        </w:rPr>
        <w:t xml:space="preserve">While Pillar 2 rightly focuses on inclusion and representation, </w:t>
      </w:r>
      <w:r w:rsidR="00274C0F">
        <w:rPr>
          <w:rFonts w:ascii="Arial" w:hAnsi="Arial" w:cs="Arial"/>
        </w:rPr>
        <w:t xml:space="preserve">it is our view that </w:t>
      </w:r>
      <w:r w:rsidRPr="00395B76">
        <w:rPr>
          <w:rFonts w:ascii="Arial" w:hAnsi="Arial" w:cs="Arial"/>
        </w:rPr>
        <w:t>accessibility and disability inclusion are inherently cross-cutting issues that influence who can create, access, lead, experience and participate in cultural life across every pillar of the NC</w:t>
      </w:r>
      <w:r>
        <w:rPr>
          <w:rFonts w:ascii="Arial" w:hAnsi="Arial" w:cs="Arial"/>
        </w:rPr>
        <w:t>P</w:t>
      </w:r>
      <w:r w:rsidRPr="00395B76">
        <w:rPr>
          <w:rFonts w:ascii="Arial" w:hAnsi="Arial" w:cs="Arial"/>
        </w:rPr>
        <w:t>.</w:t>
      </w:r>
    </w:p>
    <w:p w14:paraId="3C5E44ED" w14:textId="1CF3C938" w:rsidR="00274AEA" w:rsidRDefault="00AB2F1D" w:rsidP="00002EF0">
      <w:pPr>
        <w:spacing w:line="360" w:lineRule="auto"/>
        <w:rPr>
          <w:rFonts w:ascii="Arial" w:hAnsi="Arial" w:cs="Arial"/>
        </w:rPr>
      </w:pPr>
      <w:r w:rsidRPr="00AB2F1D">
        <w:rPr>
          <w:rFonts w:ascii="Arial" w:hAnsi="Arial" w:cs="Arial"/>
        </w:rPr>
        <w:t>Accessibility of infrastructure</w:t>
      </w:r>
      <w:r w:rsidR="0021670D">
        <w:rPr>
          <w:rFonts w:ascii="Arial" w:hAnsi="Arial" w:cs="Arial"/>
        </w:rPr>
        <w:t xml:space="preserve"> (Pillar 4)</w:t>
      </w:r>
      <w:r w:rsidRPr="00AB2F1D">
        <w:rPr>
          <w:rFonts w:ascii="Arial" w:hAnsi="Arial" w:cs="Arial"/>
        </w:rPr>
        <w:t xml:space="preserve"> directly determines whether</w:t>
      </w:r>
      <w:r>
        <w:rPr>
          <w:rFonts w:ascii="Arial" w:hAnsi="Arial" w:cs="Arial"/>
        </w:rPr>
        <w:t xml:space="preserve"> people who are</w:t>
      </w:r>
      <w:r w:rsidRPr="00AB2F1D">
        <w:rPr>
          <w:rFonts w:ascii="Arial" w:hAnsi="Arial" w:cs="Arial"/>
        </w:rPr>
        <w:t xml:space="preserve"> blind </w:t>
      </w:r>
      <w:r>
        <w:rPr>
          <w:rFonts w:ascii="Arial" w:hAnsi="Arial" w:cs="Arial"/>
        </w:rPr>
        <w:t xml:space="preserve">or vision impaired </w:t>
      </w:r>
      <w:r w:rsidRPr="00AB2F1D">
        <w:rPr>
          <w:rFonts w:ascii="Arial" w:hAnsi="Arial" w:cs="Arial"/>
        </w:rPr>
        <w:t>can participate independently and safely in cultural life.</w:t>
      </w:r>
      <w:r w:rsidR="0041721F">
        <w:rPr>
          <w:rFonts w:ascii="Arial" w:hAnsi="Arial" w:cs="Arial"/>
        </w:rPr>
        <w:t xml:space="preserve"> </w:t>
      </w:r>
      <w:r w:rsidR="00002EF0">
        <w:rPr>
          <w:rFonts w:ascii="Arial" w:hAnsi="Arial" w:cs="Arial"/>
        </w:rPr>
        <w:t>A</w:t>
      </w:r>
      <w:r w:rsidR="00002EF0" w:rsidRPr="00681B0F">
        <w:rPr>
          <w:rFonts w:ascii="Arial" w:hAnsi="Arial" w:cs="Arial"/>
        </w:rPr>
        <w:t>ccessible audience engagement</w:t>
      </w:r>
      <w:r w:rsidR="00002EF0">
        <w:rPr>
          <w:rFonts w:ascii="Arial" w:hAnsi="Arial" w:cs="Arial"/>
        </w:rPr>
        <w:t xml:space="preserve"> measures</w:t>
      </w:r>
      <w:r w:rsidR="00002EF0" w:rsidRPr="00681B0F">
        <w:rPr>
          <w:rFonts w:ascii="Arial" w:hAnsi="Arial" w:cs="Arial"/>
        </w:rPr>
        <w:t xml:space="preserve"> </w:t>
      </w:r>
      <w:r w:rsidR="00002EF0">
        <w:rPr>
          <w:rFonts w:ascii="Arial" w:hAnsi="Arial" w:cs="Arial"/>
        </w:rPr>
        <w:t>(Pillar 5)</w:t>
      </w:r>
      <w:r w:rsidR="002779B4">
        <w:rPr>
          <w:rFonts w:ascii="Arial" w:hAnsi="Arial" w:cs="Arial"/>
        </w:rPr>
        <w:t xml:space="preserve"> including access to information</w:t>
      </w:r>
      <w:r w:rsidR="00002EF0">
        <w:rPr>
          <w:rFonts w:ascii="Arial" w:hAnsi="Arial" w:cs="Arial"/>
        </w:rPr>
        <w:t xml:space="preserve"> </w:t>
      </w:r>
      <w:r w:rsidR="00E90966">
        <w:rPr>
          <w:rFonts w:ascii="Arial" w:hAnsi="Arial" w:cs="Arial"/>
        </w:rPr>
        <w:t>is</w:t>
      </w:r>
      <w:r w:rsidR="00002EF0">
        <w:rPr>
          <w:rFonts w:ascii="Arial" w:hAnsi="Arial" w:cs="Arial"/>
        </w:rPr>
        <w:t xml:space="preserve"> also</w:t>
      </w:r>
      <w:r w:rsidR="00002EF0" w:rsidRPr="00681B0F">
        <w:rPr>
          <w:rFonts w:ascii="Arial" w:hAnsi="Arial" w:cs="Arial"/>
        </w:rPr>
        <w:t xml:space="preserve"> fundamental to participation</w:t>
      </w:r>
      <w:r w:rsidR="00002EF0">
        <w:rPr>
          <w:rFonts w:ascii="Arial" w:hAnsi="Arial" w:cs="Arial"/>
        </w:rPr>
        <w:t xml:space="preserve"> because without them, people who are blind or vision impaired remain exclu</w:t>
      </w:r>
      <w:r w:rsidR="00945168">
        <w:rPr>
          <w:rFonts w:ascii="Arial" w:hAnsi="Arial" w:cs="Arial"/>
        </w:rPr>
        <w:t>ded</w:t>
      </w:r>
      <w:r w:rsidR="00002EF0">
        <w:rPr>
          <w:rFonts w:ascii="Arial" w:hAnsi="Arial" w:cs="Arial"/>
        </w:rPr>
        <w:t>.</w:t>
      </w:r>
      <w:r w:rsidR="0041721F">
        <w:rPr>
          <w:rFonts w:ascii="Arial" w:hAnsi="Arial" w:cs="Arial"/>
        </w:rPr>
        <w:t xml:space="preserve"> </w:t>
      </w:r>
    </w:p>
    <w:p w14:paraId="0B9ECEED" w14:textId="685715BA" w:rsidR="00B56F88" w:rsidRDefault="007C0023" w:rsidP="00002EF0">
      <w:pPr>
        <w:spacing w:line="360" w:lineRule="auto"/>
        <w:rPr>
          <w:rFonts w:ascii="Arial" w:hAnsi="Arial" w:cs="Arial"/>
        </w:rPr>
      </w:pPr>
      <w:r>
        <w:rPr>
          <w:rFonts w:ascii="Arial" w:hAnsi="Arial" w:cs="Arial"/>
        </w:rPr>
        <w:t>D</w:t>
      </w:r>
      <w:r w:rsidR="00B56F88" w:rsidRPr="00B56F88">
        <w:rPr>
          <w:rFonts w:ascii="Arial" w:hAnsi="Arial" w:cs="Arial"/>
        </w:rPr>
        <w:t>isability inclusion</w:t>
      </w:r>
      <w:r>
        <w:rPr>
          <w:rFonts w:ascii="Arial" w:hAnsi="Arial" w:cs="Arial"/>
        </w:rPr>
        <w:t xml:space="preserve">, in practice, </w:t>
      </w:r>
      <w:r w:rsidR="00A0076F" w:rsidRPr="00A0076F">
        <w:rPr>
          <w:rFonts w:ascii="Arial" w:hAnsi="Arial" w:cs="Arial"/>
        </w:rPr>
        <w:t>remains largely aspirational, with insufficient accountability, limited measurement of accessibility outcomes and inadequate consequences for failure to comply with recognised accessibility standards.</w:t>
      </w:r>
    </w:p>
    <w:p w14:paraId="19C3D5A0" w14:textId="6B2A0C7D" w:rsidR="000F5829" w:rsidRPr="00C6246F" w:rsidRDefault="000F5829" w:rsidP="000F5829">
      <w:pPr>
        <w:spacing w:line="360" w:lineRule="auto"/>
        <w:rPr>
          <w:rFonts w:ascii="Arial" w:hAnsi="Arial" w:cs="Arial"/>
        </w:rPr>
      </w:pPr>
      <w:r>
        <w:rPr>
          <w:rFonts w:ascii="Arial" w:eastAsia="Georgia" w:hAnsi="Arial" w:cs="Arial"/>
          <w:color w:val="000000" w:themeColor="text1"/>
        </w:rPr>
        <w:t>“</w:t>
      </w:r>
      <w:r w:rsidRPr="00C6246F">
        <w:rPr>
          <w:rFonts w:ascii="Arial" w:eastAsia="Georgia" w:hAnsi="Arial" w:cs="Arial"/>
          <w:color w:val="000000" w:themeColor="text1"/>
        </w:rPr>
        <w:t>A place for every story</w:t>
      </w:r>
      <w:r>
        <w:rPr>
          <w:rFonts w:ascii="Arial" w:eastAsia="Georgia" w:hAnsi="Arial" w:cs="Arial"/>
          <w:color w:val="000000" w:themeColor="text1"/>
        </w:rPr>
        <w:t>”</w:t>
      </w:r>
      <w:r w:rsidRPr="00C6246F">
        <w:rPr>
          <w:rFonts w:ascii="Arial" w:eastAsia="Georgia" w:hAnsi="Arial" w:cs="Arial"/>
          <w:color w:val="000000" w:themeColor="text1"/>
        </w:rPr>
        <w:t xml:space="preserve"> requires information in formats that everyone can use. Older Australians with changing vision, people with temporary injuries, readers in challenging environments, and speakers of other languages who rely on text-to-speech and adjustable formatting all benefit from information and publications designed with accessibility in mind. </w:t>
      </w:r>
    </w:p>
    <w:p w14:paraId="549CE42C" w14:textId="186FB57A" w:rsidR="00EE2239" w:rsidRPr="004117C8" w:rsidRDefault="00EE2239" w:rsidP="003D3C6E">
      <w:pPr>
        <w:pStyle w:val="Heading3"/>
      </w:pPr>
      <w:r w:rsidRPr="004117C8">
        <w:lastRenderedPageBreak/>
        <w:t>Pillar 3 — Centrality of the Artist</w:t>
      </w:r>
    </w:p>
    <w:p w14:paraId="74230AAE" w14:textId="30E34DD0" w:rsidR="00E44068" w:rsidRDefault="00757480" w:rsidP="00E44068">
      <w:pPr>
        <w:spacing w:line="360" w:lineRule="auto"/>
        <w:rPr>
          <w:rFonts w:ascii="Arial" w:hAnsi="Arial" w:cs="Arial"/>
        </w:rPr>
      </w:pPr>
      <w:r>
        <w:rPr>
          <w:rFonts w:ascii="Arial" w:hAnsi="Arial" w:cs="Arial"/>
        </w:rPr>
        <w:t>People</w:t>
      </w:r>
      <w:r w:rsidR="00C200AA">
        <w:rPr>
          <w:rFonts w:ascii="Arial" w:hAnsi="Arial" w:cs="Arial"/>
        </w:rPr>
        <w:t xml:space="preserve"> with disability, including people who are </w:t>
      </w:r>
      <w:r w:rsidR="005C4039" w:rsidRPr="007A750C">
        <w:rPr>
          <w:rFonts w:ascii="Arial" w:hAnsi="Arial" w:cs="Arial"/>
        </w:rPr>
        <w:t>blind and vision-impaired</w:t>
      </w:r>
      <w:r>
        <w:rPr>
          <w:rFonts w:ascii="Arial" w:hAnsi="Arial" w:cs="Arial"/>
        </w:rPr>
        <w:t>, are underrepresented</w:t>
      </w:r>
      <w:r w:rsidR="005C4039" w:rsidRPr="007A750C">
        <w:rPr>
          <w:rFonts w:ascii="Arial" w:hAnsi="Arial" w:cs="Arial"/>
        </w:rPr>
        <w:t xml:space="preserve"> in Australia’s cultural narrative</w:t>
      </w:r>
      <w:r>
        <w:rPr>
          <w:rStyle w:val="FootnoteReference"/>
          <w:rFonts w:ascii="Arial" w:hAnsi="Arial" w:cs="Arial"/>
        </w:rPr>
        <w:footnoteReference w:id="6"/>
      </w:r>
      <w:r w:rsidR="005C4039">
        <w:rPr>
          <w:rFonts w:ascii="Arial" w:hAnsi="Arial" w:cs="Arial"/>
        </w:rPr>
        <w:t xml:space="preserve">. </w:t>
      </w:r>
      <w:r w:rsidR="00E44068">
        <w:rPr>
          <w:rFonts w:ascii="Arial" w:hAnsi="Arial" w:cs="Arial"/>
        </w:rPr>
        <w:t>E</w:t>
      </w:r>
      <w:r w:rsidR="00E44068" w:rsidRPr="003E6782">
        <w:rPr>
          <w:rFonts w:ascii="Arial" w:hAnsi="Arial" w:cs="Arial"/>
        </w:rPr>
        <w:t>quitable participation requires blind and vision</w:t>
      </w:r>
      <w:r w:rsidR="00E44068">
        <w:rPr>
          <w:rFonts w:ascii="Arial" w:hAnsi="Arial" w:cs="Arial"/>
        </w:rPr>
        <w:t xml:space="preserve"> impaired</w:t>
      </w:r>
      <w:r w:rsidR="00E44068" w:rsidRPr="003E6782">
        <w:rPr>
          <w:rFonts w:ascii="Arial" w:hAnsi="Arial" w:cs="Arial"/>
        </w:rPr>
        <w:t xml:space="preserve"> people to be recognised </w:t>
      </w:r>
      <w:r w:rsidR="004F0571">
        <w:rPr>
          <w:rFonts w:ascii="Arial" w:hAnsi="Arial" w:cs="Arial"/>
        </w:rPr>
        <w:t xml:space="preserve">not </w:t>
      </w:r>
      <w:r w:rsidR="00CE2CFE">
        <w:rPr>
          <w:rFonts w:ascii="Arial" w:hAnsi="Arial" w:cs="Arial"/>
        </w:rPr>
        <w:t xml:space="preserve">only </w:t>
      </w:r>
      <w:r w:rsidR="00E44068" w:rsidRPr="003E6782">
        <w:rPr>
          <w:rFonts w:ascii="Arial" w:hAnsi="Arial" w:cs="Arial"/>
        </w:rPr>
        <w:t>as audience</w:t>
      </w:r>
      <w:r w:rsidR="00CE2CFE">
        <w:rPr>
          <w:rFonts w:ascii="Arial" w:hAnsi="Arial" w:cs="Arial"/>
        </w:rPr>
        <w:t xml:space="preserve"> members but also</w:t>
      </w:r>
      <w:r w:rsidR="00E44068" w:rsidRPr="003E6782">
        <w:rPr>
          <w:rFonts w:ascii="Arial" w:hAnsi="Arial" w:cs="Arial"/>
        </w:rPr>
        <w:t xml:space="preserve"> artists, performers, writers, technicians, educators and cultural leaders</w:t>
      </w:r>
      <w:r w:rsidR="00E44068">
        <w:rPr>
          <w:rFonts w:ascii="Arial" w:hAnsi="Arial" w:cs="Arial"/>
        </w:rPr>
        <w:t xml:space="preserve">. </w:t>
      </w:r>
    </w:p>
    <w:p w14:paraId="4AF9F800" w14:textId="77777777" w:rsidR="005E09A1" w:rsidRDefault="00D149FA" w:rsidP="00ED3C40">
      <w:pPr>
        <w:spacing w:line="360" w:lineRule="auto"/>
        <w:rPr>
          <w:rFonts w:ascii="Arial" w:hAnsi="Arial" w:cs="Arial"/>
        </w:rPr>
      </w:pPr>
      <w:r w:rsidRPr="006309AE">
        <w:rPr>
          <w:rFonts w:ascii="Arial" w:hAnsi="Arial" w:cs="Arial"/>
        </w:rPr>
        <w:t xml:space="preserve">To be able to participate effectively as a creator requires the opportunity to be influenced by other artists, the chance to have a quality grounding in the arts through education, and an equal chance to access </w:t>
      </w:r>
      <w:r w:rsidR="00037880">
        <w:rPr>
          <w:rFonts w:ascii="Arial" w:hAnsi="Arial" w:cs="Arial"/>
        </w:rPr>
        <w:t xml:space="preserve">professional opportunities, </w:t>
      </w:r>
      <w:r w:rsidRPr="006309AE">
        <w:rPr>
          <w:rFonts w:ascii="Arial" w:hAnsi="Arial" w:cs="Arial"/>
        </w:rPr>
        <w:t xml:space="preserve">funding and employment. </w:t>
      </w:r>
    </w:p>
    <w:p w14:paraId="0784DC15" w14:textId="77777777" w:rsidR="00220583" w:rsidRDefault="009D4EFC" w:rsidP="00ED2603">
      <w:pPr>
        <w:spacing w:line="360" w:lineRule="auto"/>
        <w:rPr>
          <w:rFonts w:ascii="Arial" w:hAnsi="Arial" w:cs="Arial"/>
        </w:rPr>
      </w:pPr>
      <w:r>
        <w:rPr>
          <w:rFonts w:ascii="Arial" w:hAnsi="Arial" w:cs="Arial"/>
        </w:rPr>
        <w:t>A</w:t>
      </w:r>
      <w:r w:rsidR="00ED3C40" w:rsidRPr="00ED3C40">
        <w:rPr>
          <w:rFonts w:ascii="Arial" w:hAnsi="Arial" w:cs="Arial"/>
        </w:rPr>
        <w:t>ttitudinal barriers faced by people who are blind or vision impaired in education and employment</w:t>
      </w:r>
      <w:r>
        <w:rPr>
          <w:rFonts w:ascii="Arial" w:hAnsi="Arial" w:cs="Arial"/>
        </w:rPr>
        <w:t xml:space="preserve"> are persistent and </w:t>
      </w:r>
      <w:r w:rsidR="00ED3C40" w:rsidRPr="00ED3C40">
        <w:rPr>
          <w:rFonts w:ascii="Arial" w:hAnsi="Arial" w:cs="Arial"/>
        </w:rPr>
        <w:t>includ</w:t>
      </w:r>
      <w:r>
        <w:rPr>
          <w:rFonts w:ascii="Arial" w:hAnsi="Arial" w:cs="Arial"/>
        </w:rPr>
        <w:t>e</w:t>
      </w:r>
      <w:r w:rsidR="00ED3C40" w:rsidRPr="00ED3C40">
        <w:rPr>
          <w:rFonts w:ascii="Arial" w:hAnsi="Arial" w:cs="Arial"/>
        </w:rPr>
        <w:t xml:space="preserve"> assumptions that blind people cannot work in visual or creative fields</w:t>
      </w:r>
      <w:r w:rsidR="00A803E8">
        <w:rPr>
          <w:rFonts w:ascii="Arial" w:hAnsi="Arial" w:cs="Arial"/>
        </w:rPr>
        <w:t xml:space="preserve">. </w:t>
      </w:r>
    </w:p>
    <w:p w14:paraId="32AF6F29" w14:textId="2F87CB09" w:rsidR="00C02E50" w:rsidRPr="008B72BF" w:rsidRDefault="002C4E4D" w:rsidP="00ED2603">
      <w:pPr>
        <w:spacing w:line="360" w:lineRule="auto"/>
        <w:rPr>
          <w:rFonts w:ascii="Arial" w:hAnsi="Arial" w:cs="Arial"/>
        </w:rPr>
      </w:pPr>
      <w:r w:rsidRPr="008B72BF">
        <w:rPr>
          <w:rFonts w:ascii="Arial" w:hAnsi="Arial" w:cs="Arial"/>
        </w:rPr>
        <w:t>Creative disciplines such as visual arts, design, film, photography and media studies are frequently taught using highly visual approaches without equivalent tactile, auditory or descriptive alternatives.</w:t>
      </w:r>
      <w:r w:rsidR="00ED2603" w:rsidRPr="008B72BF">
        <w:rPr>
          <w:rFonts w:ascii="Arial" w:hAnsi="Arial" w:cs="Arial"/>
        </w:rPr>
        <w:t xml:space="preserve"> </w:t>
      </w:r>
    </w:p>
    <w:p w14:paraId="1F373D80" w14:textId="4C935BB4" w:rsidR="00C02E50" w:rsidRPr="008B72BF" w:rsidRDefault="00C02E50" w:rsidP="00ED2603">
      <w:pPr>
        <w:spacing w:line="360" w:lineRule="auto"/>
        <w:rPr>
          <w:rFonts w:ascii="Arial" w:eastAsia="Georgia" w:hAnsi="Arial" w:cs="Arial"/>
          <w:color w:val="000000" w:themeColor="text1"/>
        </w:rPr>
      </w:pPr>
      <w:r w:rsidRPr="008B72BF">
        <w:rPr>
          <w:rFonts w:ascii="Arial" w:eastAsia="Georgia" w:hAnsi="Arial" w:cs="Arial"/>
          <w:color w:val="000000" w:themeColor="text1"/>
        </w:rPr>
        <w:t>Authors and illustrators with print disability routinely encounter inaccessible submission portals, contracts in non-accessible formats, and production workflows that do not support assistive technologies.</w:t>
      </w:r>
      <w:r w:rsidR="00E12AD4">
        <w:rPr>
          <w:rStyle w:val="FootnoteReference"/>
          <w:rFonts w:ascii="Arial" w:eastAsia="Georgia" w:hAnsi="Arial" w:cs="Arial"/>
          <w:color w:val="000000" w:themeColor="text1"/>
        </w:rPr>
        <w:footnoteReference w:id="7"/>
      </w:r>
    </w:p>
    <w:p w14:paraId="6BEEDD68" w14:textId="26FD4FF5" w:rsidR="00ED2603" w:rsidRPr="00ED2603" w:rsidRDefault="00712720" w:rsidP="00220981">
      <w:pPr>
        <w:spacing w:line="360" w:lineRule="auto"/>
        <w:rPr>
          <w:rFonts w:ascii="Arial" w:hAnsi="Arial" w:cs="Arial"/>
        </w:rPr>
      </w:pPr>
      <w:r>
        <w:rPr>
          <w:rFonts w:ascii="Arial" w:hAnsi="Arial" w:cs="Arial"/>
        </w:rPr>
        <w:t>Other r</w:t>
      </w:r>
      <w:r w:rsidR="00ED2603" w:rsidRPr="00ED2603">
        <w:rPr>
          <w:rFonts w:ascii="Arial" w:hAnsi="Arial" w:cs="Arial"/>
        </w:rPr>
        <w:t>eported barriers include:</w:t>
      </w:r>
    </w:p>
    <w:p w14:paraId="20728010" w14:textId="6E8E171B" w:rsidR="004F2F01" w:rsidRPr="00BC5FAC" w:rsidRDefault="00BC5FAC" w:rsidP="00220981">
      <w:pPr>
        <w:pStyle w:val="ListParagraph"/>
        <w:numPr>
          <w:ilvl w:val="0"/>
          <w:numId w:val="36"/>
        </w:numPr>
        <w:spacing w:line="360" w:lineRule="auto"/>
        <w:rPr>
          <w:rFonts w:ascii="Arial" w:hAnsi="Arial" w:cs="Arial"/>
        </w:rPr>
      </w:pPr>
      <w:r w:rsidRPr="00BC5FAC">
        <w:rPr>
          <w:rFonts w:ascii="Arial" w:hAnsi="Arial" w:cs="Arial"/>
        </w:rPr>
        <w:t>inaccessible learning management systems</w:t>
      </w:r>
      <w:r w:rsidR="00173446">
        <w:rPr>
          <w:rFonts w:ascii="Arial" w:hAnsi="Arial" w:cs="Arial"/>
        </w:rPr>
        <w:t xml:space="preserve"> and materials (e.g.</w:t>
      </w:r>
      <w:r w:rsidRPr="00BC5FAC">
        <w:rPr>
          <w:rFonts w:ascii="Arial" w:hAnsi="Arial" w:cs="Arial"/>
        </w:rPr>
        <w:t xml:space="preserve"> </w:t>
      </w:r>
      <w:r w:rsidR="004F2F01" w:rsidRPr="00BC5FAC">
        <w:rPr>
          <w:rFonts w:ascii="Arial" w:hAnsi="Arial" w:cs="Arial"/>
        </w:rPr>
        <w:t>inaccessible PDFs and readings</w:t>
      </w:r>
      <w:r w:rsidR="00173446">
        <w:rPr>
          <w:rFonts w:ascii="Arial" w:hAnsi="Arial" w:cs="Arial"/>
        </w:rPr>
        <w:t>)</w:t>
      </w:r>
      <w:r w:rsidR="004F2F01" w:rsidRPr="00BC5FAC">
        <w:rPr>
          <w:rFonts w:ascii="Arial" w:hAnsi="Arial" w:cs="Arial"/>
        </w:rPr>
        <w:t xml:space="preserve"> </w:t>
      </w:r>
      <w:r w:rsidR="00220981">
        <w:rPr>
          <w:rFonts w:ascii="Arial" w:hAnsi="Arial" w:cs="Arial"/>
        </w:rPr>
        <w:t xml:space="preserve">and </w:t>
      </w:r>
      <w:r w:rsidR="00220981" w:rsidRPr="00BC5FAC">
        <w:rPr>
          <w:rFonts w:ascii="Arial" w:hAnsi="Arial" w:cs="Arial"/>
        </w:rPr>
        <w:t>online learning environments that do not work well with screen readers or magnification technology</w:t>
      </w:r>
    </w:p>
    <w:p w14:paraId="7791D968" w14:textId="1256BA19" w:rsidR="00BC5FAC" w:rsidRPr="000B6E58" w:rsidRDefault="00BC5FAC" w:rsidP="00220981">
      <w:pPr>
        <w:pStyle w:val="ListParagraph"/>
        <w:numPr>
          <w:ilvl w:val="0"/>
          <w:numId w:val="36"/>
        </w:numPr>
        <w:spacing w:line="360" w:lineRule="auto"/>
        <w:rPr>
          <w:rFonts w:ascii="Arial" w:hAnsi="Arial" w:cs="Arial"/>
        </w:rPr>
      </w:pPr>
      <w:r w:rsidRPr="000B6E58">
        <w:rPr>
          <w:rFonts w:ascii="Arial" w:hAnsi="Arial" w:cs="Arial"/>
        </w:rPr>
        <w:t xml:space="preserve">visual-only teaching materials, poor captioning or audio description </w:t>
      </w:r>
    </w:p>
    <w:p w14:paraId="03DBBA5E" w14:textId="5748A5B6" w:rsidR="00D17A2B" w:rsidRPr="00DB2CA1" w:rsidRDefault="00102519" w:rsidP="00220981">
      <w:pPr>
        <w:pStyle w:val="ListParagraph"/>
        <w:numPr>
          <w:ilvl w:val="0"/>
          <w:numId w:val="36"/>
        </w:numPr>
        <w:spacing w:line="360" w:lineRule="auto"/>
        <w:rPr>
          <w:rFonts w:ascii="Arial" w:hAnsi="Arial" w:cs="Arial"/>
        </w:rPr>
      </w:pPr>
      <w:r>
        <w:rPr>
          <w:rFonts w:ascii="Arial" w:hAnsi="Arial" w:cs="Arial"/>
        </w:rPr>
        <w:t>physically i</w:t>
      </w:r>
      <w:r w:rsidR="00AE04FA">
        <w:rPr>
          <w:rFonts w:ascii="Arial" w:hAnsi="Arial" w:cs="Arial"/>
        </w:rPr>
        <w:t>n</w:t>
      </w:r>
      <w:r w:rsidR="00AE04FA" w:rsidRPr="00AE04FA">
        <w:rPr>
          <w:rFonts w:ascii="Arial" w:hAnsi="Arial" w:cs="Arial"/>
        </w:rPr>
        <w:t>accessible rehearsal, studio and performance spaces</w:t>
      </w:r>
    </w:p>
    <w:p w14:paraId="546A876F" w14:textId="25C5B86C" w:rsidR="0088579D" w:rsidRDefault="000B6E58" w:rsidP="00220981">
      <w:pPr>
        <w:pStyle w:val="ListParagraph"/>
        <w:numPr>
          <w:ilvl w:val="0"/>
          <w:numId w:val="36"/>
        </w:numPr>
        <w:spacing w:line="360" w:lineRule="auto"/>
        <w:rPr>
          <w:rFonts w:ascii="Arial" w:hAnsi="Arial" w:cs="Arial"/>
        </w:rPr>
      </w:pPr>
      <w:r>
        <w:rPr>
          <w:rFonts w:ascii="Arial" w:hAnsi="Arial" w:cs="Arial"/>
        </w:rPr>
        <w:t>c</w:t>
      </w:r>
      <w:r w:rsidR="00EE2239" w:rsidRPr="0088579D">
        <w:rPr>
          <w:rFonts w:ascii="Arial" w:hAnsi="Arial" w:cs="Arial"/>
        </w:rPr>
        <w:t xml:space="preserve">reative </w:t>
      </w:r>
      <w:r w:rsidR="0097076D" w:rsidRPr="0088579D">
        <w:rPr>
          <w:rFonts w:ascii="Arial" w:hAnsi="Arial" w:cs="Arial"/>
        </w:rPr>
        <w:t xml:space="preserve">and digital </w:t>
      </w:r>
      <w:r w:rsidR="003D2417" w:rsidRPr="0088579D">
        <w:rPr>
          <w:rFonts w:ascii="Arial" w:hAnsi="Arial" w:cs="Arial"/>
        </w:rPr>
        <w:t>t</w:t>
      </w:r>
      <w:r w:rsidR="00EE2239" w:rsidRPr="0088579D">
        <w:rPr>
          <w:rFonts w:ascii="Arial" w:hAnsi="Arial" w:cs="Arial"/>
        </w:rPr>
        <w:t>ools</w:t>
      </w:r>
      <w:r w:rsidR="006B0E0C" w:rsidRPr="00220981">
        <w:rPr>
          <w:rFonts w:ascii="Arial" w:hAnsi="Arial" w:cs="Arial"/>
        </w:rPr>
        <w:t xml:space="preserve"> </w:t>
      </w:r>
      <w:r w:rsidR="00EE2239" w:rsidRPr="0088579D">
        <w:rPr>
          <w:rFonts w:ascii="Arial" w:hAnsi="Arial" w:cs="Arial"/>
        </w:rPr>
        <w:t xml:space="preserve">(e.g. editing software, design platforms) </w:t>
      </w:r>
      <w:r w:rsidR="0097076D" w:rsidRPr="0088579D">
        <w:rPr>
          <w:rFonts w:ascii="Arial" w:hAnsi="Arial" w:cs="Arial"/>
        </w:rPr>
        <w:t xml:space="preserve">that </w:t>
      </w:r>
      <w:r w:rsidR="009A7B2E">
        <w:rPr>
          <w:rFonts w:ascii="Arial" w:hAnsi="Arial" w:cs="Arial"/>
        </w:rPr>
        <w:t xml:space="preserve">don’t meet </w:t>
      </w:r>
      <w:r w:rsidR="003A4B6B" w:rsidRPr="0088579D">
        <w:rPr>
          <w:rFonts w:ascii="Arial" w:hAnsi="Arial" w:cs="Arial"/>
        </w:rPr>
        <w:t>digital accessibility guidelines</w:t>
      </w:r>
      <w:r w:rsidR="009A7B2E">
        <w:rPr>
          <w:rFonts w:ascii="Arial" w:hAnsi="Arial" w:cs="Arial"/>
        </w:rPr>
        <w:t xml:space="preserve"> and aren’t compatible with screen readers</w:t>
      </w:r>
      <w:r w:rsidR="0069127C" w:rsidRPr="0088579D">
        <w:rPr>
          <w:rFonts w:ascii="Arial" w:hAnsi="Arial" w:cs="Arial"/>
        </w:rPr>
        <w:t xml:space="preserve"> </w:t>
      </w:r>
    </w:p>
    <w:p w14:paraId="3B0237D3" w14:textId="26047EF2" w:rsidR="00322632" w:rsidRDefault="00C9166C" w:rsidP="00220981">
      <w:pPr>
        <w:pStyle w:val="ListParagraph"/>
        <w:numPr>
          <w:ilvl w:val="0"/>
          <w:numId w:val="36"/>
        </w:numPr>
        <w:spacing w:line="360" w:lineRule="auto"/>
        <w:rPr>
          <w:rFonts w:ascii="Arial" w:hAnsi="Arial" w:cs="Arial"/>
        </w:rPr>
      </w:pPr>
      <w:r>
        <w:rPr>
          <w:rFonts w:ascii="Arial" w:hAnsi="Arial" w:cs="Arial"/>
        </w:rPr>
        <w:lastRenderedPageBreak/>
        <w:t>f</w:t>
      </w:r>
      <w:r w:rsidR="0019287E">
        <w:rPr>
          <w:rFonts w:ascii="Arial" w:hAnsi="Arial" w:cs="Arial"/>
        </w:rPr>
        <w:t>unding a</w:t>
      </w:r>
      <w:r w:rsidR="00EE2239" w:rsidRPr="0088579D">
        <w:rPr>
          <w:rFonts w:ascii="Arial" w:hAnsi="Arial" w:cs="Arial"/>
        </w:rPr>
        <w:t>pplication processes and assessment criteria that do not account for access requirements</w:t>
      </w:r>
      <w:r w:rsidR="000B4EF7" w:rsidRPr="0088579D">
        <w:rPr>
          <w:rFonts w:ascii="Arial" w:hAnsi="Arial" w:cs="Arial"/>
        </w:rPr>
        <w:t xml:space="preserve"> or provide information in alternative formats</w:t>
      </w:r>
      <w:r w:rsidR="003E6767" w:rsidRPr="0088579D">
        <w:rPr>
          <w:rFonts w:ascii="Arial" w:hAnsi="Arial" w:cs="Arial"/>
        </w:rPr>
        <w:t xml:space="preserve"> (</w:t>
      </w:r>
      <w:proofErr w:type="spellStart"/>
      <w:r w:rsidR="003E6767" w:rsidRPr="0088579D">
        <w:rPr>
          <w:rFonts w:ascii="Arial" w:hAnsi="Arial" w:cs="Arial"/>
        </w:rPr>
        <w:t>e.g</w:t>
      </w:r>
      <w:proofErr w:type="spellEnd"/>
      <w:r w:rsidR="003E6767" w:rsidRPr="0088579D">
        <w:rPr>
          <w:rFonts w:ascii="Arial" w:hAnsi="Arial" w:cs="Arial"/>
        </w:rPr>
        <w:t xml:space="preserve"> large print, audio, braille)</w:t>
      </w:r>
      <w:r w:rsidR="00535DE5">
        <w:rPr>
          <w:rFonts w:ascii="Arial" w:hAnsi="Arial" w:cs="Arial"/>
        </w:rPr>
        <w:t>.</w:t>
      </w:r>
      <w:r w:rsidR="0019287E">
        <w:rPr>
          <w:rFonts w:ascii="Arial" w:hAnsi="Arial" w:cs="Arial"/>
        </w:rPr>
        <w:t xml:space="preserve"> </w:t>
      </w:r>
    </w:p>
    <w:p w14:paraId="0BCBE170" w14:textId="77777777" w:rsidR="00EE2239" w:rsidRPr="003D3C6E" w:rsidRDefault="00EE2239" w:rsidP="003D3C6E">
      <w:pPr>
        <w:pStyle w:val="Heading3"/>
      </w:pPr>
      <w:r w:rsidRPr="003D3C6E">
        <w:t>Pillar 4 — Strong Cultural Infrastructure</w:t>
      </w:r>
    </w:p>
    <w:p w14:paraId="7B453EBB" w14:textId="62A120A6" w:rsidR="00EE2239" w:rsidRDefault="00156F06" w:rsidP="00EE2239">
      <w:pPr>
        <w:spacing w:line="360" w:lineRule="auto"/>
        <w:rPr>
          <w:rFonts w:ascii="Arial" w:hAnsi="Arial" w:cs="Arial"/>
        </w:rPr>
      </w:pPr>
      <w:r>
        <w:rPr>
          <w:rFonts w:ascii="Arial" w:hAnsi="Arial" w:cs="Arial"/>
        </w:rPr>
        <w:t xml:space="preserve">Accessing </w:t>
      </w:r>
      <w:r w:rsidR="006D7AD9" w:rsidRPr="00FE7966">
        <w:rPr>
          <w:rFonts w:ascii="Arial" w:hAnsi="Arial" w:cs="Arial"/>
        </w:rPr>
        <w:t>the arts as a consumer requires access to information, physical access to premises</w:t>
      </w:r>
      <w:r w:rsidR="007F0E35">
        <w:rPr>
          <w:rFonts w:ascii="Arial" w:hAnsi="Arial" w:cs="Arial"/>
        </w:rPr>
        <w:t>,</w:t>
      </w:r>
      <w:r w:rsidR="006D7AD9" w:rsidRPr="00FE7966">
        <w:rPr>
          <w:rFonts w:ascii="Arial" w:hAnsi="Arial" w:cs="Arial"/>
        </w:rPr>
        <w:t xml:space="preserve"> and </w:t>
      </w:r>
      <w:r w:rsidR="007F0E35">
        <w:rPr>
          <w:rFonts w:ascii="Arial" w:hAnsi="Arial" w:cs="Arial"/>
        </w:rPr>
        <w:t xml:space="preserve">appropriate </w:t>
      </w:r>
      <w:r w:rsidR="006D7AD9" w:rsidRPr="00FE7966">
        <w:rPr>
          <w:rFonts w:ascii="Arial" w:hAnsi="Arial" w:cs="Arial"/>
        </w:rPr>
        <w:t>assistance from staff</w:t>
      </w:r>
      <w:r w:rsidR="00EB1813">
        <w:rPr>
          <w:rFonts w:ascii="Arial" w:hAnsi="Arial" w:cs="Arial"/>
        </w:rPr>
        <w:t>.</w:t>
      </w:r>
      <w:r w:rsidR="006D7AD9" w:rsidRPr="00FE7966">
        <w:rPr>
          <w:rFonts w:ascii="Arial" w:hAnsi="Arial" w:cs="Arial"/>
        </w:rPr>
        <w:t xml:space="preserve"> </w:t>
      </w:r>
      <w:r w:rsidR="00FE7AEF">
        <w:rPr>
          <w:rFonts w:ascii="Arial" w:hAnsi="Arial" w:cs="Arial"/>
        </w:rPr>
        <w:t>U</w:t>
      </w:r>
      <w:r w:rsidR="0042544F" w:rsidRPr="00746636">
        <w:rPr>
          <w:rFonts w:ascii="Arial" w:hAnsi="Arial" w:cs="Arial"/>
        </w:rPr>
        <w:t>nder both state/territory and federal law, ensuring an event is accessible for people with disabilit</w:t>
      </w:r>
      <w:r w:rsidR="00DB7650">
        <w:rPr>
          <w:rFonts w:ascii="Arial" w:hAnsi="Arial" w:cs="Arial"/>
        </w:rPr>
        <w:t>y</w:t>
      </w:r>
      <w:r w:rsidR="0042544F" w:rsidRPr="00746636">
        <w:rPr>
          <w:rFonts w:ascii="Arial" w:hAnsi="Arial" w:cs="Arial"/>
        </w:rPr>
        <w:t xml:space="preserve"> is a legal requirement</w:t>
      </w:r>
      <w:r w:rsidR="002E015D">
        <w:rPr>
          <w:rStyle w:val="FootnoteReference"/>
          <w:rFonts w:ascii="Arial" w:hAnsi="Arial" w:cs="Arial"/>
        </w:rPr>
        <w:footnoteReference w:id="8"/>
      </w:r>
      <w:r w:rsidR="002E015D">
        <w:rPr>
          <w:rFonts w:ascii="Arial" w:hAnsi="Arial" w:cs="Arial"/>
        </w:rPr>
        <w:t>,</w:t>
      </w:r>
      <w:r w:rsidR="00FE7AEF" w:rsidRPr="00746636">
        <w:rPr>
          <w:rFonts w:ascii="Arial" w:hAnsi="Arial" w:cs="Arial"/>
        </w:rPr>
        <w:t xml:space="preserve"> yet</w:t>
      </w:r>
      <w:r w:rsidR="00C312FB" w:rsidRPr="00746636">
        <w:rPr>
          <w:rFonts w:ascii="Arial" w:hAnsi="Arial" w:cs="Arial"/>
        </w:rPr>
        <w:t xml:space="preserve"> </w:t>
      </w:r>
      <w:r w:rsidR="009E7CC9">
        <w:rPr>
          <w:rFonts w:ascii="Arial" w:hAnsi="Arial" w:cs="Arial"/>
        </w:rPr>
        <w:t>a</w:t>
      </w:r>
      <w:r w:rsidR="00EE2239" w:rsidRPr="004117C8">
        <w:rPr>
          <w:rFonts w:ascii="Arial" w:hAnsi="Arial" w:cs="Arial"/>
        </w:rPr>
        <w:t xml:space="preserve">ccessibility is </w:t>
      </w:r>
      <w:r w:rsidR="009F5399">
        <w:rPr>
          <w:rFonts w:ascii="Arial" w:hAnsi="Arial" w:cs="Arial"/>
        </w:rPr>
        <w:t xml:space="preserve">still </w:t>
      </w:r>
      <w:r w:rsidR="00EE2239" w:rsidRPr="004117C8">
        <w:rPr>
          <w:rFonts w:ascii="Arial" w:hAnsi="Arial" w:cs="Arial"/>
        </w:rPr>
        <w:t>not consistently embedded in cultural infrastructure</w:t>
      </w:r>
      <w:r w:rsidR="00C312FB">
        <w:rPr>
          <w:rFonts w:ascii="Arial" w:hAnsi="Arial" w:cs="Arial"/>
        </w:rPr>
        <w:t xml:space="preserve">. </w:t>
      </w:r>
    </w:p>
    <w:p w14:paraId="4A91D0E4" w14:textId="46072093" w:rsidR="00092E65" w:rsidRPr="004117C8" w:rsidRDefault="00092E65" w:rsidP="00EE2239">
      <w:pPr>
        <w:spacing w:line="360" w:lineRule="auto"/>
        <w:rPr>
          <w:rFonts w:ascii="Arial" w:hAnsi="Arial" w:cs="Arial"/>
        </w:rPr>
      </w:pPr>
      <w:r>
        <w:rPr>
          <w:rFonts w:ascii="Arial" w:hAnsi="Arial" w:cs="Arial"/>
        </w:rPr>
        <w:t>Common barriers include:</w:t>
      </w:r>
    </w:p>
    <w:p w14:paraId="37D6257F" w14:textId="0057D522" w:rsidR="00EE2239" w:rsidRDefault="00EE2239" w:rsidP="006B0E0C">
      <w:pPr>
        <w:spacing w:line="360" w:lineRule="auto"/>
        <w:rPr>
          <w:rFonts w:ascii="Arial" w:hAnsi="Arial" w:cs="Arial"/>
        </w:rPr>
      </w:pPr>
      <w:r w:rsidRPr="00C44792">
        <w:rPr>
          <w:rStyle w:val="Heading4Char"/>
          <w:rFonts w:ascii="Arial" w:hAnsi="Arial" w:cs="Arial"/>
        </w:rPr>
        <w:t xml:space="preserve">Venue </w:t>
      </w:r>
      <w:r w:rsidR="003E6767" w:rsidRPr="00C44792">
        <w:rPr>
          <w:rStyle w:val="Heading4Char"/>
          <w:rFonts w:ascii="Arial" w:hAnsi="Arial" w:cs="Arial"/>
        </w:rPr>
        <w:t>a</w:t>
      </w:r>
      <w:r w:rsidRPr="00C44792">
        <w:rPr>
          <w:rStyle w:val="Heading4Char"/>
          <w:rFonts w:ascii="Arial" w:hAnsi="Arial" w:cs="Arial"/>
        </w:rPr>
        <w:t>ccessibility</w:t>
      </w:r>
      <w:r w:rsidR="006B0E0C" w:rsidRPr="4C0C1F19">
        <w:rPr>
          <w:rFonts w:ascii="Arial" w:hAnsi="Arial" w:cs="Arial"/>
          <w:b/>
          <w:bCs/>
        </w:rPr>
        <w:t xml:space="preserve"> </w:t>
      </w:r>
      <w:r w:rsidR="00177D49">
        <w:rPr>
          <w:rFonts w:ascii="Arial" w:hAnsi="Arial" w:cs="Arial"/>
          <w:b/>
          <w:bCs/>
        </w:rPr>
        <w:t>–</w:t>
      </w:r>
      <w:r w:rsidR="006B0E0C" w:rsidRPr="4C0C1F19">
        <w:rPr>
          <w:rFonts w:ascii="Arial" w:hAnsi="Arial" w:cs="Arial"/>
          <w:b/>
          <w:bCs/>
        </w:rPr>
        <w:t xml:space="preserve"> </w:t>
      </w:r>
      <w:r w:rsidR="009945DA" w:rsidRPr="000E4AC1">
        <w:rPr>
          <w:rFonts w:ascii="Arial" w:hAnsi="Arial" w:cs="Arial"/>
        </w:rPr>
        <w:t>Navigation</w:t>
      </w:r>
      <w:r w:rsidR="004A580C">
        <w:rPr>
          <w:rFonts w:ascii="Arial" w:hAnsi="Arial" w:cs="Arial"/>
        </w:rPr>
        <w:t xml:space="preserve"> of</w:t>
      </w:r>
      <w:r w:rsidR="00074AD5">
        <w:rPr>
          <w:rFonts w:ascii="Arial" w:hAnsi="Arial" w:cs="Arial"/>
        </w:rPr>
        <w:t xml:space="preserve"> cultural</w:t>
      </w:r>
      <w:r w:rsidR="004A580C" w:rsidRPr="004A580C">
        <w:rPr>
          <w:rFonts w:ascii="Arial" w:hAnsi="Arial" w:cs="Arial"/>
        </w:rPr>
        <w:t xml:space="preserve"> spaces</w:t>
      </w:r>
      <w:r w:rsidR="00177D49">
        <w:rPr>
          <w:rFonts w:ascii="Arial" w:hAnsi="Arial" w:cs="Arial"/>
        </w:rPr>
        <w:t xml:space="preserve"> for people who are blind or vision impaired</w:t>
      </w:r>
      <w:r w:rsidR="009945DA" w:rsidRPr="000E4AC1">
        <w:rPr>
          <w:rFonts w:ascii="Arial" w:hAnsi="Arial" w:cs="Arial"/>
        </w:rPr>
        <w:t xml:space="preserve"> can be difficult due to poor wayfinding design, inconsistent signage, inadequate lighting and the absence of accessible orientation features such as tactile ground surface indicators, tactile maps, braille signage and audible navigation information. These barriers can reduce independence, create safety risks and limit full participation in cultural experiences</w:t>
      </w:r>
      <w:r w:rsidR="009F0D90">
        <w:rPr>
          <w:rFonts w:ascii="Arial" w:hAnsi="Arial" w:cs="Arial"/>
        </w:rPr>
        <w:t xml:space="preserve"> as artists</w:t>
      </w:r>
      <w:r w:rsidR="002E015D">
        <w:rPr>
          <w:rFonts w:ascii="Arial" w:hAnsi="Arial" w:cs="Arial"/>
        </w:rPr>
        <w:t>, employees</w:t>
      </w:r>
      <w:r w:rsidR="009F0D90">
        <w:rPr>
          <w:rFonts w:ascii="Arial" w:hAnsi="Arial" w:cs="Arial"/>
        </w:rPr>
        <w:t xml:space="preserve"> and audience members</w:t>
      </w:r>
      <w:r w:rsidR="002A6C3F" w:rsidRPr="000E4AC1">
        <w:rPr>
          <w:rFonts w:ascii="Arial" w:hAnsi="Arial" w:cs="Arial"/>
        </w:rPr>
        <w:t>.</w:t>
      </w:r>
      <w:r w:rsidRPr="000E4AC1">
        <w:rPr>
          <w:rFonts w:ascii="Arial" w:hAnsi="Arial" w:cs="Arial"/>
        </w:rPr>
        <w:t xml:space="preserve"> </w:t>
      </w:r>
      <w:r w:rsidR="000B0A98">
        <w:rPr>
          <w:rFonts w:ascii="Arial" w:hAnsi="Arial" w:cs="Arial"/>
        </w:rPr>
        <w:t>Cultural e</w:t>
      </w:r>
      <w:r w:rsidR="044E00FA" w:rsidRPr="000E4AC1">
        <w:rPr>
          <w:rFonts w:ascii="Arial" w:hAnsi="Arial" w:cs="Arial"/>
        </w:rPr>
        <w:t xml:space="preserve">vents </w:t>
      </w:r>
      <w:r w:rsidR="000B0A98">
        <w:rPr>
          <w:rFonts w:ascii="Arial" w:hAnsi="Arial" w:cs="Arial"/>
        </w:rPr>
        <w:t xml:space="preserve">are often </w:t>
      </w:r>
      <w:r w:rsidR="044E00FA" w:rsidRPr="000E4AC1">
        <w:rPr>
          <w:rFonts w:ascii="Arial" w:hAnsi="Arial" w:cs="Arial"/>
        </w:rPr>
        <w:t xml:space="preserve">hosted in heritage buildings </w:t>
      </w:r>
      <w:r w:rsidR="00F13A30">
        <w:rPr>
          <w:rFonts w:ascii="Arial" w:hAnsi="Arial" w:cs="Arial"/>
        </w:rPr>
        <w:t xml:space="preserve">which </w:t>
      </w:r>
      <w:r w:rsidR="000B0A98" w:rsidRPr="000B0A98">
        <w:rPr>
          <w:rFonts w:ascii="Arial" w:hAnsi="Arial" w:cs="Arial"/>
        </w:rPr>
        <w:t>may rely on exemptions or minimum compliance approaches that do not</w:t>
      </w:r>
      <w:r w:rsidR="00941AE7">
        <w:rPr>
          <w:rFonts w:ascii="Arial" w:hAnsi="Arial" w:cs="Arial"/>
        </w:rPr>
        <w:t xml:space="preserve"> remove </w:t>
      </w:r>
      <w:r w:rsidR="00B63506">
        <w:rPr>
          <w:rFonts w:ascii="Arial" w:hAnsi="Arial" w:cs="Arial"/>
        </w:rPr>
        <w:t xml:space="preserve">access </w:t>
      </w:r>
      <w:r w:rsidR="00941AE7">
        <w:rPr>
          <w:rFonts w:ascii="Arial" w:hAnsi="Arial" w:cs="Arial"/>
        </w:rPr>
        <w:t>barriers or</w:t>
      </w:r>
      <w:r w:rsidR="000B0A98" w:rsidRPr="000B0A98">
        <w:rPr>
          <w:rFonts w:ascii="Arial" w:hAnsi="Arial" w:cs="Arial"/>
        </w:rPr>
        <w:t xml:space="preserve"> deliver genuinely equitable access for people with disability.</w:t>
      </w:r>
    </w:p>
    <w:p w14:paraId="1C4B7DA8" w14:textId="7EA47FA5" w:rsidR="00F46F80" w:rsidRPr="004117C8" w:rsidRDefault="00F46F80" w:rsidP="006B0E0C">
      <w:pPr>
        <w:spacing w:line="360" w:lineRule="auto"/>
        <w:rPr>
          <w:rFonts w:ascii="Arial" w:hAnsi="Arial" w:cs="Arial"/>
        </w:rPr>
      </w:pPr>
      <w:r w:rsidRPr="00C44792">
        <w:rPr>
          <w:rStyle w:val="Heading4Char"/>
          <w:rFonts w:ascii="Arial" w:hAnsi="Arial" w:cs="Arial"/>
        </w:rPr>
        <w:t>Staff awareness</w:t>
      </w:r>
      <w:r w:rsidR="0009687D" w:rsidRPr="00C44792">
        <w:rPr>
          <w:rStyle w:val="Heading4Char"/>
          <w:rFonts w:ascii="Arial" w:hAnsi="Arial" w:cs="Arial"/>
        </w:rPr>
        <w:t xml:space="preserve"> and capability</w:t>
      </w:r>
      <w:r>
        <w:rPr>
          <w:rFonts w:ascii="Arial" w:hAnsi="Arial" w:cs="Arial"/>
        </w:rPr>
        <w:t xml:space="preserve"> - A</w:t>
      </w:r>
      <w:r w:rsidRPr="00F46F80">
        <w:rPr>
          <w:rFonts w:ascii="Arial" w:hAnsi="Arial" w:cs="Arial"/>
        </w:rPr>
        <w:t>ccessibility challenges are often compounded by</w:t>
      </w:r>
      <w:r w:rsidR="00BD5397">
        <w:rPr>
          <w:rFonts w:ascii="Arial" w:hAnsi="Arial" w:cs="Arial"/>
        </w:rPr>
        <w:t xml:space="preserve"> </w:t>
      </w:r>
      <w:r w:rsidR="00A1634E">
        <w:rPr>
          <w:rFonts w:ascii="Arial" w:hAnsi="Arial" w:cs="Arial"/>
        </w:rPr>
        <w:t xml:space="preserve">outdated assumptions and </w:t>
      </w:r>
      <w:r w:rsidRPr="00F46F80">
        <w:rPr>
          <w:rFonts w:ascii="Arial" w:hAnsi="Arial" w:cs="Arial"/>
        </w:rPr>
        <w:t xml:space="preserve">limited staff </w:t>
      </w:r>
      <w:r w:rsidR="00A1634E">
        <w:rPr>
          <w:rFonts w:ascii="Arial" w:hAnsi="Arial" w:cs="Arial"/>
        </w:rPr>
        <w:t>capability to</w:t>
      </w:r>
      <w:r w:rsidRPr="00F46F80">
        <w:rPr>
          <w:rFonts w:ascii="Arial" w:hAnsi="Arial" w:cs="Arial"/>
        </w:rPr>
        <w:t xml:space="preserve"> respond to the access needs of blind </w:t>
      </w:r>
      <w:r>
        <w:rPr>
          <w:rFonts w:ascii="Arial" w:hAnsi="Arial" w:cs="Arial"/>
        </w:rPr>
        <w:t xml:space="preserve">or </w:t>
      </w:r>
      <w:r w:rsidRPr="00F46F80">
        <w:rPr>
          <w:rFonts w:ascii="Arial" w:hAnsi="Arial" w:cs="Arial"/>
        </w:rPr>
        <w:t>vision</w:t>
      </w:r>
      <w:r>
        <w:rPr>
          <w:rFonts w:ascii="Arial" w:hAnsi="Arial" w:cs="Arial"/>
        </w:rPr>
        <w:t xml:space="preserve"> impaired</w:t>
      </w:r>
      <w:r w:rsidRPr="00F46F80">
        <w:rPr>
          <w:rFonts w:ascii="Arial" w:hAnsi="Arial" w:cs="Arial"/>
        </w:rPr>
        <w:t xml:space="preserve"> </w:t>
      </w:r>
      <w:r w:rsidR="00A672D0">
        <w:rPr>
          <w:rFonts w:ascii="Arial" w:hAnsi="Arial" w:cs="Arial"/>
        </w:rPr>
        <w:t>people</w:t>
      </w:r>
      <w:r w:rsidR="00E06768">
        <w:rPr>
          <w:rFonts w:ascii="Arial" w:hAnsi="Arial" w:cs="Arial"/>
        </w:rPr>
        <w:t xml:space="preserve"> (e.g.</w:t>
      </w:r>
      <w:r w:rsidR="008C7B64">
        <w:rPr>
          <w:rFonts w:ascii="Arial" w:hAnsi="Arial" w:cs="Arial"/>
        </w:rPr>
        <w:t xml:space="preserve"> </w:t>
      </w:r>
      <w:r w:rsidRPr="00F46F80">
        <w:rPr>
          <w:rFonts w:ascii="Arial" w:hAnsi="Arial" w:cs="Arial"/>
        </w:rPr>
        <w:t>appropriate guiding techniques</w:t>
      </w:r>
      <w:r w:rsidR="000C2792">
        <w:rPr>
          <w:rFonts w:ascii="Arial" w:hAnsi="Arial" w:cs="Arial"/>
        </w:rPr>
        <w:t xml:space="preserve"> and</w:t>
      </w:r>
      <w:r w:rsidRPr="00F46F80">
        <w:rPr>
          <w:rFonts w:ascii="Arial" w:hAnsi="Arial" w:cs="Arial"/>
        </w:rPr>
        <w:t xml:space="preserve"> communication practices</w:t>
      </w:r>
      <w:r w:rsidR="00E06768">
        <w:rPr>
          <w:rFonts w:ascii="Arial" w:hAnsi="Arial" w:cs="Arial"/>
        </w:rPr>
        <w:t>)</w:t>
      </w:r>
      <w:r w:rsidR="000C2792">
        <w:rPr>
          <w:rFonts w:ascii="Arial" w:hAnsi="Arial" w:cs="Arial"/>
        </w:rPr>
        <w:t>.</w:t>
      </w:r>
    </w:p>
    <w:p w14:paraId="2D695633" w14:textId="5F1D04DF" w:rsidR="00EE2239" w:rsidRDefault="00F83F81" w:rsidP="006B0E0C">
      <w:pPr>
        <w:spacing w:line="360" w:lineRule="auto"/>
        <w:rPr>
          <w:rFonts w:ascii="Arial" w:hAnsi="Arial" w:cs="Arial"/>
        </w:rPr>
      </w:pPr>
      <w:r w:rsidRPr="00C44792">
        <w:rPr>
          <w:rStyle w:val="Heading4Char"/>
          <w:rFonts w:ascii="Arial" w:hAnsi="Arial" w:cs="Arial"/>
        </w:rPr>
        <w:t>Booking and t</w:t>
      </w:r>
      <w:r w:rsidR="00EE2239" w:rsidRPr="00C44792">
        <w:rPr>
          <w:rStyle w:val="Heading4Char"/>
          <w:rFonts w:ascii="Arial" w:hAnsi="Arial" w:cs="Arial"/>
        </w:rPr>
        <w:t xml:space="preserve">icketing </w:t>
      </w:r>
      <w:r w:rsidR="003E6767" w:rsidRPr="00C44792">
        <w:rPr>
          <w:rStyle w:val="Heading4Char"/>
          <w:rFonts w:ascii="Arial" w:hAnsi="Arial" w:cs="Arial"/>
        </w:rPr>
        <w:t>s</w:t>
      </w:r>
      <w:r w:rsidR="00EE2239" w:rsidRPr="00C44792">
        <w:rPr>
          <w:rStyle w:val="Heading4Char"/>
          <w:rFonts w:ascii="Arial" w:hAnsi="Arial" w:cs="Arial"/>
        </w:rPr>
        <w:t>ystems</w:t>
      </w:r>
      <w:r w:rsidR="006B0E0C">
        <w:rPr>
          <w:rFonts w:ascii="Arial" w:hAnsi="Arial" w:cs="Arial"/>
          <w:b/>
          <w:bCs/>
        </w:rPr>
        <w:t xml:space="preserve"> </w:t>
      </w:r>
      <w:r w:rsidR="007F2C81">
        <w:rPr>
          <w:rFonts w:ascii="Arial" w:hAnsi="Arial" w:cs="Arial"/>
          <w:b/>
          <w:bCs/>
        </w:rPr>
        <w:t>–</w:t>
      </w:r>
      <w:r w:rsidR="006B0E0C">
        <w:rPr>
          <w:rFonts w:ascii="Arial" w:hAnsi="Arial" w:cs="Arial"/>
          <w:b/>
          <w:bCs/>
        </w:rPr>
        <w:t xml:space="preserve"> </w:t>
      </w:r>
      <w:r w:rsidR="007F2C81" w:rsidRPr="007F2C81">
        <w:rPr>
          <w:rFonts w:ascii="Arial" w:hAnsi="Arial" w:cs="Arial"/>
        </w:rPr>
        <w:t xml:space="preserve">Can be </w:t>
      </w:r>
      <w:r w:rsidR="00DF193A" w:rsidRPr="00DF193A">
        <w:rPr>
          <w:rFonts w:ascii="Arial" w:hAnsi="Arial" w:cs="Arial"/>
        </w:rPr>
        <w:t xml:space="preserve">inaccessible for people who are blind or vision impaired, particularly where websites are difficult to navigate using screen readers, </w:t>
      </w:r>
      <w:r w:rsidR="00EC13EE">
        <w:rPr>
          <w:rFonts w:ascii="Arial" w:hAnsi="Arial" w:cs="Arial"/>
        </w:rPr>
        <w:t xml:space="preserve">there is a </w:t>
      </w:r>
      <w:r w:rsidR="00DF193A" w:rsidRPr="00DF193A">
        <w:rPr>
          <w:rFonts w:ascii="Arial" w:hAnsi="Arial" w:cs="Arial"/>
        </w:rPr>
        <w:t>rel</w:t>
      </w:r>
      <w:r w:rsidR="00EC13EE">
        <w:rPr>
          <w:rFonts w:ascii="Arial" w:hAnsi="Arial" w:cs="Arial"/>
        </w:rPr>
        <w:t xml:space="preserve">iance </w:t>
      </w:r>
      <w:r w:rsidR="00DF193A" w:rsidRPr="00DF193A">
        <w:rPr>
          <w:rFonts w:ascii="Arial" w:hAnsi="Arial" w:cs="Arial"/>
        </w:rPr>
        <w:t xml:space="preserve">on inaccessible forms or CAPTCHA systems, or </w:t>
      </w:r>
      <w:r w:rsidR="004A3250">
        <w:rPr>
          <w:rFonts w:ascii="Arial" w:hAnsi="Arial" w:cs="Arial"/>
        </w:rPr>
        <w:t>even</w:t>
      </w:r>
      <w:r w:rsidR="00B11D9F">
        <w:rPr>
          <w:rFonts w:ascii="Arial" w:hAnsi="Arial" w:cs="Arial"/>
        </w:rPr>
        <w:t>t</w:t>
      </w:r>
      <w:r w:rsidR="004A3250">
        <w:rPr>
          <w:rFonts w:ascii="Arial" w:hAnsi="Arial" w:cs="Arial"/>
        </w:rPr>
        <w:t xml:space="preserve"> information is </w:t>
      </w:r>
      <w:r w:rsidR="00DF193A" w:rsidRPr="00DF193A">
        <w:rPr>
          <w:rFonts w:ascii="Arial" w:hAnsi="Arial" w:cs="Arial"/>
        </w:rPr>
        <w:t>provide</w:t>
      </w:r>
      <w:r w:rsidR="004A3250">
        <w:rPr>
          <w:rFonts w:ascii="Arial" w:hAnsi="Arial" w:cs="Arial"/>
        </w:rPr>
        <w:t>d</w:t>
      </w:r>
      <w:r w:rsidR="00DF193A" w:rsidRPr="00DF193A">
        <w:rPr>
          <w:rFonts w:ascii="Arial" w:hAnsi="Arial" w:cs="Arial"/>
        </w:rPr>
        <w:t xml:space="preserve"> in </w:t>
      </w:r>
      <w:r w:rsidR="004A3250">
        <w:rPr>
          <w:rFonts w:ascii="Arial" w:hAnsi="Arial" w:cs="Arial"/>
        </w:rPr>
        <w:t>in</w:t>
      </w:r>
      <w:r w:rsidR="00DF193A" w:rsidRPr="00DF193A">
        <w:rPr>
          <w:rFonts w:ascii="Arial" w:hAnsi="Arial" w:cs="Arial"/>
        </w:rPr>
        <w:t>accessible formats</w:t>
      </w:r>
      <w:r w:rsidR="004A3250">
        <w:rPr>
          <w:rFonts w:ascii="Arial" w:hAnsi="Arial" w:cs="Arial"/>
        </w:rPr>
        <w:t xml:space="preserve"> (e.g. PDF</w:t>
      </w:r>
      <w:r w:rsidR="00CD50FC">
        <w:rPr>
          <w:rFonts w:ascii="Arial" w:hAnsi="Arial" w:cs="Arial"/>
        </w:rPr>
        <w:t>, images without alt-text).</w:t>
      </w:r>
      <w:r w:rsidR="00DF193A" w:rsidRPr="00DF193A">
        <w:rPr>
          <w:rFonts w:ascii="Arial" w:hAnsi="Arial" w:cs="Arial"/>
          <w:b/>
          <w:bCs/>
        </w:rPr>
        <w:t xml:space="preserve"> </w:t>
      </w:r>
    </w:p>
    <w:p w14:paraId="3D1CACEF" w14:textId="0865477C" w:rsidR="00EE2239" w:rsidRDefault="00EE2239" w:rsidP="006B0E0C">
      <w:pPr>
        <w:spacing w:line="360" w:lineRule="auto"/>
        <w:rPr>
          <w:rFonts w:ascii="Arial" w:hAnsi="Arial" w:cs="Arial"/>
        </w:rPr>
      </w:pPr>
      <w:r w:rsidRPr="00C44792">
        <w:rPr>
          <w:rStyle w:val="Heading4Char"/>
          <w:rFonts w:ascii="Arial" w:hAnsi="Arial" w:cs="Arial"/>
        </w:rPr>
        <w:t xml:space="preserve">Digital </w:t>
      </w:r>
      <w:r w:rsidR="003E6767" w:rsidRPr="00C44792">
        <w:rPr>
          <w:rStyle w:val="Heading4Char"/>
          <w:rFonts w:ascii="Arial" w:hAnsi="Arial" w:cs="Arial"/>
        </w:rPr>
        <w:t>i</w:t>
      </w:r>
      <w:r w:rsidRPr="00C44792">
        <w:rPr>
          <w:rStyle w:val="Heading4Char"/>
          <w:rFonts w:ascii="Arial" w:hAnsi="Arial" w:cs="Arial"/>
        </w:rPr>
        <w:t>nfrastructure</w:t>
      </w:r>
      <w:r w:rsidR="006B0E0C">
        <w:rPr>
          <w:rFonts w:ascii="Arial" w:hAnsi="Arial" w:cs="Arial"/>
          <w:b/>
          <w:bCs/>
        </w:rPr>
        <w:t xml:space="preserve"> –</w:t>
      </w:r>
      <w:r w:rsidR="00D000FA">
        <w:rPr>
          <w:rFonts w:ascii="Arial" w:hAnsi="Arial" w:cs="Arial"/>
          <w:b/>
          <w:bCs/>
        </w:rPr>
        <w:t xml:space="preserve"> </w:t>
      </w:r>
      <w:r w:rsidR="006B0E0C" w:rsidRPr="006B0E0C">
        <w:rPr>
          <w:rFonts w:ascii="Arial" w:hAnsi="Arial" w:cs="Arial"/>
        </w:rPr>
        <w:t>W</w:t>
      </w:r>
      <w:r w:rsidRPr="004117C8">
        <w:rPr>
          <w:rFonts w:ascii="Arial" w:hAnsi="Arial" w:cs="Arial"/>
        </w:rPr>
        <w:t>ebsites</w:t>
      </w:r>
      <w:r w:rsidR="006B0E0C">
        <w:rPr>
          <w:rFonts w:ascii="Arial" w:hAnsi="Arial" w:cs="Arial"/>
        </w:rPr>
        <w:t xml:space="preserve"> and apps</w:t>
      </w:r>
      <w:r w:rsidRPr="004117C8">
        <w:rPr>
          <w:rFonts w:ascii="Arial" w:hAnsi="Arial" w:cs="Arial"/>
        </w:rPr>
        <w:t xml:space="preserve"> </w:t>
      </w:r>
      <w:r w:rsidR="006B0E0C">
        <w:rPr>
          <w:rFonts w:ascii="Arial" w:hAnsi="Arial" w:cs="Arial"/>
        </w:rPr>
        <w:t>that</w:t>
      </w:r>
      <w:r w:rsidRPr="004117C8">
        <w:rPr>
          <w:rFonts w:ascii="Arial" w:hAnsi="Arial" w:cs="Arial"/>
        </w:rPr>
        <w:t xml:space="preserve"> do not meet recognised accessibility standards</w:t>
      </w:r>
      <w:r w:rsidR="00977666">
        <w:rPr>
          <w:rFonts w:ascii="Arial" w:hAnsi="Arial" w:cs="Arial"/>
        </w:rPr>
        <w:t xml:space="preserve"> (e.g</w:t>
      </w:r>
      <w:r w:rsidR="00F266C1">
        <w:rPr>
          <w:rFonts w:ascii="Arial" w:hAnsi="Arial" w:cs="Arial"/>
        </w:rPr>
        <w:t>.</w:t>
      </w:r>
      <w:r w:rsidR="00977666">
        <w:rPr>
          <w:rFonts w:ascii="Arial" w:hAnsi="Arial" w:cs="Arial"/>
        </w:rPr>
        <w:t xml:space="preserve"> latest version of Web Content Accessibility Guidelines</w:t>
      </w:r>
      <w:r w:rsidR="000F42B8">
        <w:rPr>
          <w:rStyle w:val="FootnoteReference"/>
          <w:rFonts w:ascii="Arial" w:hAnsi="Arial" w:cs="Arial"/>
        </w:rPr>
        <w:footnoteReference w:id="9"/>
      </w:r>
      <w:r w:rsidR="00977666">
        <w:rPr>
          <w:rFonts w:ascii="Arial" w:hAnsi="Arial" w:cs="Arial"/>
        </w:rPr>
        <w:t>)</w:t>
      </w:r>
      <w:r w:rsidR="003D3C6E">
        <w:rPr>
          <w:rFonts w:ascii="Arial" w:hAnsi="Arial" w:cs="Arial"/>
        </w:rPr>
        <w:t xml:space="preserve"> </w:t>
      </w:r>
      <w:r w:rsidRPr="004117C8">
        <w:rPr>
          <w:rFonts w:ascii="Arial" w:hAnsi="Arial" w:cs="Arial"/>
        </w:rPr>
        <w:t xml:space="preserve">limit access </w:t>
      </w:r>
      <w:r w:rsidRPr="004117C8">
        <w:rPr>
          <w:rFonts w:ascii="Arial" w:hAnsi="Arial" w:cs="Arial"/>
        </w:rPr>
        <w:lastRenderedPageBreak/>
        <w:t xml:space="preserve">to information about events and services. </w:t>
      </w:r>
      <w:r w:rsidR="00CC2FF5">
        <w:rPr>
          <w:rFonts w:ascii="Arial" w:hAnsi="Arial" w:cs="Arial"/>
        </w:rPr>
        <w:t>Payment kiosks with touchscreens and no or limited tactile/audio options</w:t>
      </w:r>
      <w:r w:rsidR="005C4039">
        <w:rPr>
          <w:rFonts w:ascii="Arial" w:hAnsi="Arial" w:cs="Arial"/>
        </w:rPr>
        <w:t xml:space="preserve"> limit independent participation</w:t>
      </w:r>
      <w:r w:rsidR="004C5C1D">
        <w:rPr>
          <w:rFonts w:ascii="Arial" w:hAnsi="Arial" w:cs="Arial"/>
        </w:rPr>
        <w:t xml:space="preserve"> and financial privacy</w:t>
      </w:r>
      <w:r w:rsidR="00CC2FF5">
        <w:rPr>
          <w:rFonts w:ascii="Arial" w:hAnsi="Arial" w:cs="Arial"/>
        </w:rPr>
        <w:t>.</w:t>
      </w:r>
    </w:p>
    <w:p w14:paraId="1583E2FD" w14:textId="632D5CB5" w:rsidR="005C30E1" w:rsidRDefault="003D3C6E" w:rsidP="00EE2239">
      <w:pPr>
        <w:spacing w:line="360" w:lineRule="auto"/>
        <w:rPr>
          <w:rFonts w:ascii="Arial" w:hAnsi="Arial" w:cs="Arial"/>
        </w:rPr>
      </w:pPr>
      <w:r w:rsidRPr="00C44792">
        <w:rPr>
          <w:rStyle w:val="Heading4Char"/>
          <w:rFonts w:ascii="Arial" w:hAnsi="Arial" w:cs="Arial"/>
        </w:rPr>
        <w:t>Transport pathways</w:t>
      </w:r>
      <w:r w:rsidRPr="003D3C6E">
        <w:rPr>
          <w:rFonts w:ascii="Arial" w:hAnsi="Arial" w:cs="Arial"/>
          <w:b/>
          <w:bCs/>
        </w:rPr>
        <w:t xml:space="preserve"> </w:t>
      </w:r>
      <w:r w:rsidR="00B17029">
        <w:rPr>
          <w:rFonts w:ascii="Arial" w:hAnsi="Arial" w:cs="Arial"/>
          <w:b/>
          <w:bCs/>
        </w:rPr>
        <w:t>–</w:t>
      </w:r>
      <w:r w:rsidR="005C477D">
        <w:rPr>
          <w:rFonts w:ascii="Arial" w:hAnsi="Arial" w:cs="Arial"/>
          <w:b/>
          <w:bCs/>
        </w:rPr>
        <w:t xml:space="preserve"> </w:t>
      </w:r>
      <w:r w:rsidR="005C477D" w:rsidRPr="00BA628E">
        <w:rPr>
          <w:rFonts w:ascii="Arial" w:hAnsi="Arial" w:cs="Arial"/>
        </w:rPr>
        <w:t>People who are unable to drive due to blindness or vision</w:t>
      </w:r>
      <w:r w:rsidR="005C477D">
        <w:rPr>
          <w:rFonts w:ascii="Arial" w:hAnsi="Arial" w:cs="Arial"/>
        </w:rPr>
        <w:t xml:space="preserve"> impairment rely on </w:t>
      </w:r>
      <w:r w:rsidR="001E1499">
        <w:rPr>
          <w:rFonts w:ascii="Arial" w:hAnsi="Arial" w:cs="Arial"/>
        </w:rPr>
        <w:t>alternate</w:t>
      </w:r>
      <w:r w:rsidR="005C477D">
        <w:rPr>
          <w:rFonts w:ascii="Arial" w:hAnsi="Arial" w:cs="Arial"/>
        </w:rPr>
        <w:t xml:space="preserve"> transport options to participate. </w:t>
      </w:r>
      <w:r w:rsidR="00562DF3" w:rsidRPr="00562DF3">
        <w:rPr>
          <w:rFonts w:ascii="Arial" w:hAnsi="Arial" w:cs="Arial"/>
        </w:rPr>
        <w:t>Inaccessible public transport systems, poor pedestrian infrastructure</w:t>
      </w:r>
      <w:r w:rsidR="00CC4F64">
        <w:rPr>
          <w:rFonts w:ascii="Arial" w:hAnsi="Arial" w:cs="Arial"/>
        </w:rPr>
        <w:t>, unsafe drop off/pick up zones</w:t>
      </w:r>
      <w:r w:rsidR="00562DF3" w:rsidRPr="00562DF3">
        <w:rPr>
          <w:rFonts w:ascii="Arial" w:hAnsi="Arial" w:cs="Arial"/>
        </w:rPr>
        <w:t xml:space="preserve"> and inadequate wayfinding </w:t>
      </w:r>
      <w:r w:rsidR="00236641">
        <w:rPr>
          <w:rFonts w:ascii="Arial" w:hAnsi="Arial" w:cs="Arial"/>
        </w:rPr>
        <w:t>create barriers</w:t>
      </w:r>
      <w:r w:rsidR="00356A56">
        <w:rPr>
          <w:rFonts w:ascii="Arial" w:hAnsi="Arial" w:cs="Arial"/>
        </w:rPr>
        <w:t xml:space="preserve"> that are often heightened </w:t>
      </w:r>
      <w:r w:rsidR="000101CA" w:rsidRPr="000101CA">
        <w:rPr>
          <w:rFonts w:ascii="Arial" w:hAnsi="Arial" w:cs="Arial"/>
        </w:rPr>
        <w:t>at night, during major events, or</w:t>
      </w:r>
      <w:r w:rsidR="000101CA">
        <w:rPr>
          <w:rFonts w:ascii="Arial" w:hAnsi="Arial" w:cs="Arial"/>
        </w:rPr>
        <w:t xml:space="preserve"> whe</w:t>
      </w:r>
      <w:r w:rsidR="005A4048">
        <w:rPr>
          <w:rFonts w:ascii="Arial" w:hAnsi="Arial" w:cs="Arial"/>
        </w:rPr>
        <w:t>n</w:t>
      </w:r>
      <w:r w:rsidR="000101CA">
        <w:rPr>
          <w:rFonts w:ascii="Arial" w:hAnsi="Arial" w:cs="Arial"/>
        </w:rPr>
        <w:t xml:space="preserve"> </w:t>
      </w:r>
      <w:r w:rsidR="000101CA" w:rsidRPr="000101CA">
        <w:rPr>
          <w:rFonts w:ascii="Arial" w:hAnsi="Arial" w:cs="Arial"/>
        </w:rPr>
        <w:t>temporary infrastructure, crowds and changed traffic conditions reduce navigability.</w:t>
      </w:r>
      <w:r w:rsidR="00236641">
        <w:rPr>
          <w:rFonts w:ascii="Arial" w:hAnsi="Arial" w:cs="Arial"/>
        </w:rPr>
        <w:t xml:space="preserve"> </w:t>
      </w:r>
    </w:p>
    <w:p w14:paraId="6345F164" w14:textId="3C5B6F74" w:rsidR="00EE2239" w:rsidRPr="004117C8" w:rsidRDefault="00EE2239" w:rsidP="00E344E2">
      <w:pPr>
        <w:pStyle w:val="Heading3"/>
      </w:pPr>
      <w:r w:rsidRPr="004117C8">
        <w:t>Pillar 5 — Engaging the Audience</w:t>
      </w:r>
    </w:p>
    <w:p w14:paraId="7B9A741C" w14:textId="538BFB9C" w:rsidR="009C6C90" w:rsidRDefault="009C6C90" w:rsidP="003E6456">
      <w:pPr>
        <w:spacing w:line="360" w:lineRule="auto"/>
        <w:rPr>
          <w:rFonts w:ascii="Arial" w:hAnsi="Arial" w:cs="Arial"/>
        </w:rPr>
      </w:pPr>
      <w:r w:rsidRPr="009C6C90">
        <w:rPr>
          <w:rFonts w:ascii="Arial" w:hAnsi="Arial" w:cs="Arial"/>
        </w:rPr>
        <w:t>Audiences, including people who are blind or vision impaired, must be able to independently discover, access and meaningfully engage with arts, culture and creative content on an equal basis with others. As digital platforms and emerging technologies increasingly shape how creative work is produced, distributed, promoted and experienced, accessibility and inclusive design must be embedded from the outset. Without deliberate action, digital transformation risks reinforcing existing barriers and creating new forms of exclusion that further widen inequality in cultural participation and access.</w:t>
      </w:r>
    </w:p>
    <w:p w14:paraId="63CD962F" w14:textId="77777777" w:rsidR="000218E6" w:rsidRPr="00C44792" w:rsidRDefault="000218E6" w:rsidP="0009687D">
      <w:pPr>
        <w:pStyle w:val="Heading4"/>
        <w:rPr>
          <w:rFonts w:ascii="Arial" w:hAnsi="Arial" w:cs="Arial"/>
        </w:rPr>
      </w:pPr>
      <w:r w:rsidRPr="00C44792">
        <w:rPr>
          <w:rFonts w:ascii="Arial" w:hAnsi="Arial" w:cs="Arial"/>
        </w:rPr>
        <w:t>Gaps in audio described screen content and live performances</w:t>
      </w:r>
    </w:p>
    <w:p w14:paraId="4F2D17B2" w14:textId="77B248D8" w:rsidR="004927B9" w:rsidRPr="004117C8" w:rsidRDefault="000218E6" w:rsidP="004927B9">
      <w:pPr>
        <w:spacing w:line="360" w:lineRule="auto"/>
        <w:rPr>
          <w:rFonts w:ascii="Arial" w:hAnsi="Arial" w:cs="Arial"/>
        </w:rPr>
      </w:pPr>
      <w:r w:rsidRPr="0011019E">
        <w:rPr>
          <w:rFonts w:ascii="Arial" w:hAnsi="Arial" w:cs="Arial"/>
        </w:rPr>
        <w:t xml:space="preserve">Australia </w:t>
      </w:r>
      <w:proofErr w:type="gramStart"/>
      <w:r w:rsidRPr="0011019E">
        <w:rPr>
          <w:rFonts w:ascii="Arial" w:hAnsi="Arial" w:cs="Arial"/>
        </w:rPr>
        <w:t>lags behind</w:t>
      </w:r>
      <w:proofErr w:type="gramEnd"/>
      <w:r w:rsidRPr="0011019E">
        <w:rPr>
          <w:rFonts w:ascii="Arial" w:hAnsi="Arial" w:cs="Arial"/>
        </w:rPr>
        <w:t xml:space="preserve"> much of the developed world in the provision of A</w:t>
      </w:r>
      <w:r>
        <w:rPr>
          <w:rFonts w:ascii="Arial" w:hAnsi="Arial" w:cs="Arial"/>
        </w:rPr>
        <w:t xml:space="preserve">udio </w:t>
      </w:r>
      <w:r w:rsidRPr="0011019E">
        <w:rPr>
          <w:rFonts w:ascii="Arial" w:hAnsi="Arial" w:cs="Arial"/>
        </w:rPr>
        <w:t>D</w:t>
      </w:r>
      <w:r>
        <w:rPr>
          <w:rFonts w:ascii="Arial" w:hAnsi="Arial" w:cs="Arial"/>
        </w:rPr>
        <w:t>escription (AD)</w:t>
      </w:r>
      <w:r w:rsidR="004B16E6">
        <w:rPr>
          <w:rStyle w:val="FootnoteReference"/>
          <w:rFonts w:ascii="Arial" w:hAnsi="Arial" w:cs="Arial"/>
        </w:rPr>
        <w:footnoteReference w:id="10"/>
      </w:r>
      <w:r w:rsidRPr="0011019E">
        <w:rPr>
          <w:rFonts w:ascii="Arial" w:hAnsi="Arial" w:cs="Arial"/>
        </w:rPr>
        <w:t>.</w:t>
      </w:r>
      <w:r>
        <w:rPr>
          <w:rFonts w:ascii="Arial" w:hAnsi="Arial" w:cs="Arial"/>
        </w:rPr>
        <w:t xml:space="preserve"> </w:t>
      </w:r>
      <w:r w:rsidRPr="0011019E">
        <w:rPr>
          <w:rFonts w:ascii="Arial" w:hAnsi="Arial" w:cs="Arial"/>
        </w:rPr>
        <w:t>A</w:t>
      </w:r>
      <w:r w:rsidRPr="004117C8">
        <w:rPr>
          <w:rFonts w:ascii="Arial" w:hAnsi="Arial" w:cs="Arial"/>
        </w:rPr>
        <w:t>vailability</w:t>
      </w:r>
      <w:r>
        <w:rPr>
          <w:rFonts w:ascii="Arial" w:hAnsi="Arial" w:cs="Arial"/>
        </w:rPr>
        <w:t xml:space="preserve"> of AD in screen content and</w:t>
      </w:r>
      <w:r w:rsidRPr="004117C8">
        <w:rPr>
          <w:rFonts w:ascii="Arial" w:hAnsi="Arial" w:cs="Arial"/>
        </w:rPr>
        <w:t xml:space="preserve"> theatre performances</w:t>
      </w:r>
      <w:r>
        <w:rPr>
          <w:rFonts w:ascii="Arial" w:hAnsi="Arial" w:cs="Arial"/>
        </w:rPr>
        <w:t xml:space="preserve"> remains inconsistent</w:t>
      </w:r>
      <w:r w:rsidR="00D327C5">
        <w:rPr>
          <w:rFonts w:ascii="Arial" w:hAnsi="Arial" w:cs="Arial"/>
        </w:rPr>
        <w:t>,</w:t>
      </w:r>
      <w:r>
        <w:rPr>
          <w:rFonts w:ascii="Arial" w:hAnsi="Arial" w:cs="Arial"/>
        </w:rPr>
        <w:t xml:space="preserve"> and </w:t>
      </w:r>
      <w:r w:rsidR="00D327C5">
        <w:rPr>
          <w:rFonts w:ascii="Arial" w:hAnsi="Arial" w:cs="Arial"/>
        </w:rPr>
        <w:t xml:space="preserve">for cinema and live performances </w:t>
      </w:r>
      <w:r w:rsidR="000A0542">
        <w:rPr>
          <w:rFonts w:ascii="Arial" w:hAnsi="Arial" w:cs="Arial"/>
        </w:rPr>
        <w:t xml:space="preserve">it </w:t>
      </w:r>
      <w:r w:rsidR="00D327C5">
        <w:rPr>
          <w:rFonts w:ascii="Arial" w:hAnsi="Arial" w:cs="Arial"/>
        </w:rPr>
        <w:t xml:space="preserve">is </w:t>
      </w:r>
      <w:r w:rsidR="00F2260B">
        <w:rPr>
          <w:rFonts w:ascii="Arial" w:hAnsi="Arial" w:cs="Arial"/>
        </w:rPr>
        <w:t>often</w:t>
      </w:r>
      <w:r w:rsidRPr="004117C8">
        <w:rPr>
          <w:rFonts w:ascii="Arial" w:hAnsi="Arial" w:cs="Arial"/>
        </w:rPr>
        <w:t xml:space="preserve"> limited to a small number of scheduled sessions</w:t>
      </w:r>
      <w:r w:rsidR="00FF4EA0">
        <w:rPr>
          <w:rFonts w:ascii="Arial" w:hAnsi="Arial" w:cs="Arial"/>
        </w:rPr>
        <w:t xml:space="preserve"> </w:t>
      </w:r>
      <w:r w:rsidR="00202FCB">
        <w:rPr>
          <w:rFonts w:ascii="Arial" w:hAnsi="Arial" w:cs="Arial"/>
        </w:rPr>
        <w:t>(predominantly</w:t>
      </w:r>
      <w:r w:rsidRPr="004117C8">
        <w:rPr>
          <w:rFonts w:ascii="Arial" w:hAnsi="Arial" w:cs="Arial"/>
        </w:rPr>
        <w:t xml:space="preserve"> metropolitan areas</w:t>
      </w:r>
      <w:r w:rsidR="00202FCB">
        <w:rPr>
          <w:rFonts w:ascii="Arial" w:hAnsi="Arial" w:cs="Arial"/>
        </w:rPr>
        <w:t>)</w:t>
      </w:r>
      <w:r>
        <w:rPr>
          <w:rFonts w:ascii="Arial" w:hAnsi="Arial" w:cs="Arial"/>
        </w:rPr>
        <w:t xml:space="preserve"> which </w:t>
      </w:r>
      <w:r w:rsidRPr="004117C8">
        <w:rPr>
          <w:rFonts w:ascii="Arial" w:hAnsi="Arial" w:cs="Arial"/>
        </w:rPr>
        <w:t xml:space="preserve">restricts choice and spontaneity for audiences who are blind or vision impaired. </w:t>
      </w:r>
      <w:r w:rsidR="004927B9" w:rsidRPr="004117C8">
        <w:rPr>
          <w:rFonts w:ascii="Arial" w:hAnsi="Arial" w:cs="Arial"/>
        </w:rPr>
        <w:t xml:space="preserve">Even where </w:t>
      </w:r>
      <w:r w:rsidR="004927B9">
        <w:rPr>
          <w:rFonts w:ascii="Arial" w:hAnsi="Arial" w:cs="Arial"/>
        </w:rPr>
        <w:t xml:space="preserve">AD </w:t>
      </w:r>
      <w:r w:rsidR="004927B9" w:rsidRPr="004117C8">
        <w:rPr>
          <w:rFonts w:ascii="Arial" w:hAnsi="Arial" w:cs="Arial"/>
        </w:rPr>
        <w:t>is available</w:t>
      </w:r>
      <w:r w:rsidR="004927B9">
        <w:rPr>
          <w:rFonts w:ascii="Arial" w:hAnsi="Arial" w:cs="Arial"/>
        </w:rPr>
        <w:t xml:space="preserve"> for a film or performance</w:t>
      </w:r>
      <w:r w:rsidR="004927B9" w:rsidRPr="004117C8">
        <w:rPr>
          <w:rFonts w:ascii="Arial" w:hAnsi="Arial" w:cs="Arial"/>
        </w:rPr>
        <w:t>, it can be difficult to locate or activate due to inconsistent interfaces</w:t>
      </w:r>
      <w:r w:rsidR="004927B9">
        <w:rPr>
          <w:rFonts w:ascii="Arial" w:hAnsi="Arial" w:cs="Arial"/>
        </w:rPr>
        <w:t>, equipment or technology failures and staff not trained, equipped or available to assist</w:t>
      </w:r>
      <w:r w:rsidR="004927B9" w:rsidRPr="004117C8">
        <w:rPr>
          <w:rFonts w:ascii="Arial" w:hAnsi="Arial" w:cs="Arial"/>
        </w:rPr>
        <w:t>.</w:t>
      </w:r>
    </w:p>
    <w:p w14:paraId="74A0EEB6" w14:textId="577F5390" w:rsidR="000218E6" w:rsidRDefault="000218E6" w:rsidP="000218E6">
      <w:pPr>
        <w:spacing w:line="360" w:lineRule="auto"/>
        <w:rPr>
          <w:rFonts w:ascii="Arial" w:hAnsi="Arial" w:cs="Arial"/>
        </w:rPr>
      </w:pPr>
      <w:r w:rsidRPr="00D0582D">
        <w:rPr>
          <w:rFonts w:ascii="Arial" w:hAnsi="Arial" w:cs="Arial"/>
        </w:rPr>
        <w:t>The proposed Associated Plan for Accessible Information and Communication</w:t>
      </w:r>
      <w:r w:rsidR="00C3261C">
        <w:rPr>
          <w:rStyle w:val="FootnoteReference"/>
          <w:rFonts w:ascii="Arial" w:hAnsi="Arial" w:cs="Arial"/>
        </w:rPr>
        <w:footnoteReference w:id="11"/>
      </w:r>
      <w:r w:rsidRPr="00D0582D">
        <w:rPr>
          <w:rFonts w:ascii="Arial" w:hAnsi="Arial" w:cs="Arial"/>
        </w:rPr>
        <w:t xml:space="preserve"> under Australia’s Disability Strategy recognises </w:t>
      </w:r>
      <w:r>
        <w:rPr>
          <w:rFonts w:ascii="Arial" w:hAnsi="Arial" w:cs="Arial"/>
        </w:rPr>
        <w:t xml:space="preserve">AD </w:t>
      </w:r>
      <w:r w:rsidRPr="00D0582D">
        <w:rPr>
          <w:rFonts w:ascii="Arial" w:hAnsi="Arial" w:cs="Arial"/>
        </w:rPr>
        <w:t xml:space="preserve">as a key accessible </w:t>
      </w:r>
      <w:r w:rsidRPr="00D0582D">
        <w:rPr>
          <w:rFonts w:ascii="Arial" w:hAnsi="Arial" w:cs="Arial"/>
        </w:rPr>
        <w:lastRenderedPageBreak/>
        <w:t>communication format that should be available across different settings, including arts and cultural participation.</w:t>
      </w:r>
    </w:p>
    <w:p w14:paraId="5CF2A4CA" w14:textId="7D1ADED9" w:rsidR="000218E6" w:rsidRDefault="000218E6" w:rsidP="000218E6">
      <w:pPr>
        <w:spacing w:line="360" w:lineRule="auto"/>
        <w:rPr>
          <w:rFonts w:ascii="Arial" w:hAnsi="Arial" w:cs="Arial"/>
          <w:lang w:val="en-GB"/>
        </w:rPr>
      </w:pPr>
      <w:r>
        <w:rPr>
          <w:rFonts w:ascii="Arial" w:hAnsi="Arial" w:cs="Arial"/>
        </w:rPr>
        <w:t xml:space="preserve">AD is more than just a visual description. It provides a means to </w:t>
      </w:r>
      <w:r w:rsidRPr="00FA081F">
        <w:rPr>
          <w:rFonts w:ascii="Arial" w:hAnsi="Arial" w:cs="Arial"/>
          <w:lang w:val="en-GB"/>
        </w:rPr>
        <w:t>understand why things happen on screen or on stage</w:t>
      </w:r>
      <w:r>
        <w:rPr>
          <w:rFonts w:ascii="Arial" w:hAnsi="Arial" w:cs="Arial"/>
          <w:lang w:val="en-GB"/>
        </w:rPr>
        <w:t xml:space="preserve">, enables access to </w:t>
      </w:r>
      <w:r w:rsidRPr="00FA081F">
        <w:rPr>
          <w:rFonts w:ascii="Arial" w:hAnsi="Arial" w:cs="Arial"/>
          <w:lang w:val="en-GB"/>
        </w:rPr>
        <w:t>emotion, atmosphere, humour, and tension</w:t>
      </w:r>
      <w:r>
        <w:rPr>
          <w:rFonts w:ascii="Arial" w:hAnsi="Arial" w:cs="Arial"/>
          <w:lang w:val="en-GB"/>
        </w:rPr>
        <w:t xml:space="preserve">, and provides a mechanism for people who are blind or vision impaired to </w:t>
      </w:r>
      <w:r w:rsidRPr="00FA081F">
        <w:rPr>
          <w:rFonts w:ascii="Arial" w:hAnsi="Arial" w:cs="Arial"/>
          <w:lang w:val="en-GB"/>
        </w:rPr>
        <w:t>participat</w:t>
      </w:r>
      <w:r>
        <w:rPr>
          <w:rFonts w:ascii="Arial" w:hAnsi="Arial" w:cs="Arial"/>
          <w:lang w:val="en-GB"/>
        </w:rPr>
        <w:t>e</w:t>
      </w:r>
      <w:r w:rsidRPr="00FA081F">
        <w:rPr>
          <w:rFonts w:ascii="Arial" w:hAnsi="Arial" w:cs="Arial"/>
          <w:lang w:val="en-GB"/>
        </w:rPr>
        <w:t xml:space="preserve"> fully with friends, family, and audiences.</w:t>
      </w:r>
      <w:r>
        <w:rPr>
          <w:rFonts w:ascii="Arial" w:hAnsi="Arial" w:cs="Arial"/>
          <w:lang w:val="en-GB"/>
        </w:rPr>
        <w:t xml:space="preserve"> </w:t>
      </w:r>
      <w:proofErr w:type="gramStart"/>
      <w:r w:rsidR="009344AE">
        <w:rPr>
          <w:rFonts w:ascii="Arial" w:hAnsi="Arial" w:cs="Arial"/>
          <w:lang w:val="en-GB"/>
        </w:rPr>
        <w:t>These support</w:t>
      </w:r>
      <w:proofErr w:type="gramEnd"/>
      <w:r w:rsidRPr="00FA081F">
        <w:rPr>
          <w:rFonts w:ascii="Arial" w:hAnsi="Arial" w:cs="Arial"/>
          <w:lang w:val="en-GB"/>
        </w:rPr>
        <w:t xml:space="preserve"> belonging and cultural participation </w:t>
      </w:r>
      <w:r>
        <w:rPr>
          <w:rFonts w:ascii="Arial" w:hAnsi="Arial" w:cs="Arial"/>
          <w:lang w:val="en-GB"/>
        </w:rPr>
        <w:t xml:space="preserve">beyond just </w:t>
      </w:r>
      <w:r w:rsidRPr="00FA081F">
        <w:rPr>
          <w:rFonts w:ascii="Arial" w:hAnsi="Arial" w:cs="Arial"/>
          <w:lang w:val="en-GB"/>
        </w:rPr>
        <w:t>access to information.</w:t>
      </w:r>
      <w:r>
        <w:rPr>
          <w:rStyle w:val="FootnoteReference"/>
          <w:rFonts w:ascii="Arial" w:hAnsi="Arial" w:cs="Arial"/>
          <w:lang w:val="en-GB"/>
        </w:rPr>
        <w:footnoteReference w:id="12"/>
      </w:r>
    </w:p>
    <w:p w14:paraId="63A8D024" w14:textId="77777777" w:rsidR="000218E6" w:rsidRPr="00C44792" w:rsidRDefault="000218E6" w:rsidP="0009687D">
      <w:pPr>
        <w:pStyle w:val="Heading4"/>
        <w:rPr>
          <w:rFonts w:ascii="Arial" w:hAnsi="Arial" w:cs="Arial"/>
        </w:rPr>
      </w:pPr>
      <w:r w:rsidRPr="00C44792">
        <w:rPr>
          <w:rFonts w:ascii="Arial" w:hAnsi="Arial" w:cs="Arial"/>
        </w:rPr>
        <w:t xml:space="preserve">Gallery and exhibition access gaps </w:t>
      </w:r>
    </w:p>
    <w:p w14:paraId="5E45F175" w14:textId="77777777" w:rsidR="000218E6" w:rsidRDefault="000218E6" w:rsidP="00590258">
      <w:pPr>
        <w:spacing w:line="360" w:lineRule="auto"/>
        <w:rPr>
          <w:rFonts w:ascii="Arial" w:hAnsi="Arial" w:cs="Arial"/>
          <w:lang w:val="en-GB"/>
        </w:rPr>
      </w:pPr>
      <w:r w:rsidRPr="00180F93">
        <w:rPr>
          <w:rFonts w:ascii="Arial" w:hAnsi="Arial" w:cs="Arial"/>
        </w:rPr>
        <w:t xml:space="preserve">Exhibition interpretation commonly relies on visual materials such as wall text, signage, maps, images and visual displays without equivalent accessible formats or non-visual alternatives. As a result, </w:t>
      </w:r>
      <w:r>
        <w:rPr>
          <w:rFonts w:ascii="Arial" w:hAnsi="Arial" w:cs="Arial"/>
        </w:rPr>
        <w:t xml:space="preserve">people who are </w:t>
      </w:r>
      <w:r w:rsidRPr="00180F93">
        <w:rPr>
          <w:rFonts w:ascii="Arial" w:hAnsi="Arial" w:cs="Arial"/>
        </w:rPr>
        <w:t xml:space="preserve">blind </w:t>
      </w:r>
      <w:r>
        <w:rPr>
          <w:rFonts w:ascii="Arial" w:hAnsi="Arial" w:cs="Arial"/>
        </w:rPr>
        <w:t xml:space="preserve">or vision impaired </w:t>
      </w:r>
      <w:r w:rsidRPr="00180F93">
        <w:rPr>
          <w:rFonts w:ascii="Arial" w:hAnsi="Arial" w:cs="Arial"/>
        </w:rPr>
        <w:t>are often unable to independently access or fully engage with artworks, exhibitions and cultural narratives.</w:t>
      </w:r>
    </w:p>
    <w:p w14:paraId="3C4D036D" w14:textId="3CF9D262" w:rsidR="000218E6" w:rsidRDefault="000218E6" w:rsidP="00590258">
      <w:pPr>
        <w:spacing w:line="360" w:lineRule="auto"/>
        <w:rPr>
          <w:rFonts w:ascii="Arial" w:hAnsi="Arial" w:cs="Arial"/>
          <w:lang w:val="en-GB"/>
        </w:rPr>
      </w:pPr>
      <w:r w:rsidRPr="00F85CC6">
        <w:rPr>
          <w:rFonts w:ascii="Arial" w:hAnsi="Arial" w:cs="Arial"/>
          <w:lang w:val="en-GB"/>
        </w:rPr>
        <w:t>Where audio guides are available, they often focus on curatorial commentary or general interpretation rather than providing the detailed visual description required for equitable access.</w:t>
      </w:r>
      <w:r>
        <w:rPr>
          <w:rFonts w:ascii="Arial" w:hAnsi="Arial" w:cs="Arial"/>
          <w:lang w:val="en-GB"/>
        </w:rPr>
        <w:t xml:space="preserve"> M</w:t>
      </w:r>
      <w:proofErr w:type="spellStart"/>
      <w:r w:rsidRPr="001D2089">
        <w:rPr>
          <w:rFonts w:ascii="Arial" w:hAnsi="Arial" w:cs="Arial"/>
        </w:rPr>
        <w:t>eaningful</w:t>
      </w:r>
      <w:proofErr w:type="spellEnd"/>
      <w:r w:rsidRPr="001D2089">
        <w:rPr>
          <w:rFonts w:ascii="Arial" w:hAnsi="Arial" w:cs="Arial"/>
        </w:rPr>
        <w:t xml:space="preserve"> access</w:t>
      </w:r>
      <w:r>
        <w:rPr>
          <w:rFonts w:ascii="Arial" w:hAnsi="Arial" w:cs="Arial"/>
        </w:rPr>
        <w:t xml:space="preserve"> to exhibitions</w:t>
      </w:r>
      <w:r w:rsidRPr="001D2089">
        <w:rPr>
          <w:rFonts w:ascii="Arial" w:hAnsi="Arial" w:cs="Arial"/>
        </w:rPr>
        <w:t xml:space="preserve"> require</w:t>
      </w:r>
      <w:r w:rsidR="007F224F">
        <w:rPr>
          <w:rFonts w:ascii="Arial" w:hAnsi="Arial" w:cs="Arial"/>
        </w:rPr>
        <w:t>s</w:t>
      </w:r>
      <w:r w:rsidRPr="001D2089">
        <w:rPr>
          <w:rFonts w:ascii="Arial" w:hAnsi="Arial" w:cs="Arial"/>
        </w:rPr>
        <w:t xml:space="preserve"> </w:t>
      </w:r>
      <w:r>
        <w:rPr>
          <w:rFonts w:ascii="Arial" w:hAnsi="Arial" w:cs="Arial"/>
        </w:rPr>
        <w:t xml:space="preserve">a combination of </w:t>
      </w:r>
      <w:r w:rsidR="007F224F">
        <w:rPr>
          <w:rFonts w:ascii="Arial" w:hAnsi="Arial" w:cs="Arial"/>
        </w:rPr>
        <w:t>AD</w:t>
      </w:r>
      <w:r w:rsidRPr="000C43EB">
        <w:rPr>
          <w:rFonts w:ascii="Arial" w:hAnsi="Arial" w:cs="Arial"/>
        </w:rPr>
        <w:t xml:space="preserve">, </w:t>
      </w:r>
      <w:r>
        <w:rPr>
          <w:rFonts w:ascii="Arial" w:hAnsi="Arial" w:cs="Arial"/>
        </w:rPr>
        <w:t xml:space="preserve">opportunities for </w:t>
      </w:r>
      <w:r w:rsidRPr="000C43EB">
        <w:rPr>
          <w:rFonts w:ascii="Arial" w:hAnsi="Arial" w:cs="Arial"/>
        </w:rPr>
        <w:t>tactile interpretation and multisensory design</w:t>
      </w:r>
      <w:r>
        <w:rPr>
          <w:rFonts w:ascii="Arial" w:hAnsi="Arial" w:cs="Arial"/>
        </w:rPr>
        <w:t xml:space="preserve"> from the outset. </w:t>
      </w:r>
    </w:p>
    <w:p w14:paraId="062E87BC" w14:textId="57B70E42" w:rsidR="009D79B7" w:rsidRPr="00C44792" w:rsidRDefault="009D79B7" w:rsidP="0009687D">
      <w:pPr>
        <w:pStyle w:val="Heading4"/>
        <w:rPr>
          <w:rFonts w:ascii="Arial" w:hAnsi="Arial" w:cs="Arial"/>
        </w:rPr>
      </w:pPr>
      <w:r w:rsidRPr="00C44792">
        <w:rPr>
          <w:rFonts w:ascii="Arial" w:hAnsi="Arial" w:cs="Arial"/>
        </w:rPr>
        <w:t>Inaccessible</w:t>
      </w:r>
      <w:r w:rsidR="000E4E0D" w:rsidRPr="00C44792">
        <w:rPr>
          <w:rFonts w:ascii="Arial" w:hAnsi="Arial" w:cs="Arial"/>
        </w:rPr>
        <w:t xml:space="preserve"> information,</w:t>
      </w:r>
      <w:r w:rsidRPr="00C44792">
        <w:rPr>
          <w:rFonts w:ascii="Arial" w:hAnsi="Arial" w:cs="Arial"/>
        </w:rPr>
        <w:t xml:space="preserve"> m</w:t>
      </w:r>
      <w:r w:rsidR="00EE2239" w:rsidRPr="00C44792">
        <w:rPr>
          <w:rFonts w:ascii="Arial" w:hAnsi="Arial" w:cs="Arial"/>
        </w:rPr>
        <w:t xml:space="preserve">arketing and </w:t>
      </w:r>
      <w:r w:rsidR="00EF465B" w:rsidRPr="00C44792">
        <w:rPr>
          <w:rFonts w:ascii="Arial" w:hAnsi="Arial" w:cs="Arial"/>
        </w:rPr>
        <w:t>c</w:t>
      </w:r>
      <w:r w:rsidR="00EE2239" w:rsidRPr="00C44792">
        <w:rPr>
          <w:rFonts w:ascii="Arial" w:hAnsi="Arial" w:cs="Arial"/>
        </w:rPr>
        <w:t>ommunications</w:t>
      </w:r>
      <w:r w:rsidR="0053788A" w:rsidRPr="00C44792">
        <w:rPr>
          <w:rFonts w:ascii="Arial" w:hAnsi="Arial" w:cs="Arial"/>
        </w:rPr>
        <w:t xml:space="preserve"> </w:t>
      </w:r>
      <w:r w:rsidRPr="00C44792">
        <w:rPr>
          <w:rFonts w:ascii="Arial" w:hAnsi="Arial" w:cs="Arial"/>
        </w:rPr>
        <w:t>material</w:t>
      </w:r>
    </w:p>
    <w:p w14:paraId="513CBC1E" w14:textId="7E55A0B4" w:rsidR="00EE2239" w:rsidRPr="004117C8" w:rsidRDefault="00EE2239" w:rsidP="0053788A">
      <w:pPr>
        <w:spacing w:line="360" w:lineRule="auto"/>
        <w:rPr>
          <w:rFonts w:ascii="Arial" w:hAnsi="Arial" w:cs="Arial"/>
        </w:rPr>
      </w:pPr>
      <w:r w:rsidRPr="004117C8">
        <w:rPr>
          <w:rFonts w:ascii="Arial" w:hAnsi="Arial" w:cs="Arial"/>
        </w:rPr>
        <w:t xml:space="preserve">Promotional materials are often image-based without sufficient text </w:t>
      </w:r>
      <w:r w:rsidR="00DA561E">
        <w:rPr>
          <w:rFonts w:ascii="Arial" w:hAnsi="Arial" w:cs="Arial"/>
        </w:rPr>
        <w:t xml:space="preserve">or audio </w:t>
      </w:r>
      <w:r w:rsidRPr="004117C8">
        <w:rPr>
          <w:rFonts w:ascii="Arial" w:hAnsi="Arial" w:cs="Arial"/>
        </w:rPr>
        <w:t xml:space="preserve">alternatives, </w:t>
      </w:r>
      <w:r w:rsidR="00CC2FF5">
        <w:rPr>
          <w:rFonts w:ascii="Arial" w:hAnsi="Arial" w:cs="Arial"/>
        </w:rPr>
        <w:t xml:space="preserve">issued in formats that can’t be utilised by assistive technology (e.g. a PDF that can’t be read by a screen reader) which </w:t>
      </w:r>
      <w:r w:rsidRPr="004117C8">
        <w:rPr>
          <w:rFonts w:ascii="Arial" w:hAnsi="Arial" w:cs="Arial"/>
        </w:rPr>
        <w:t>limit</w:t>
      </w:r>
      <w:r w:rsidR="00CC2FF5">
        <w:rPr>
          <w:rFonts w:ascii="Arial" w:hAnsi="Arial" w:cs="Arial"/>
        </w:rPr>
        <w:t>s</w:t>
      </w:r>
      <w:r w:rsidR="009D79B7">
        <w:rPr>
          <w:rFonts w:ascii="Arial" w:hAnsi="Arial" w:cs="Arial"/>
        </w:rPr>
        <w:t xml:space="preserve"> independent </w:t>
      </w:r>
      <w:r w:rsidRPr="004117C8">
        <w:rPr>
          <w:rFonts w:ascii="Arial" w:hAnsi="Arial" w:cs="Arial"/>
        </w:rPr>
        <w:t>access to information</w:t>
      </w:r>
      <w:r w:rsidR="009D79B7">
        <w:rPr>
          <w:rFonts w:ascii="Arial" w:hAnsi="Arial" w:cs="Arial"/>
        </w:rPr>
        <w:t xml:space="preserve"> for people who are blind or vision impaired</w:t>
      </w:r>
      <w:r w:rsidRPr="004117C8">
        <w:rPr>
          <w:rFonts w:ascii="Arial" w:hAnsi="Arial" w:cs="Arial"/>
        </w:rPr>
        <w:t xml:space="preserve">. </w:t>
      </w:r>
    </w:p>
    <w:p w14:paraId="7EBFBD56" w14:textId="2F24AF2C" w:rsidR="00EE2239" w:rsidRPr="00D52CA9" w:rsidRDefault="00D52CA9" w:rsidP="00EE2239">
      <w:pPr>
        <w:spacing w:line="360" w:lineRule="auto"/>
        <w:rPr>
          <w:rFonts w:ascii="Arial" w:hAnsi="Arial" w:cs="Arial"/>
        </w:rPr>
      </w:pPr>
      <w:r w:rsidRPr="00D52CA9">
        <w:rPr>
          <w:rFonts w:ascii="Arial" w:hAnsi="Arial" w:cs="Arial"/>
        </w:rPr>
        <w:t>There remains no consistent or centralised way to identify accessible</w:t>
      </w:r>
      <w:r w:rsidR="00423080">
        <w:rPr>
          <w:rFonts w:ascii="Arial" w:hAnsi="Arial" w:cs="Arial"/>
        </w:rPr>
        <w:t xml:space="preserve"> options</w:t>
      </w:r>
      <w:r w:rsidRPr="00D52CA9">
        <w:rPr>
          <w:rFonts w:ascii="Arial" w:hAnsi="Arial" w:cs="Arial"/>
        </w:rPr>
        <w:t xml:space="preserve"> making it difficult for people with</w:t>
      </w:r>
      <w:r w:rsidR="006F34A0">
        <w:rPr>
          <w:rFonts w:ascii="Arial" w:hAnsi="Arial" w:cs="Arial"/>
        </w:rPr>
        <w:t xml:space="preserve"> disability</w:t>
      </w:r>
      <w:r w:rsidRPr="00D52CA9">
        <w:rPr>
          <w:rFonts w:ascii="Arial" w:hAnsi="Arial" w:cs="Arial"/>
        </w:rPr>
        <w:t xml:space="preserve"> to independently plan and participate in cultural activities.</w:t>
      </w:r>
      <w:r w:rsidR="00C01F3F">
        <w:rPr>
          <w:rFonts w:ascii="Arial" w:hAnsi="Arial" w:cs="Arial"/>
        </w:rPr>
        <w:t xml:space="preserve"> </w:t>
      </w:r>
      <w:r w:rsidR="00C01F3F" w:rsidRPr="00C01F3F">
        <w:rPr>
          <w:rFonts w:ascii="Arial" w:hAnsi="Arial" w:cs="Arial"/>
        </w:rPr>
        <w:t>Information about accessibility features such as</w:t>
      </w:r>
      <w:r w:rsidR="00423080">
        <w:rPr>
          <w:rFonts w:ascii="Arial" w:hAnsi="Arial" w:cs="Arial"/>
        </w:rPr>
        <w:t xml:space="preserve"> AD</w:t>
      </w:r>
      <w:r w:rsidR="00C01F3F" w:rsidRPr="00C01F3F">
        <w:rPr>
          <w:rFonts w:ascii="Arial" w:hAnsi="Arial" w:cs="Arial"/>
        </w:rPr>
        <w:t>, tactile experiences, captioning, accessible seating, navigation support and companion ticketing is often inconsistent, incomplete or difficult to locate across arts and cultural venues</w:t>
      </w:r>
      <w:r w:rsidR="006F34A0">
        <w:rPr>
          <w:rFonts w:ascii="Arial" w:hAnsi="Arial" w:cs="Arial"/>
        </w:rPr>
        <w:t>,</w:t>
      </w:r>
      <w:r w:rsidR="00CB153F">
        <w:rPr>
          <w:rFonts w:ascii="Arial" w:hAnsi="Arial" w:cs="Arial"/>
        </w:rPr>
        <w:t xml:space="preserve"> booking and ticketing systems</w:t>
      </w:r>
      <w:r w:rsidR="00C01F3F" w:rsidRPr="00C01F3F">
        <w:rPr>
          <w:rFonts w:ascii="Arial" w:hAnsi="Arial" w:cs="Arial"/>
        </w:rPr>
        <w:t>. This creates additional planning burdens and can discourage participation by people who are blind or vision impaired.</w:t>
      </w:r>
    </w:p>
    <w:p w14:paraId="4ADA4EC7" w14:textId="289B487D" w:rsidR="0037693E" w:rsidRDefault="00E344E2" w:rsidP="0037693E">
      <w:pPr>
        <w:pStyle w:val="Heading2"/>
      </w:pPr>
      <w:r>
        <w:lastRenderedPageBreak/>
        <w:t xml:space="preserve">3. </w:t>
      </w:r>
      <w:r w:rsidR="0037693E">
        <w:t xml:space="preserve">Recommendations </w:t>
      </w:r>
    </w:p>
    <w:p w14:paraId="7CAFD3B7" w14:textId="70B780EF" w:rsidR="0037693E" w:rsidRPr="00125D5B" w:rsidRDefault="0037693E" w:rsidP="00125D5B">
      <w:pPr>
        <w:pStyle w:val="Heading3"/>
      </w:pPr>
      <w:r w:rsidRPr="00125D5B">
        <w:t>1. Embed accessibility and disability inclusion across the National Cultural Policy</w:t>
      </w:r>
    </w:p>
    <w:p w14:paraId="005A0766" w14:textId="77777777" w:rsidR="0037693E" w:rsidRDefault="0037693E" w:rsidP="00C423E1">
      <w:pPr>
        <w:spacing w:line="360" w:lineRule="auto"/>
        <w:rPr>
          <w:rFonts w:ascii="Arial" w:hAnsi="Arial" w:cs="Arial"/>
        </w:rPr>
      </w:pPr>
      <w:r w:rsidRPr="0037693E">
        <w:rPr>
          <w:rFonts w:ascii="Arial" w:hAnsi="Arial" w:cs="Arial"/>
        </w:rPr>
        <w:t>Embed accessibility and disability inclusion as core principles across all pillars of the National Cultural Policy, recognising access to arts, culture and creative expression as a fundamental participation right for people with disability, consistent with Australia’s obligations under the United Nations Convention on the Rights of Persons with Disabilities. Accessibility should underpin cultural leadership, workforce development, infrastructure, audience engagement, digital participation and cultural decision-making.</w:t>
      </w:r>
    </w:p>
    <w:p w14:paraId="7607CC97" w14:textId="23BA2925" w:rsidR="006F2349" w:rsidRPr="0037693E" w:rsidRDefault="006F2349" w:rsidP="00C423E1">
      <w:pPr>
        <w:spacing w:line="360" w:lineRule="auto"/>
        <w:rPr>
          <w:rFonts w:ascii="Arial" w:hAnsi="Arial" w:cs="Arial"/>
        </w:rPr>
      </w:pPr>
      <w:r w:rsidRPr="00125D5B">
        <w:rPr>
          <w:rStyle w:val="Heading3Char"/>
        </w:rPr>
        <w:t>2. Establish enforceable accessibility requirements across</w:t>
      </w:r>
      <w:r w:rsidR="00F63F4F" w:rsidRPr="00125D5B">
        <w:rPr>
          <w:rStyle w:val="Heading3Char"/>
        </w:rPr>
        <w:t xml:space="preserve"> all</w:t>
      </w:r>
      <w:r w:rsidRPr="00125D5B">
        <w:rPr>
          <w:rStyle w:val="Heading3Char"/>
        </w:rPr>
        <w:t xml:space="preserve"> publicly funded arts and culture</w:t>
      </w:r>
      <w:r w:rsidR="00782F94">
        <w:rPr>
          <w:rStyle w:val="Heading3Char"/>
        </w:rPr>
        <w:t xml:space="preserve"> </w:t>
      </w:r>
      <w:proofErr w:type="spellStart"/>
      <w:r w:rsidR="00782F94">
        <w:rPr>
          <w:rStyle w:val="Heading3Char"/>
        </w:rPr>
        <w:t>initiatvies</w:t>
      </w:r>
      <w:proofErr w:type="spellEnd"/>
      <w:r w:rsidRPr="006F2349">
        <w:rPr>
          <w:rFonts w:ascii="Arial" w:hAnsi="Arial" w:cs="Arial"/>
        </w:rPr>
        <w:br/>
      </w:r>
      <w:r w:rsidR="00567002" w:rsidRPr="0037693E">
        <w:rPr>
          <w:rFonts w:ascii="Arial" w:hAnsi="Arial" w:cs="Arial"/>
        </w:rPr>
        <w:t xml:space="preserve">Move beyond aspirational statements of inclusion by introducing clear, measurable and enforceable accessibility requirements across all publicly funded arts and cultural activities. </w:t>
      </w:r>
      <w:r w:rsidR="00030897">
        <w:rPr>
          <w:rFonts w:ascii="Arial" w:hAnsi="Arial" w:cs="Arial"/>
        </w:rPr>
        <w:t>Embed accessibility</w:t>
      </w:r>
      <w:r w:rsidR="00B60684">
        <w:rPr>
          <w:rFonts w:ascii="Arial" w:hAnsi="Arial" w:cs="Arial"/>
        </w:rPr>
        <w:t xml:space="preserve"> expectations</w:t>
      </w:r>
      <w:r w:rsidR="00030897">
        <w:rPr>
          <w:rFonts w:ascii="Arial" w:hAnsi="Arial" w:cs="Arial"/>
        </w:rPr>
        <w:t xml:space="preserve"> into </w:t>
      </w:r>
      <w:r w:rsidR="00487DE6">
        <w:rPr>
          <w:rFonts w:ascii="Arial" w:hAnsi="Arial" w:cs="Arial"/>
        </w:rPr>
        <w:t xml:space="preserve">procurement, </w:t>
      </w:r>
      <w:r w:rsidRPr="006F2349">
        <w:rPr>
          <w:rFonts w:ascii="Arial" w:hAnsi="Arial" w:cs="Arial"/>
        </w:rPr>
        <w:t>funding agreements, infrastructure</w:t>
      </w:r>
      <w:r w:rsidR="003A2FD0">
        <w:rPr>
          <w:rFonts w:ascii="Arial" w:hAnsi="Arial" w:cs="Arial"/>
        </w:rPr>
        <w:t xml:space="preserve"> investment</w:t>
      </w:r>
      <w:r w:rsidR="003877F5">
        <w:rPr>
          <w:rFonts w:ascii="Arial" w:hAnsi="Arial" w:cs="Arial"/>
        </w:rPr>
        <w:t xml:space="preserve"> and</w:t>
      </w:r>
      <w:r w:rsidRPr="006F2349">
        <w:rPr>
          <w:rFonts w:ascii="Arial" w:hAnsi="Arial" w:cs="Arial"/>
        </w:rPr>
        <w:t xml:space="preserve"> program delivery. Require cultural platforms, digital services, </w:t>
      </w:r>
      <w:r w:rsidR="00D87458">
        <w:rPr>
          <w:rFonts w:ascii="Arial" w:hAnsi="Arial" w:cs="Arial"/>
        </w:rPr>
        <w:t xml:space="preserve">cultural </w:t>
      </w:r>
      <w:r w:rsidRPr="006F2349">
        <w:rPr>
          <w:rFonts w:ascii="Arial" w:hAnsi="Arial" w:cs="Arial"/>
        </w:rPr>
        <w:t>content</w:t>
      </w:r>
      <w:r w:rsidR="00B35A09">
        <w:rPr>
          <w:rFonts w:ascii="Arial" w:hAnsi="Arial" w:cs="Arial"/>
        </w:rPr>
        <w:t>,</w:t>
      </w:r>
      <w:r w:rsidRPr="006F2349">
        <w:rPr>
          <w:rFonts w:ascii="Arial" w:hAnsi="Arial" w:cs="Arial"/>
        </w:rPr>
        <w:t xml:space="preserve"> communications</w:t>
      </w:r>
      <w:r w:rsidR="001B2FB9">
        <w:rPr>
          <w:rFonts w:ascii="Arial" w:hAnsi="Arial" w:cs="Arial"/>
        </w:rPr>
        <w:t>, and emerging creative technolo</w:t>
      </w:r>
      <w:r w:rsidR="003C7ECF">
        <w:rPr>
          <w:rFonts w:ascii="Arial" w:hAnsi="Arial" w:cs="Arial"/>
        </w:rPr>
        <w:t>g</w:t>
      </w:r>
      <w:r w:rsidR="001B2FB9">
        <w:rPr>
          <w:rFonts w:ascii="Arial" w:hAnsi="Arial" w:cs="Arial"/>
        </w:rPr>
        <w:t>y</w:t>
      </w:r>
      <w:r w:rsidRPr="006F2349">
        <w:rPr>
          <w:rFonts w:ascii="Arial" w:hAnsi="Arial" w:cs="Arial"/>
        </w:rPr>
        <w:t xml:space="preserve"> to comply with recognised accessibility standards and universal design principles, including accessible ticketing and booking systems, accessible formats and high-quality audio description.</w:t>
      </w:r>
    </w:p>
    <w:p w14:paraId="65827D48" w14:textId="0D742766" w:rsidR="0037693E" w:rsidRPr="00125D5B" w:rsidRDefault="00125D5B" w:rsidP="00125D5B">
      <w:pPr>
        <w:pStyle w:val="Heading3"/>
      </w:pPr>
      <w:r w:rsidRPr="00125D5B">
        <w:t>3</w:t>
      </w:r>
      <w:r w:rsidR="0037693E" w:rsidRPr="00125D5B">
        <w:t>. Increase investment in accessible cultural content and experiences</w:t>
      </w:r>
    </w:p>
    <w:p w14:paraId="5A0D18C2" w14:textId="61353DF4" w:rsidR="0037693E" w:rsidRPr="0037693E" w:rsidRDefault="0037693E" w:rsidP="00C423E1">
      <w:pPr>
        <w:spacing w:line="360" w:lineRule="auto"/>
        <w:rPr>
          <w:rFonts w:ascii="Arial" w:hAnsi="Arial" w:cs="Arial"/>
        </w:rPr>
      </w:pPr>
      <w:r w:rsidRPr="0037693E">
        <w:rPr>
          <w:rFonts w:ascii="Arial" w:hAnsi="Arial" w:cs="Arial"/>
        </w:rPr>
        <w:t>Fund the development, delivery and promotion of accessible cultural content and experiences including</w:t>
      </w:r>
      <w:r w:rsidR="006001D2">
        <w:rPr>
          <w:rFonts w:ascii="Arial" w:hAnsi="Arial" w:cs="Arial"/>
        </w:rPr>
        <w:t xml:space="preserve"> expansion of</w:t>
      </w:r>
      <w:r w:rsidRPr="0037693E">
        <w:rPr>
          <w:rFonts w:ascii="Arial" w:hAnsi="Arial" w:cs="Arial"/>
        </w:rPr>
        <w:t>:</w:t>
      </w:r>
    </w:p>
    <w:p w14:paraId="259B07C9" w14:textId="47E0732B" w:rsidR="004226E1" w:rsidRDefault="004226E1" w:rsidP="00C423E1">
      <w:pPr>
        <w:numPr>
          <w:ilvl w:val="0"/>
          <w:numId w:val="40"/>
        </w:numPr>
        <w:spacing w:line="360" w:lineRule="auto"/>
        <w:rPr>
          <w:rFonts w:ascii="Arial" w:hAnsi="Arial" w:cs="Arial"/>
        </w:rPr>
      </w:pPr>
      <w:r w:rsidRPr="004226E1">
        <w:rPr>
          <w:rFonts w:ascii="Arial" w:hAnsi="Arial" w:cs="Arial"/>
        </w:rPr>
        <w:t>High-quality, nationally consistent audio description across live performances, television, film, streaming services, galleries, museums and digital media, including equitable access in regional and remote areas.</w:t>
      </w:r>
    </w:p>
    <w:p w14:paraId="0B335CEE" w14:textId="1196A947" w:rsidR="00E87DD8" w:rsidRDefault="00B342E4" w:rsidP="00C423E1">
      <w:pPr>
        <w:numPr>
          <w:ilvl w:val="0"/>
          <w:numId w:val="40"/>
        </w:numPr>
        <w:spacing w:line="360" w:lineRule="auto"/>
        <w:rPr>
          <w:rFonts w:ascii="Arial" w:hAnsi="Arial" w:cs="Arial"/>
        </w:rPr>
      </w:pPr>
      <w:r>
        <w:rPr>
          <w:rFonts w:ascii="Arial" w:hAnsi="Arial" w:cs="Arial"/>
        </w:rPr>
        <w:t>T</w:t>
      </w:r>
      <w:r w:rsidR="00E87DD8" w:rsidRPr="00E87DD8">
        <w:rPr>
          <w:rFonts w:ascii="Arial" w:hAnsi="Arial" w:cs="Arial"/>
        </w:rPr>
        <w:t>imely production and distribution of accessible formats, including braille, DAISY, large print, tactile formats and accessible e-text, to ensure equitable access to cultural and creative content.</w:t>
      </w:r>
    </w:p>
    <w:p w14:paraId="07038FA5" w14:textId="519A7861" w:rsidR="00B342E4" w:rsidRDefault="00B342E4" w:rsidP="00C423E1">
      <w:pPr>
        <w:numPr>
          <w:ilvl w:val="0"/>
          <w:numId w:val="40"/>
        </w:numPr>
        <w:spacing w:line="360" w:lineRule="auto"/>
        <w:rPr>
          <w:rFonts w:ascii="Arial" w:hAnsi="Arial" w:cs="Arial"/>
        </w:rPr>
      </w:pPr>
      <w:r w:rsidRPr="00B342E4">
        <w:rPr>
          <w:rFonts w:ascii="Arial" w:hAnsi="Arial" w:cs="Arial"/>
        </w:rPr>
        <w:lastRenderedPageBreak/>
        <w:t>Tactile, immersive and multisensory cultural experiences co-designed with blind and vision impaired people across museums, galleries, performances and public cultural spaces.</w:t>
      </w:r>
    </w:p>
    <w:p w14:paraId="4C082956" w14:textId="04C8888F" w:rsidR="0037693E" w:rsidRPr="00125D5B" w:rsidRDefault="00125D5B" w:rsidP="00125D5B">
      <w:pPr>
        <w:pStyle w:val="Heading3"/>
      </w:pPr>
      <w:r w:rsidRPr="00125D5B">
        <w:t>4</w:t>
      </w:r>
      <w:r w:rsidR="0037693E" w:rsidRPr="00125D5B">
        <w:t>. Embed accessibility into cultural infrastructure, venues and event delivery</w:t>
      </w:r>
    </w:p>
    <w:p w14:paraId="70269F3B" w14:textId="10D6F532" w:rsidR="0037693E" w:rsidRPr="0037693E" w:rsidRDefault="0037693E" w:rsidP="00C423E1">
      <w:pPr>
        <w:spacing w:line="360" w:lineRule="auto"/>
        <w:rPr>
          <w:rFonts w:ascii="Arial" w:hAnsi="Arial" w:cs="Arial"/>
        </w:rPr>
      </w:pPr>
      <w:r w:rsidRPr="0037693E">
        <w:rPr>
          <w:rFonts w:ascii="Arial" w:hAnsi="Arial" w:cs="Arial"/>
        </w:rPr>
        <w:t xml:space="preserve">Require all publicly funded cultural venues, festivals, galleries and infrastructure projects to embed accessibility through universal design principles and whole-of-journey planning. This should include accessible transport connections, integrated wayfinding systems, tactile and audible navigation supports, accessible seating, assistive technologies, step-free access, staff disability awareness training and consultation with </w:t>
      </w:r>
      <w:r w:rsidR="00157503">
        <w:rPr>
          <w:rFonts w:ascii="Arial" w:hAnsi="Arial" w:cs="Arial"/>
        </w:rPr>
        <w:t xml:space="preserve">people who are </w:t>
      </w:r>
      <w:r w:rsidRPr="0037693E">
        <w:rPr>
          <w:rFonts w:ascii="Arial" w:hAnsi="Arial" w:cs="Arial"/>
        </w:rPr>
        <w:t xml:space="preserve">blind </w:t>
      </w:r>
      <w:r w:rsidR="00157503">
        <w:rPr>
          <w:rFonts w:ascii="Arial" w:hAnsi="Arial" w:cs="Arial"/>
        </w:rPr>
        <w:t xml:space="preserve">or vision impaired </w:t>
      </w:r>
      <w:r w:rsidRPr="0037693E">
        <w:rPr>
          <w:rFonts w:ascii="Arial" w:hAnsi="Arial" w:cs="Arial"/>
        </w:rPr>
        <w:t>to ensure venues are independently accessible and safe to navigate.</w:t>
      </w:r>
    </w:p>
    <w:p w14:paraId="620A9884" w14:textId="4B7AE0D5" w:rsidR="0037693E" w:rsidRPr="0053691C" w:rsidRDefault="00125D5B" w:rsidP="00883A8D">
      <w:pPr>
        <w:spacing w:line="360" w:lineRule="auto"/>
        <w:rPr>
          <w:rFonts w:ascii="Arial" w:hAnsi="Arial" w:cs="Arial"/>
        </w:rPr>
      </w:pPr>
      <w:r>
        <w:rPr>
          <w:rStyle w:val="Heading3Char"/>
        </w:rPr>
        <w:t>5</w:t>
      </w:r>
      <w:r w:rsidR="0037693E" w:rsidRPr="00125D5B">
        <w:rPr>
          <w:rStyle w:val="Heading3Char"/>
        </w:rPr>
        <w:t xml:space="preserve">. </w:t>
      </w:r>
      <w:r w:rsidR="00EC1FE4" w:rsidRPr="00125D5B">
        <w:rPr>
          <w:rStyle w:val="Heading3Char"/>
        </w:rPr>
        <w:t>Ensure</w:t>
      </w:r>
      <w:r w:rsidR="0053691C" w:rsidRPr="00125D5B">
        <w:rPr>
          <w:rStyle w:val="Heading3Char"/>
        </w:rPr>
        <w:t xml:space="preserve"> nationally consistent accountability and reporting requirements for disability access and inclusion in arts and culture</w:t>
      </w:r>
      <w:r w:rsidR="0053691C" w:rsidRPr="0053691C">
        <w:rPr>
          <w:rFonts w:ascii="Arial" w:hAnsi="Arial" w:cs="Arial"/>
          <w:b/>
          <w:bCs/>
        </w:rPr>
        <w:br/>
      </w:r>
      <w:r w:rsidR="0053691C" w:rsidRPr="0053691C">
        <w:rPr>
          <w:rFonts w:ascii="Arial" w:hAnsi="Arial" w:cs="Arial"/>
        </w:rPr>
        <w:t>Require publicly funded arts and cultural organisations to implement disability inclusion and accessibility measures, collect consistent data on participation and barriers, and publicly report on accessibility outcomes, audience experiences and employment of people with disability. Independent monitoring mechanisms should be established to drive continuous improvement across the cultural sector.</w:t>
      </w:r>
    </w:p>
    <w:p w14:paraId="4B89E64E" w14:textId="3AD5427D" w:rsidR="0037693E" w:rsidRPr="0037693E" w:rsidRDefault="00125D5B" w:rsidP="00E344E2">
      <w:pPr>
        <w:pStyle w:val="Heading3"/>
      </w:pPr>
      <w:r>
        <w:t>6</w:t>
      </w:r>
      <w:r w:rsidR="0037693E" w:rsidRPr="0037693E">
        <w:t>. Strengthen support for artists</w:t>
      </w:r>
      <w:r w:rsidR="00491C05">
        <w:t xml:space="preserve"> and creative industry workers</w:t>
      </w:r>
      <w:r w:rsidR="0077683E">
        <w:t xml:space="preserve"> </w:t>
      </w:r>
      <w:r w:rsidR="0037693E" w:rsidRPr="0037693E">
        <w:t>who are blind or vision impaired</w:t>
      </w:r>
    </w:p>
    <w:p w14:paraId="4CE60401" w14:textId="2A304F71" w:rsidR="00491C05" w:rsidRPr="001A27E3" w:rsidRDefault="00491C05" w:rsidP="00C423E1">
      <w:pPr>
        <w:spacing w:line="360" w:lineRule="auto"/>
        <w:rPr>
          <w:rFonts w:ascii="Arial" w:hAnsi="Arial" w:cs="Arial"/>
        </w:rPr>
      </w:pPr>
      <w:r w:rsidRPr="001A27E3">
        <w:rPr>
          <w:rFonts w:ascii="Arial" w:hAnsi="Arial" w:cs="Arial"/>
        </w:rPr>
        <w:t>Support disability-led storytelling, creative leadership and workforce participation</w:t>
      </w:r>
      <w:r w:rsidRPr="0037693E">
        <w:rPr>
          <w:rFonts w:ascii="Arial" w:hAnsi="Arial" w:cs="Arial"/>
        </w:rPr>
        <w:t xml:space="preserve"> </w:t>
      </w:r>
      <w:r w:rsidR="000F650D">
        <w:rPr>
          <w:rFonts w:ascii="Arial" w:hAnsi="Arial" w:cs="Arial"/>
        </w:rPr>
        <w:t>by i</w:t>
      </w:r>
      <w:r w:rsidR="0037693E" w:rsidRPr="0037693E">
        <w:rPr>
          <w:rFonts w:ascii="Arial" w:hAnsi="Arial" w:cs="Arial"/>
        </w:rPr>
        <w:t>mprov</w:t>
      </w:r>
      <w:r w:rsidR="000F650D">
        <w:rPr>
          <w:rFonts w:ascii="Arial" w:hAnsi="Arial" w:cs="Arial"/>
        </w:rPr>
        <w:t>ing</w:t>
      </w:r>
      <w:r w:rsidR="0037693E" w:rsidRPr="0037693E">
        <w:rPr>
          <w:rFonts w:ascii="Arial" w:hAnsi="Arial" w:cs="Arial"/>
        </w:rPr>
        <w:t xml:space="preserve"> access to funding, employment, mentoring, training, leadership opportunities and creative development pathways for artists</w:t>
      </w:r>
      <w:r>
        <w:rPr>
          <w:rFonts w:ascii="Arial" w:hAnsi="Arial" w:cs="Arial"/>
        </w:rPr>
        <w:t xml:space="preserve"> and creative industry workers</w:t>
      </w:r>
      <w:r w:rsidR="0037693E" w:rsidRPr="0037693E">
        <w:rPr>
          <w:rFonts w:ascii="Arial" w:hAnsi="Arial" w:cs="Arial"/>
        </w:rPr>
        <w:t xml:space="preserve"> who are blind or vision impaired. This should include equitable access to arts funding programs, accessible professional development opportunities, accessible residencies and touring programs, and action to remove structural barriers in creative education and employment systems.</w:t>
      </w:r>
      <w:r>
        <w:rPr>
          <w:rFonts w:ascii="Arial" w:hAnsi="Arial" w:cs="Arial"/>
        </w:rPr>
        <w:t xml:space="preserve"> </w:t>
      </w:r>
    </w:p>
    <w:p w14:paraId="503F8000" w14:textId="0828ACCB" w:rsidR="0037693E" w:rsidRPr="0037693E" w:rsidRDefault="00125D5B" w:rsidP="00E344E2">
      <w:pPr>
        <w:pStyle w:val="Heading3"/>
      </w:pPr>
      <w:r>
        <w:lastRenderedPageBreak/>
        <w:t>7</w:t>
      </w:r>
      <w:r w:rsidR="0037693E" w:rsidRPr="0037693E">
        <w:t>. Embed accessibility and disability inclusion across First Nations cultural initiatives</w:t>
      </w:r>
    </w:p>
    <w:p w14:paraId="2F1E666E" w14:textId="77777777" w:rsidR="0037693E" w:rsidRPr="0037693E" w:rsidRDefault="0037693E" w:rsidP="00C423E1">
      <w:pPr>
        <w:spacing w:line="360" w:lineRule="auto"/>
        <w:rPr>
          <w:rFonts w:ascii="Arial" w:hAnsi="Arial" w:cs="Arial"/>
        </w:rPr>
      </w:pPr>
      <w:r w:rsidRPr="0037693E">
        <w:rPr>
          <w:rFonts w:ascii="Arial" w:hAnsi="Arial" w:cs="Arial"/>
        </w:rPr>
        <w:t>Ensure all First Nations arts, media and cultural initiatives are accessible and inclusive of First Nations people with disability, including people who are blind or vision impaired. This should include funding for accessible storytelling, language preservation and cultural participation through audio description, tactile interpretation, accessible digital formats and community-led approaches, alongside dedicated support for leadership, employment and decision-making opportunities for First Nations people with disability across the cultural sector.</w:t>
      </w:r>
    </w:p>
    <w:p w14:paraId="3C4C490D" w14:textId="25AEAF93" w:rsidR="0037693E" w:rsidRPr="0037693E" w:rsidRDefault="00125D5B" w:rsidP="00E344E2">
      <w:pPr>
        <w:pStyle w:val="Heading3"/>
      </w:pPr>
      <w:r>
        <w:t>8</w:t>
      </w:r>
      <w:r w:rsidR="0037693E" w:rsidRPr="0037693E">
        <w:t>. Adopt a coordinated whole-of-government approach to cultural accessibility</w:t>
      </w:r>
    </w:p>
    <w:p w14:paraId="559B4F50" w14:textId="77777777" w:rsidR="0037693E" w:rsidRPr="0037693E" w:rsidRDefault="0037693E" w:rsidP="00C423E1">
      <w:pPr>
        <w:spacing w:line="360" w:lineRule="auto"/>
        <w:rPr>
          <w:rFonts w:ascii="Arial" w:hAnsi="Arial" w:cs="Arial"/>
        </w:rPr>
      </w:pPr>
      <w:r w:rsidRPr="0037693E">
        <w:rPr>
          <w:rFonts w:ascii="Arial" w:hAnsi="Arial" w:cs="Arial"/>
        </w:rPr>
        <w:t>Align the National Cultural Policy with broader disability rights and accessibility frameworks, including Australia’s Disability Strategy, the Disability Discrimination Act, national digital accessibility standards and accessible procurement obligations. Cultural accessibility should be addressed through coordinated action across arts, communications, infrastructure, education and disability policy portfolios.</w:t>
      </w:r>
    </w:p>
    <w:p w14:paraId="423E96DD" w14:textId="68C4D791" w:rsidR="0037693E" w:rsidRPr="0037693E" w:rsidRDefault="00125D5B" w:rsidP="00E344E2">
      <w:pPr>
        <w:pStyle w:val="Heading3"/>
      </w:pPr>
      <w:r>
        <w:t>9</w:t>
      </w:r>
      <w:r w:rsidR="0037693E" w:rsidRPr="0037693E">
        <w:t>. Invest in disability-led co-design, consultation and leadership</w:t>
      </w:r>
    </w:p>
    <w:p w14:paraId="7448B369" w14:textId="45DDA432" w:rsidR="004117C8" w:rsidRPr="007A750C" w:rsidRDefault="0037693E" w:rsidP="007A750C">
      <w:pPr>
        <w:spacing w:line="360" w:lineRule="auto"/>
        <w:rPr>
          <w:rFonts w:ascii="Arial" w:hAnsi="Arial" w:cs="Arial"/>
        </w:rPr>
      </w:pPr>
      <w:r w:rsidRPr="0037693E">
        <w:rPr>
          <w:rFonts w:ascii="Arial" w:hAnsi="Arial" w:cs="Arial"/>
        </w:rPr>
        <w:t>Embed co-design and lived experience expertise across the development, delivery and evaluation of cultural policy and programs</w:t>
      </w:r>
      <w:r w:rsidR="00CF0633">
        <w:rPr>
          <w:rFonts w:ascii="Arial" w:hAnsi="Arial" w:cs="Arial"/>
        </w:rPr>
        <w:t xml:space="preserve">. </w:t>
      </w:r>
      <w:r w:rsidR="00491C05">
        <w:rPr>
          <w:rFonts w:ascii="Arial" w:hAnsi="Arial" w:cs="Arial"/>
        </w:rPr>
        <w:t>I</w:t>
      </w:r>
      <w:r w:rsidRPr="0037693E">
        <w:rPr>
          <w:rFonts w:ascii="Arial" w:hAnsi="Arial" w:cs="Arial"/>
        </w:rPr>
        <w:t xml:space="preserve">nvest in disability-led </w:t>
      </w:r>
      <w:r w:rsidR="00491C05">
        <w:rPr>
          <w:rFonts w:ascii="Arial" w:hAnsi="Arial" w:cs="Arial"/>
        </w:rPr>
        <w:t xml:space="preserve">arts and culture </w:t>
      </w:r>
      <w:r w:rsidRPr="0037693E">
        <w:rPr>
          <w:rFonts w:ascii="Arial" w:hAnsi="Arial" w:cs="Arial"/>
        </w:rPr>
        <w:t>organisations, advisory mechanisms and leadership opportunities. People who are blind or vision impaired should be meaningfully involved in cultural decision-making processes at all levels.</w:t>
      </w:r>
    </w:p>
    <w:sectPr w:rsidR="004117C8" w:rsidRPr="007A750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2D3B" w14:textId="77777777" w:rsidR="005978AE" w:rsidRDefault="005978AE" w:rsidP="00B73870">
      <w:pPr>
        <w:spacing w:after="0" w:line="240" w:lineRule="auto"/>
      </w:pPr>
      <w:r>
        <w:separator/>
      </w:r>
    </w:p>
  </w:endnote>
  <w:endnote w:type="continuationSeparator" w:id="0">
    <w:p w14:paraId="03B65DDA" w14:textId="77777777" w:rsidR="005978AE" w:rsidRDefault="005978AE" w:rsidP="00B7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FE1A" w14:textId="5A1D5CFE" w:rsidR="00AC7E89" w:rsidRDefault="00AC7E89">
    <w:pPr>
      <w:pStyle w:val="Footer"/>
      <w:jc w:val="right"/>
    </w:pPr>
    <w:r>
      <w:t>Blind Cit</w:t>
    </w:r>
    <w:r w:rsidR="00521016">
      <w:t xml:space="preserve">izens Australia              </w:t>
    </w:r>
    <w:sdt>
      <w:sdtPr>
        <w:id w:val="208109968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1151B22B" w14:textId="77777777" w:rsidR="00AC7E89" w:rsidRDefault="00AC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6F40F" w14:textId="77777777" w:rsidR="005978AE" w:rsidRDefault="005978AE" w:rsidP="00B73870">
      <w:pPr>
        <w:spacing w:after="0" w:line="240" w:lineRule="auto"/>
      </w:pPr>
      <w:r>
        <w:separator/>
      </w:r>
    </w:p>
  </w:footnote>
  <w:footnote w:type="continuationSeparator" w:id="0">
    <w:p w14:paraId="757AA566" w14:textId="77777777" w:rsidR="005978AE" w:rsidRDefault="005978AE" w:rsidP="00B73870">
      <w:pPr>
        <w:spacing w:after="0" w:line="240" w:lineRule="auto"/>
      </w:pPr>
      <w:r>
        <w:continuationSeparator/>
      </w:r>
    </w:p>
  </w:footnote>
  <w:footnote w:id="1">
    <w:p w14:paraId="1DEC2353" w14:textId="3562DC3E" w:rsidR="0020695B" w:rsidRDefault="0020695B">
      <w:pPr>
        <w:pStyle w:val="FootnoteText"/>
      </w:pPr>
      <w:r>
        <w:rPr>
          <w:rStyle w:val="FootnoteReference"/>
        </w:rPr>
        <w:footnoteRef/>
      </w:r>
      <w:r>
        <w:t xml:space="preserve"> </w:t>
      </w:r>
      <w:hyperlink r:id="rId1" w:history="1">
        <w:r w:rsidRPr="0020695B">
          <w:rPr>
            <w:rStyle w:val="Hyperlink"/>
          </w:rPr>
          <w:t>Universal Declaration of Human Rights | United Nations</w:t>
        </w:r>
      </w:hyperlink>
    </w:p>
  </w:footnote>
  <w:footnote w:id="2">
    <w:p w14:paraId="2C2CD78A" w14:textId="7DA3820A" w:rsidR="00264B0C" w:rsidRDefault="00264B0C">
      <w:pPr>
        <w:pStyle w:val="FootnoteText"/>
      </w:pPr>
      <w:r>
        <w:rPr>
          <w:rStyle w:val="FootnoteReference"/>
        </w:rPr>
        <w:footnoteRef/>
      </w:r>
      <w:r>
        <w:t xml:space="preserve"> </w:t>
      </w:r>
      <w:hyperlink r:id="rId2" w:history="1">
        <w:r w:rsidRPr="00264B0C">
          <w:rPr>
            <w:rStyle w:val="Hyperlink"/>
          </w:rPr>
          <w:t xml:space="preserve">Equity: </w:t>
        </w:r>
        <w:proofErr w:type="gramStart"/>
        <w:r w:rsidRPr="00264B0C">
          <w:rPr>
            <w:rStyle w:val="Hyperlink"/>
          </w:rPr>
          <w:t>the</w:t>
        </w:r>
        <w:proofErr w:type="gramEnd"/>
        <w:r w:rsidRPr="00264B0C">
          <w:rPr>
            <w:rStyle w:val="Hyperlink"/>
          </w:rPr>
          <w:t xml:space="preserve"> Arts and Disability Associated Plan | Office for the Arts</w:t>
        </w:r>
      </w:hyperlink>
    </w:p>
  </w:footnote>
  <w:footnote w:id="3">
    <w:p w14:paraId="18FD5E0E" w14:textId="4005C96F" w:rsidR="006D38F0" w:rsidRDefault="006D38F0" w:rsidP="006D38F0">
      <w:pPr>
        <w:pStyle w:val="FootnoteText"/>
      </w:pPr>
      <w:r>
        <w:rPr>
          <w:rStyle w:val="FootnoteReference"/>
        </w:rPr>
        <w:footnoteRef/>
      </w:r>
      <w:r>
        <w:t xml:space="preserve"> </w:t>
      </w:r>
      <w:r w:rsidRPr="003D4DE3">
        <w:t>Sheelagh Daniels-Mayes</w:t>
      </w:r>
      <w:r w:rsidR="002C3448" w:rsidRPr="003D4DE3">
        <w:t xml:space="preserve"> (2023) </w:t>
      </w:r>
      <w:r w:rsidRPr="003D4DE3">
        <w:t>Researching Indigenous people living with a disability: The urgent need for an intersectional and decolonising approach (</w:t>
      </w:r>
      <w:proofErr w:type="spellStart"/>
      <w:r w:rsidRPr="003D4DE3">
        <w:t>BlakAbility</w:t>
      </w:r>
      <w:proofErr w:type="spellEnd"/>
      <w:r w:rsidRPr="003D4DE3">
        <w:t>),</w:t>
      </w:r>
      <w:r w:rsidR="002C3448" w:rsidRPr="003D4DE3">
        <w:t xml:space="preserve"> </w:t>
      </w:r>
      <w:r w:rsidRPr="003D4DE3">
        <w:t xml:space="preserve">First Nations Health and Wellbeing - The </w:t>
      </w:r>
      <w:proofErr w:type="spellStart"/>
      <w:r w:rsidRPr="003D4DE3">
        <w:t>Lowitja</w:t>
      </w:r>
      <w:proofErr w:type="spellEnd"/>
      <w:r w:rsidRPr="003D4DE3">
        <w:t xml:space="preserve"> Journal,</w:t>
      </w:r>
      <w:r w:rsidR="002C3448" w:rsidRPr="003D4DE3">
        <w:t xml:space="preserve"> </w:t>
      </w:r>
      <w:r w:rsidRPr="003D4DE3">
        <w:t>Volume 1</w:t>
      </w:r>
      <w:r w:rsidR="002C3448" w:rsidRPr="003D4DE3">
        <w:t>.</w:t>
      </w:r>
    </w:p>
  </w:footnote>
  <w:footnote w:id="4">
    <w:p w14:paraId="26CCDCDA" w14:textId="26519F75" w:rsidR="000337D0" w:rsidRDefault="000337D0">
      <w:pPr>
        <w:pStyle w:val="FootnoteText"/>
      </w:pPr>
      <w:r>
        <w:rPr>
          <w:rStyle w:val="FootnoteReference"/>
        </w:rPr>
        <w:footnoteRef/>
      </w:r>
      <w:r>
        <w:t xml:space="preserve"> </w:t>
      </w:r>
      <w:hyperlink r:id="rId3" w:history="1">
        <w:r w:rsidRPr="000337D0">
          <w:rPr>
            <w:rStyle w:val="Hyperlink"/>
          </w:rPr>
          <w:t>Eye health measures for Aboriginal and Torres Strait Islander people 2025: interactive data, Prevalence of vision impairment and blindness (1.1.1) - Australian Institute of Health and Welfare</w:t>
        </w:r>
      </w:hyperlink>
    </w:p>
  </w:footnote>
  <w:footnote w:id="5">
    <w:p w14:paraId="65265651" w14:textId="66DBAEF7" w:rsidR="006E5E2E" w:rsidRDefault="006E5E2E">
      <w:pPr>
        <w:pStyle w:val="FootnoteText"/>
      </w:pPr>
      <w:r>
        <w:rPr>
          <w:rStyle w:val="FootnoteReference"/>
        </w:rPr>
        <w:footnoteRef/>
      </w:r>
      <w:r>
        <w:t xml:space="preserve"> Roun</w:t>
      </w:r>
      <w:r w:rsidR="00DA1FD3">
        <w:t>d</w:t>
      </w:r>
      <w:r>
        <w:t xml:space="preserve"> Table</w:t>
      </w:r>
      <w:r w:rsidR="00DA1FD3">
        <w:t xml:space="preserve"> on Print Disability</w:t>
      </w:r>
      <w:r w:rsidR="00BF6D15">
        <w:t xml:space="preserve"> (2026) Unpublished submission to consultation on National Cultural Policy</w:t>
      </w:r>
    </w:p>
  </w:footnote>
  <w:footnote w:id="6">
    <w:p w14:paraId="15296EF1" w14:textId="2D91A8B1" w:rsidR="00757480" w:rsidRDefault="00757480">
      <w:pPr>
        <w:pStyle w:val="FootnoteText"/>
      </w:pPr>
      <w:r>
        <w:rPr>
          <w:rStyle w:val="FootnoteReference"/>
        </w:rPr>
        <w:footnoteRef/>
      </w:r>
      <w:r>
        <w:t xml:space="preserve"> </w:t>
      </w:r>
      <w:hyperlink r:id="rId4" w:history="1">
        <w:r w:rsidRPr="00757480">
          <w:rPr>
            <w:rStyle w:val="Hyperlink"/>
          </w:rPr>
          <w:t>Arts and Disability: A Research Summary - Creative Australia | Creative Australia</w:t>
        </w:r>
      </w:hyperlink>
    </w:p>
  </w:footnote>
  <w:footnote w:id="7">
    <w:p w14:paraId="4C31E11B" w14:textId="550D0BB6" w:rsidR="00E12AD4" w:rsidRDefault="00E12AD4">
      <w:pPr>
        <w:pStyle w:val="FootnoteText"/>
      </w:pPr>
      <w:r>
        <w:rPr>
          <w:rStyle w:val="FootnoteReference"/>
        </w:rPr>
        <w:footnoteRef/>
      </w:r>
      <w:r>
        <w:t xml:space="preserve"> Round Table on Print Disability (2026) Unpublished submission to consultation on National Cultural Policy</w:t>
      </w:r>
    </w:p>
  </w:footnote>
  <w:footnote w:id="8">
    <w:p w14:paraId="5A6E799D" w14:textId="48A53752" w:rsidR="002E015D" w:rsidRDefault="002E015D">
      <w:pPr>
        <w:pStyle w:val="FootnoteText"/>
      </w:pPr>
      <w:r>
        <w:rPr>
          <w:rStyle w:val="FootnoteReference"/>
        </w:rPr>
        <w:footnoteRef/>
      </w:r>
      <w:r>
        <w:t xml:space="preserve"> </w:t>
      </w:r>
      <w:hyperlink r:id="rId5" w:history="1">
        <w:r w:rsidRPr="002E015D">
          <w:rPr>
            <w:rStyle w:val="Hyperlink"/>
          </w:rPr>
          <w:t>Access for all: Improving disability accessibility</w:t>
        </w:r>
      </w:hyperlink>
    </w:p>
  </w:footnote>
  <w:footnote w:id="9">
    <w:p w14:paraId="30740271" w14:textId="55DF418A" w:rsidR="000F42B8" w:rsidRDefault="000F42B8">
      <w:pPr>
        <w:pStyle w:val="FootnoteText"/>
      </w:pPr>
      <w:r>
        <w:rPr>
          <w:rStyle w:val="FootnoteReference"/>
        </w:rPr>
        <w:footnoteRef/>
      </w:r>
      <w:r>
        <w:t xml:space="preserve"> </w:t>
      </w:r>
      <w:hyperlink r:id="rId6" w:history="1">
        <w:r w:rsidRPr="000F42B8">
          <w:rPr>
            <w:rStyle w:val="Hyperlink"/>
          </w:rPr>
          <w:t>WCAG 2 Overview | Web Accessibility Initiative (WAI) | W3C</w:t>
        </w:r>
      </w:hyperlink>
    </w:p>
  </w:footnote>
  <w:footnote w:id="10">
    <w:p w14:paraId="759990C0" w14:textId="0656FDAB" w:rsidR="004B16E6" w:rsidRDefault="004B16E6">
      <w:pPr>
        <w:pStyle w:val="FootnoteText"/>
      </w:pPr>
      <w:r>
        <w:rPr>
          <w:rStyle w:val="FootnoteReference"/>
        </w:rPr>
        <w:footnoteRef/>
      </w:r>
      <w:r>
        <w:t xml:space="preserve"> </w:t>
      </w:r>
      <w:hyperlink r:id="rId7" w:history="1">
        <w:r w:rsidR="00B803B2" w:rsidRPr="00D207D0">
          <w:rPr>
            <w:rStyle w:val="Hyperlink"/>
          </w:rPr>
          <w:t>Blind Citizens Australia (2023) Position Paper Audio Description</w:t>
        </w:r>
      </w:hyperlink>
      <w:r w:rsidR="00B803B2">
        <w:t xml:space="preserve"> </w:t>
      </w:r>
    </w:p>
  </w:footnote>
  <w:footnote w:id="11">
    <w:p w14:paraId="4AB59E5E" w14:textId="40F8A530" w:rsidR="00C3261C" w:rsidRDefault="00C3261C">
      <w:pPr>
        <w:pStyle w:val="FootnoteText"/>
      </w:pPr>
      <w:r>
        <w:rPr>
          <w:rStyle w:val="FootnoteReference"/>
        </w:rPr>
        <w:footnoteRef/>
      </w:r>
      <w:r>
        <w:t xml:space="preserve"> </w:t>
      </w:r>
      <w:hyperlink r:id="rId8" w:history="1">
        <w:r w:rsidRPr="00C3261C">
          <w:rPr>
            <w:rStyle w:val="Hyperlink"/>
          </w:rPr>
          <w:t>Recommendation 6.1 – A national plan to promote accessible information and communications | Australian Government Department of Health, Disability and Ageing</w:t>
        </w:r>
      </w:hyperlink>
    </w:p>
  </w:footnote>
  <w:footnote w:id="12">
    <w:p w14:paraId="718931FB" w14:textId="77777777" w:rsidR="000218E6" w:rsidRPr="006925CD" w:rsidRDefault="000218E6" w:rsidP="000218E6">
      <w:pPr>
        <w:pStyle w:val="FootnoteText"/>
      </w:pPr>
      <w:r>
        <w:rPr>
          <w:rStyle w:val="FootnoteReference"/>
        </w:rPr>
        <w:footnoteRef/>
      </w:r>
      <w:r>
        <w:t xml:space="preserve"> Curtin University </w:t>
      </w:r>
      <w:r w:rsidRPr="006925CD">
        <w:t>Audio Description Research Team</w:t>
      </w:r>
      <w:r>
        <w:t xml:space="preserve"> - unpublished consultation findings  </w:t>
      </w:r>
    </w:p>
    <w:p w14:paraId="374F4BAB" w14:textId="77777777" w:rsidR="000218E6" w:rsidRDefault="000218E6" w:rsidP="000218E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C918D8"/>
    <w:multiLevelType w:val="multilevel"/>
    <w:tmpl w:val="91B2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6795"/>
    <w:multiLevelType w:val="multilevel"/>
    <w:tmpl w:val="2BC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C4ED3"/>
    <w:multiLevelType w:val="multilevel"/>
    <w:tmpl w:val="7EEA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524DB"/>
    <w:multiLevelType w:val="hybridMultilevel"/>
    <w:tmpl w:val="33FE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BF6CA7"/>
    <w:multiLevelType w:val="multilevel"/>
    <w:tmpl w:val="3CE4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42009"/>
    <w:multiLevelType w:val="multilevel"/>
    <w:tmpl w:val="654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24C0A"/>
    <w:multiLevelType w:val="multilevel"/>
    <w:tmpl w:val="C3E4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21DBF"/>
    <w:multiLevelType w:val="multilevel"/>
    <w:tmpl w:val="A41E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15077"/>
    <w:multiLevelType w:val="multilevel"/>
    <w:tmpl w:val="430E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B0BD8"/>
    <w:multiLevelType w:val="multilevel"/>
    <w:tmpl w:val="2D46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3674C"/>
    <w:multiLevelType w:val="multilevel"/>
    <w:tmpl w:val="4BF6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62C47"/>
    <w:multiLevelType w:val="multilevel"/>
    <w:tmpl w:val="C286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06EA0"/>
    <w:multiLevelType w:val="multilevel"/>
    <w:tmpl w:val="9F1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52336"/>
    <w:multiLevelType w:val="hybridMultilevel"/>
    <w:tmpl w:val="4216D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465B90"/>
    <w:multiLevelType w:val="multilevel"/>
    <w:tmpl w:val="E67C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A421E"/>
    <w:multiLevelType w:val="multilevel"/>
    <w:tmpl w:val="70F2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36576"/>
    <w:multiLevelType w:val="multilevel"/>
    <w:tmpl w:val="338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C34D7"/>
    <w:multiLevelType w:val="multilevel"/>
    <w:tmpl w:val="9FF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85B60"/>
    <w:multiLevelType w:val="multilevel"/>
    <w:tmpl w:val="87F2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505BA"/>
    <w:multiLevelType w:val="multilevel"/>
    <w:tmpl w:val="CA80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1036A"/>
    <w:multiLevelType w:val="multilevel"/>
    <w:tmpl w:val="6F80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77C05"/>
    <w:multiLevelType w:val="multilevel"/>
    <w:tmpl w:val="3056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C6E1C"/>
    <w:multiLevelType w:val="multilevel"/>
    <w:tmpl w:val="CCCE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167D4"/>
    <w:multiLevelType w:val="hybridMultilevel"/>
    <w:tmpl w:val="F3582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944A0B"/>
    <w:multiLevelType w:val="hybridMultilevel"/>
    <w:tmpl w:val="857A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4D7048"/>
    <w:multiLevelType w:val="multilevel"/>
    <w:tmpl w:val="B04E3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50303"/>
    <w:multiLevelType w:val="hybridMultilevel"/>
    <w:tmpl w:val="78A61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C55CF6"/>
    <w:multiLevelType w:val="multilevel"/>
    <w:tmpl w:val="25E2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93053"/>
    <w:multiLevelType w:val="multilevel"/>
    <w:tmpl w:val="2BDE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72410"/>
    <w:multiLevelType w:val="hybridMultilevel"/>
    <w:tmpl w:val="4B740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020FCA"/>
    <w:multiLevelType w:val="multilevel"/>
    <w:tmpl w:val="D36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25696"/>
    <w:multiLevelType w:val="multilevel"/>
    <w:tmpl w:val="E9A0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74C12"/>
    <w:multiLevelType w:val="multilevel"/>
    <w:tmpl w:val="085E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F5AB1"/>
    <w:multiLevelType w:val="multilevel"/>
    <w:tmpl w:val="041C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59643B"/>
    <w:multiLevelType w:val="multilevel"/>
    <w:tmpl w:val="FC48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34532"/>
    <w:multiLevelType w:val="multilevel"/>
    <w:tmpl w:val="B1C6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321E70"/>
    <w:multiLevelType w:val="multilevel"/>
    <w:tmpl w:val="C0F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E17C70"/>
    <w:multiLevelType w:val="multilevel"/>
    <w:tmpl w:val="6E34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096A63"/>
    <w:multiLevelType w:val="multilevel"/>
    <w:tmpl w:val="28A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534076">
    <w:abstractNumId w:val="3"/>
  </w:num>
  <w:num w:numId="2" w16cid:durableId="308487512">
    <w:abstractNumId w:val="9"/>
  </w:num>
  <w:num w:numId="3" w16cid:durableId="376011270">
    <w:abstractNumId w:val="26"/>
  </w:num>
  <w:num w:numId="4" w16cid:durableId="1108161754">
    <w:abstractNumId w:val="39"/>
  </w:num>
  <w:num w:numId="5" w16cid:durableId="410276326">
    <w:abstractNumId w:val="32"/>
  </w:num>
  <w:num w:numId="6" w16cid:durableId="368839249">
    <w:abstractNumId w:val="15"/>
  </w:num>
  <w:num w:numId="7" w16cid:durableId="950672832">
    <w:abstractNumId w:val="33"/>
  </w:num>
  <w:num w:numId="8" w16cid:durableId="1865047937">
    <w:abstractNumId w:val="8"/>
  </w:num>
  <w:num w:numId="9" w16cid:durableId="942691990">
    <w:abstractNumId w:val="11"/>
  </w:num>
  <w:num w:numId="10" w16cid:durableId="909001678">
    <w:abstractNumId w:val="28"/>
  </w:num>
  <w:num w:numId="11" w16cid:durableId="252865190">
    <w:abstractNumId w:val="31"/>
  </w:num>
  <w:num w:numId="12" w16cid:durableId="1092242108">
    <w:abstractNumId w:val="6"/>
  </w:num>
  <w:num w:numId="13" w16cid:durableId="768815882">
    <w:abstractNumId w:val="20"/>
  </w:num>
  <w:num w:numId="14" w16cid:durableId="2013993252">
    <w:abstractNumId w:val="17"/>
  </w:num>
  <w:num w:numId="15" w16cid:durableId="2130850409">
    <w:abstractNumId w:val="19"/>
  </w:num>
  <w:num w:numId="16" w16cid:durableId="1515149867">
    <w:abstractNumId w:val="10"/>
  </w:num>
  <w:num w:numId="17" w16cid:durableId="864562704">
    <w:abstractNumId w:val="35"/>
  </w:num>
  <w:num w:numId="18" w16cid:durableId="2009013502">
    <w:abstractNumId w:val="29"/>
  </w:num>
  <w:num w:numId="19" w16cid:durableId="1820533187">
    <w:abstractNumId w:val="34"/>
  </w:num>
  <w:num w:numId="20" w16cid:durableId="1077825276">
    <w:abstractNumId w:val="37"/>
  </w:num>
  <w:num w:numId="21" w16cid:durableId="1577859655">
    <w:abstractNumId w:val="36"/>
  </w:num>
  <w:num w:numId="22" w16cid:durableId="491481964">
    <w:abstractNumId w:val="1"/>
  </w:num>
  <w:num w:numId="23" w16cid:durableId="765930348">
    <w:abstractNumId w:val="23"/>
  </w:num>
  <w:num w:numId="24" w16cid:durableId="1204903271">
    <w:abstractNumId w:val="5"/>
  </w:num>
  <w:num w:numId="25" w16cid:durableId="593587042">
    <w:abstractNumId w:val="24"/>
  </w:num>
  <w:num w:numId="26" w16cid:durableId="804389723">
    <w:abstractNumId w:val="16"/>
  </w:num>
  <w:num w:numId="27" w16cid:durableId="1376202283">
    <w:abstractNumId w:val="13"/>
  </w:num>
  <w:num w:numId="28" w16cid:durableId="1028024212">
    <w:abstractNumId w:val="22"/>
  </w:num>
  <w:num w:numId="29" w16cid:durableId="1388407775">
    <w:abstractNumId w:val="38"/>
  </w:num>
  <w:num w:numId="30" w16cid:durableId="685986753">
    <w:abstractNumId w:val="2"/>
  </w:num>
  <w:num w:numId="31" w16cid:durableId="721948803">
    <w:abstractNumId w:val="12"/>
  </w:num>
  <w:num w:numId="32" w16cid:durableId="590311005">
    <w:abstractNumId w:val="14"/>
  </w:num>
  <w:num w:numId="33" w16cid:durableId="1366251777">
    <w:abstractNumId w:val="27"/>
  </w:num>
  <w:num w:numId="34" w16cid:durableId="22484044">
    <w:abstractNumId w:val="25"/>
  </w:num>
  <w:num w:numId="35" w16cid:durableId="1644458563">
    <w:abstractNumId w:val="0"/>
  </w:num>
  <w:num w:numId="36" w16cid:durableId="444621358">
    <w:abstractNumId w:val="30"/>
  </w:num>
  <w:num w:numId="37" w16cid:durableId="1156998624">
    <w:abstractNumId w:val="4"/>
  </w:num>
  <w:num w:numId="38" w16cid:durableId="1031346224">
    <w:abstractNumId w:val="21"/>
  </w:num>
  <w:num w:numId="39" w16cid:durableId="1289816400">
    <w:abstractNumId w:val="18"/>
  </w:num>
  <w:num w:numId="40" w16cid:durableId="111486280">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0C"/>
    <w:rsid w:val="00000336"/>
    <w:rsid w:val="00002B35"/>
    <w:rsid w:val="00002EF0"/>
    <w:rsid w:val="000101CA"/>
    <w:rsid w:val="00011228"/>
    <w:rsid w:val="000137D7"/>
    <w:rsid w:val="00014945"/>
    <w:rsid w:val="00015055"/>
    <w:rsid w:val="00015ACA"/>
    <w:rsid w:val="000218E6"/>
    <w:rsid w:val="00026D6F"/>
    <w:rsid w:val="00030897"/>
    <w:rsid w:val="00030DFA"/>
    <w:rsid w:val="000316FF"/>
    <w:rsid w:val="00031A46"/>
    <w:rsid w:val="00032AB1"/>
    <w:rsid w:val="000337D0"/>
    <w:rsid w:val="00037880"/>
    <w:rsid w:val="00060339"/>
    <w:rsid w:val="00064B28"/>
    <w:rsid w:val="00073C8C"/>
    <w:rsid w:val="00074AD5"/>
    <w:rsid w:val="00085563"/>
    <w:rsid w:val="00092592"/>
    <w:rsid w:val="00092E65"/>
    <w:rsid w:val="00093E21"/>
    <w:rsid w:val="0009687D"/>
    <w:rsid w:val="000A00D4"/>
    <w:rsid w:val="000A0542"/>
    <w:rsid w:val="000A084A"/>
    <w:rsid w:val="000B0A98"/>
    <w:rsid w:val="000B261E"/>
    <w:rsid w:val="000B4EF7"/>
    <w:rsid w:val="000B6E58"/>
    <w:rsid w:val="000C00B7"/>
    <w:rsid w:val="000C12C5"/>
    <w:rsid w:val="000C2792"/>
    <w:rsid w:val="000C2922"/>
    <w:rsid w:val="000C3F44"/>
    <w:rsid w:val="000C43EB"/>
    <w:rsid w:val="000C573B"/>
    <w:rsid w:val="000D14D0"/>
    <w:rsid w:val="000D205C"/>
    <w:rsid w:val="000D2453"/>
    <w:rsid w:val="000D2752"/>
    <w:rsid w:val="000E4AC1"/>
    <w:rsid w:val="000E4E0D"/>
    <w:rsid w:val="000F23B4"/>
    <w:rsid w:val="000F42B8"/>
    <w:rsid w:val="000F4761"/>
    <w:rsid w:val="000F51C0"/>
    <w:rsid w:val="000F5829"/>
    <w:rsid w:val="000F650D"/>
    <w:rsid w:val="000F71CB"/>
    <w:rsid w:val="00101CF2"/>
    <w:rsid w:val="00102519"/>
    <w:rsid w:val="00107F71"/>
    <w:rsid w:val="0011019E"/>
    <w:rsid w:val="001220F5"/>
    <w:rsid w:val="00122236"/>
    <w:rsid w:val="00122335"/>
    <w:rsid w:val="00123FBD"/>
    <w:rsid w:val="00124D16"/>
    <w:rsid w:val="001255A4"/>
    <w:rsid w:val="00125D5B"/>
    <w:rsid w:val="0014393E"/>
    <w:rsid w:val="001465D6"/>
    <w:rsid w:val="001512C4"/>
    <w:rsid w:val="00151B03"/>
    <w:rsid w:val="00156F06"/>
    <w:rsid w:val="001570D9"/>
    <w:rsid w:val="00157503"/>
    <w:rsid w:val="0016201C"/>
    <w:rsid w:val="001637B0"/>
    <w:rsid w:val="001669A0"/>
    <w:rsid w:val="00170188"/>
    <w:rsid w:val="00173446"/>
    <w:rsid w:val="00177D49"/>
    <w:rsid w:val="00180F93"/>
    <w:rsid w:val="00182CD1"/>
    <w:rsid w:val="00183539"/>
    <w:rsid w:val="00184A9C"/>
    <w:rsid w:val="00190EDB"/>
    <w:rsid w:val="0019287E"/>
    <w:rsid w:val="001A27E3"/>
    <w:rsid w:val="001B0149"/>
    <w:rsid w:val="001B2998"/>
    <w:rsid w:val="001B2FB9"/>
    <w:rsid w:val="001C60A7"/>
    <w:rsid w:val="001C7D31"/>
    <w:rsid w:val="001D2089"/>
    <w:rsid w:val="001E1499"/>
    <w:rsid w:val="001F049D"/>
    <w:rsid w:val="001F6777"/>
    <w:rsid w:val="00200069"/>
    <w:rsid w:val="002002EF"/>
    <w:rsid w:val="00202F39"/>
    <w:rsid w:val="00202FCB"/>
    <w:rsid w:val="002060C6"/>
    <w:rsid w:val="002062A5"/>
    <w:rsid w:val="0020695B"/>
    <w:rsid w:val="0020778D"/>
    <w:rsid w:val="00214A70"/>
    <w:rsid w:val="0021670D"/>
    <w:rsid w:val="00220583"/>
    <w:rsid w:val="00220981"/>
    <w:rsid w:val="002340AB"/>
    <w:rsid w:val="00236641"/>
    <w:rsid w:val="00261A5A"/>
    <w:rsid w:val="00264B0C"/>
    <w:rsid w:val="0027364A"/>
    <w:rsid w:val="00274AEA"/>
    <w:rsid w:val="00274C0F"/>
    <w:rsid w:val="002779B4"/>
    <w:rsid w:val="0028075F"/>
    <w:rsid w:val="00286DD5"/>
    <w:rsid w:val="00287B42"/>
    <w:rsid w:val="00290E77"/>
    <w:rsid w:val="002970B3"/>
    <w:rsid w:val="0029758C"/>
    <w:rsid w:val="002A6C3F"/>
    <w:rsid w:val="002B1C33"/>
    <w:rsid w:val="002C16E0"/>
    <w:rsid w:val="002C2743"/>
    <w:rsid w:val="002C3448"/>
    <w:rsid w:val="002C4E4D"/>
    <w:rsid w:val="002C79F1"/>
    <w:rsid w:val="002D3AA3"/>
    <w:rsid w:val="002D6E42"/>
    <w:rsid w:val="002D785C"/>
    <w:rsid w:val="002E015D"/>
    <w:rsid w:val="002E0FE0"/>
    <w:rsid w:val="002E1216"/>
    <w:rsid w:val="002E1EAB"/>
    <w:rsid w:val="002E54DD"/>
    <w:rsid w:val="002E7F56"/>
    <w:rsid w:val="002F046D"/>
    <w:rsid w:val="00306A42"/>
    <w:rsid w:val="00312FFE"/>
    <w:rsid w:val="00314EEC"/>
    <w:rsid w:val="00317010"/>
    <w:rsid w:val="00322632"/>
    <w:rsid w:val="003308CD"/>
    <w:rsid w:val="00332021"/>
    <w:rsid w:val="003329C4"/>
    <w:rsid w:val="00343FFA"/>
    <w:rsid w:val="003538C9"/>
    <w:rsid w:val="003545FC"/>
    <w:rsid w:val="00356A56"/>
    <w:rsid w:val="00372E3C"/>
    <w:rsid w:val="00374854"/>
    <w:rsid w:val="0037693E"/>
    <w:rsid w:val="003850C8"/>
    <w:rsid w:val="0038569F"/>
    <w:rsid w:val="003877F5"/>
    <w:rsid w:val="00395B76"/>
    <w:rsid w:val="003A2FD0"/>
    <w:rsid w:val="003A4B6B"/>
    <w:rsid w:val="003B161D"/>
    <w:rsid w:val="003B16A4"/>
    <w:rsid w:val="003B4ABF"/>
    <w:rsid w:val="003C5A63"/>
    <w:rsid w:val="003C74D0"/>
    <w:rsid w:val="003C7ECF"/>
    <w:rsid w:val="003D2417"/>
    <w:rsid w:val="003D3C6E"/>
    <w:rsid w:val="003D3E4B"/>
    <w:rsid w:val="003D4DE3"/>
    <w:rsid w:val="003D5519"/>
    <w:rsid w:val="003D583A"/>
    <w:rsid w:val="003D6857"/>
    <w:rsid w:val="003E6456"/>
    <w:rsid w:val="003E6767"/>
    <w:rsid w:val="003E6782"/>
    <w:rsid w:val="003E7413"/>
    <w:rsid w:val="003F11D1"/>
    <w:rsid w:val="003F2532"/>
    <w:rsid w:val="004117C8"/>
    <w:rsid w:val="0041721F"/>
    <w:rsid w:val="004226E1"/>
    <w:rsid w:val="00423080"/>
    <w:rsid w:val="004238E7"/>
    <w:rsid w:val="0042544F"/>
    <w:rsid w:val="00446EAB"/>
    <w:rsid w:val="00455A07"/>
    <w:rsid w:val="00464411"/>
    <w:rsid w:val="0046465B"/>
    <w:rsid w:val="00466C78"/>
    <w:rsid w:val="00475D2C"/>
    <w:rsid w:val="00477199"/>
    <w:rsid w:val="0048068C"/>
    <w:rsid w:val="00486D48"/>
    <w:rsid w:val="00487C77"/>
    <w:rsid w:val="00487DE6"/>
    <w:rsid w:val="00491C05"/>
    <w:rsid w:val="004927B9"/>
    <w:rsid w:val="00495CE9"/>
    <w:rsid w:val="00496232"/>
    <w:rsid w:val="004A2915"/>
    <w:rsid w:val="004A3250"/>
    <w:rsid w:val="004A580C"/>
    <w:rsid w:val="004B16E6"/>
    <w:rsid w:val="004C5C1D"/>
    <w:rsid w:val="004C61A3"/>
    <w:rsid w:val="004C6E3B"/>
    <w:rsid w:val="004D12F4"/>
    <w:rsid w:val="004D261F"/>
    <w:rsid w:val="004E4C45"/>
    <w:rsid w:val="004E66F1"/>
    <w:rsid w:val="004E683B"/>
    <w:rsid w:val="004F0571"/>
    <w:rsid w:val="004F2F01"/>
    <w:rsid w:val="004F7EDC"/>
    <w:rsid w:val="00512A89"/>
    <w:rsid w:val="00516EF2"/>
    <w:rsid w:val="00520202"/>
    <w:rsid w:val="00521016"/>
    <w:rsid w:val="00522B74"/>
    <w:rsid w:val="0053063A"/>
    <w:rsid w:val="00535DE5"/>
    <w:rsid w:val="0053691C"/>
    <w:rsid w:val="0053788A"/>
    <w:rsid w:val="005414E5"/>
    <w:rsid w:val="00542274"/>
    <w:rsid w:val="0054762C"/>
    <w:rsid w:val="005567C8"/>
    <w:rsid w:val="0056035B"/>
    <w:rsid w:val="005616CC"/>
    <w:rsid w:val="00562DF3"/>
    <w:rsid w:val="005637C5"/>
    <w:rsid w:val="00566D8C"/>
    <w:rsid w:val="00567002"/>
    <w:rsid w:val="00572449"/>
    <w:rsid w:val="00583E85"/>
    <w:rsid w:val="0058404C"/>
    <w:rsid w:val="00584698"/>
    <w:rsid w:val="005852F9"/>
    <w:rsid w:val="00585670"/>
    <w:rsid w:val="00590258"/>
    <w:rsid w:val="005978AE"/>
    <w:rsid w:val="005A01E6"/>
    <w:rsid w:val="005A4048"/>
    <w:rsid w:val="005C1B08"/>
    <w:rsid w:val="005C30E1"/>
    <w:rsid w:val="005C4039"/>
    <w:rsid w:val="005C477D"/>
    <w:rsid w:val="005C583E"/>
    <w:rsid w:val="005E09A1"/>
    <w:rsid w:val="005E28E3"/>
    <w:rsid w:val="005F1664"/>
    <w:rsid w:val="005F4515"/>
    <w:rsid w:val="005F5774"/>
    <w:rsid w:val="005F5DAE"/>
    <w:rsid w:val="005F7D48"/>
    <w:rsid w:val="006001D2"/>
    <w:rsid w:val="006249C9"/>
    <w:rsid w:val="006309AE"/>
    <w:rsid w:val="00631096"/>
    <w:rsid w:val="00632A1D"/>
    <w:rsid w:val="00654D44"/>
    <w:rsid w:val="00657D75"/>
    <w:rsid w:val="0067748A"/>
    <w:rsid w:val="00681937"/>
    <w:rsid w:val="00681B0F"/>
    <w:rsid w:val="00684102"/>
    <w:rsid w:val="0069127C"/>
    <w:rsid w:val="006925CD"/>
    <w:rsid w:val="00692BF3"/>
    <w:rsid w:val="00697BAB"/>
    <w:rsid w:val="006A74F9"/>
    <w:rsid w:val="006B0E0C"/>
    <w:rsid w:val="006B1776"/>
    <w:rsid w:val="006B3784"/>
    <w:rsid w:val="006C3A6A"/>
    <w:rsid w:val="006C4744"/>
    <w:rsid w:val="006D1E5E"/>
    <w:rsid w:val="006D38F0"/>
    <w:rsid w:val="006D7AD9"/>
    <w:rsid w:val="006E2BDB"/>
    <w:rsid w:val="006E5E2E"/>
    <w:rsid w:val="006E6474"/>
    <w:rsid w:val="006F2349"/>
    <w:rsid w:val="006F34A0"/>
    <w:rsid w:val="00712720"/>
    <w:rsid w:val="00717F25"/>
    <w:rsid w:val="00727430"/>
    <w:rsid w:val="00730E48"/>
    <w:rsid w:val="007320EF"/>
    <w:rsid w:val="00743040"/>
    <w:rsid w:val="00746317"/>
    <w:rsid w:val="00746636"/>
    <w:rsid w:val="007535AB"/>
    <w:rsid w:val="007546A8"/>
    <w:rsid w:val="00757480"/>
    <w:rsid w:val="007603E4"/>
    <w:rsid w:val="0077683E"/>
    <w:rsid w:val="00782F94"/>
    <w:rsid w:val="00785F74"/>
    <w:rsid w:val="00787694"/>
    <w:rsid w:val="0078777D"/>
    <w:rsid w:val="0079119B"/>
    <w:rsid w:val="00795C34"/>
    <w:rsid w:val="007960F5"/>
    <w:rsid w:val="007A750C"/>
    <w:rsid w:val="007B0238"/>
    <w:rsid w:val="007B1E73"/>
    <w:rsid w:val="007B5903"/>
    <w:rsid w:val="007B5EFC"/>
    <w:rsid w:val="007C0023"/>
    <w:rsid w:val="007C0222"/>
    <w:rsid w:val="007C5736"/>
    <w:rsid w:val="007C6935"/>
    <w:rsid w:val="007D1B1F"/>
    <w:rsid w:val="007D259A"/>
    <w:rsid w:val="007D40FB"/>
    <w:rsid w:val="007E0084"/>
    <w:rsid w:val="007E2C48"/>
    <w:rsid w:val="007E519A"/>
    <w:rsid w:val="007E7E7E"/>
    <w:rsid w:val="007F0E35"/>
    <w:rsid w:val="007F1592"/>
    <w:rsid w:val="007F224F"/>
    <w:rsid w:val="007F2C81"/>
    <w:rsid w:val="007F5CA9"/>
    <w:rsid w:val="00810F31"/>
    <w:rsid w:val="00822728"/>
    <w:rsid w:val="00832294"/>
    <w:rsid w:val="008350EF"/>
    <w:rsid w:val="008408C0"/>
    <w:rsid w:val="008425A4"/>
    <w:rsid w:val="008503B6"/>
    <w:rsid w:val="00851126"/>
    <w:rsid w:val="00851284"/>
    <w:rsid w:val="00855340"/>
    <w:rsid w:val="00860185"/>
    <w:rsid w:val="00883A8D"/>
    <w:rsid w:val="0088579D"/>
    <w:rsid w:val="0089511F"/>
    <w:rsid w:val="008A0F80"/>
    <w:rsid w:val="008A143F"/>
    <w:rsid w:val="008A348A"/>
    <w:rsid w:val="008A4161"/>
    <w:rsid w:val="008A51DE"/>
    <w:rsid w:val="008B35B3"/>
    <w:rsid w:val="008B72BF"/>
    <w:rsid w:val="008C7B64"/>
    <w:rsid w:val="008C7DC2"/>
    <w:rsid w:val="009004B8"/>
    <w:rsid w:val="00910141"/>
    <w:rsid w:val="009145D9"/>
    <w:rsid w:val="009242A5"/>
    <w:rsid w:val="009309FB"/>
    <w:rsid w:val="00933958"/>
    <w:rsid w:val="009344AE"/>
    <w:rsid w:val="00941AE7"/>
    <w:rsid w:val="00945168"/>
    <w:rsid w:val="00953174"/>
    <w:rsid w:val="009532F4"/>
    <w:rsid w:val="00957E97"/>
    <w:rsid w:val="009608D3"/>
    <w:rsid w:val="0097076D"/>
    <w:rsid w:val="009751D2"/>
    <w:rsid w:val="00976731"/>
    <w:rsid w:val="00977666"/>
    <w:rsid w:val="00990437"/>
    <w:rsid w:val="00990E4A"/>
    <w:rsid w:val="00990FC8"/>
    <w:rsid w:val="009917FE"/>
    <w:rsid w:val="0099187B"/>
    <w:rsid w:val="009945DA"/>
    <w:rsid w:val="009A18AD"/>
    <w:rsid w:val="009A7B2E"/>
    <w:rsid w:val="009B0E34"/>
    <w:rsid w:val="009B49DA"/>
    <w:rsid w:val="009B4B93"/>
    <w:rsid w:val="009B6062"/>
    <w:rsid w:val="009B75A5"/>
    <w:rsid w:val="009C0746"/>
    <w:rsid w:val="009C6C90"/>
    <w:rsid w:val="009D1456"/>
    <w:rsid w:val="009D150E"/>
    <w:rsid w:val="009D27A6"/>
    <w:rsid w:val="009D2AA2"/>
    <w:rsid w:val="009D3CAB"/>
    <w:rsid w:val="009D4EFC"/>
    <w:rsid w:val="009D79B7"/>
    <w:rsid w:val="009E7CC9"/>
    <w:rsid w:val="009F0830"/>
    <w:rsid w:val="009F0A5D"/>
    <w:rsid w:val="009F0D90"/>
    <w:rsid w:val="009F21A0"/>
    <w:rsid w:val="009F5399"/>
    <w:rsid w:val="00A0076F"/>
    <w:rsid w:val="00A013D4"/>
    <w:rsid w:val="00A0273D"/>
    <w:rsid w:val="00A029FB"/>
    <w:rsid w:val="00A045C4"/>
    <w:rsid w:val="00A057B8"/>
    <w:rsid w:val="00A15AC6"/>
    <w:rsid w:val="00A1634E"/>
    <w:rsid w:val="00A20A04"/>
    <w:rsid w:val="00A20B99"/>
    <w:rsid w:val="00A21AFC"/>
    <w:rsid w:val="00A22086"/>
    <w:rsid w:val="00A276C5"/>
    <w:rsid w:val="00A34EA7"/>
    <w:rsid w:val="00A42605"/>
    <w:rsid w:val="00A457AD"/>
    <w:rsid w:val="00A641F1"/>
    <w:rsid w:val="00A65834"/>
    <w:rsid w:val="00A672D0"/>
    <w:rsid w:val="00A67BD6"/>
    <w:rsid w:val="00A77753"/>
    <w:rsid w:val="00A803E8"/>
    <w:rsid w:val="00A966D4"/>
    <w:rsid w:val="00A9774C"/>
    <w:rsid w:val="00AA19F6"/>
    <w:rsid w:val="00AA572D"/>
    <w:rsid w:val="00AB2F1D"/>
    <w:rsid w:val="00AB3717"/>
    <w:rsid w:val="00AB79E7"/>
    <w:rsid w:val="00AC2C0A"/>
    <w:rsid w:val="00AC5AF1"/>
    <w:rsid w:val="00AC7E89"/>
    <w:rsid w:val="00AD10B0"/>
    <w:rsid w:val="00AD57FD"/>
    <w:rsid w:val="00AE04FA"/>
    <w:rsid w:val="00AE3EE6"/>
    <w:rsid w:val="00AF1C16"/>
    <w:rsid w:val="00B071BD"/>
    <w:rsid w:val="00B11844"/>
    <w:rsid w:val="00B11D9F"/>
    <w:rsid w:val="00B1345A"/>
    <w:rsid w:val="00B1496F"/>
    <w:rsid w:val="00B17029"/>
    <w:rsid w:val="00B26257"/>
    <w:rsid w:val="00B342E4"/>
    <w:rsid w:val="00B3489C"/>
    <w:rsid w:val="00B35A09"/>
    <w:rsid w:val="00B3679F"/>
    <w:rsid w:val="00B40B6D"/>
    <w:rsid w:val="00B42136"/>
    <w:rsid w:val="00B43274"/>
    <w:rsid w:val="00B443DB"/>
    <w:rsid w:val="00B44F97"/>
    <w:rsid w:val="00B461F1"/>
    <w:rsid w:val="00B46A5E"/>
    <w:rsid w:val="00B473F5"/>
    <w:rsid w:val="00B56F88"/>
    <w:rsid w:val="00B60684"/>
    <w:rsid w:val="00B62044"/>
    <w:rsid w:val="00B63506"/>
    <w:rsid w:val="00B64D07"/>
    <w:rsid w:val="00B7096F"/>
    <w:rsid w:val="00B72131"/>
    <w:rsid w:val="00B73870"/>
    <w:rsid w:val="00B777CF"/>
    <w:rsid w:val="00B803B2"/>
    <w:rsid w:val="00B8077F"/>
    <w:rsid w:val="00B80A01"/>
    <w:rsid w:val="00B822CC"/>
    <w:rsid w:val="00B969E9"/>
    <w:rsid w:val="00BA08CD"/>
    <w:rsid w:val="00BA2A8C"/>
    <w:rsid w:val="00BA3620"/>
    <w:rsid w:val="00BA628E"/>
    <w:rsid w:val="00BA7686"/>
    <w:rsid w:val="00BB19CC"/>
    <w:rsid w:val="00BB2B36"/>
    <w:rsid w:val="00BB362C"/>
    <w:rsid w:val="00BB43A4"/>
    <w:rsid w:val="00BB5BB4"/>
    <w:rsid w:val="00BC112B"/>
    <w:rsid w:val="00BC5FAC"/>
    <w:rsid w:val="00BD1A1E"/>
    <w:rsid w:val="00BD5397"/>
    <w:rsid w:val="00BE51C9"/>
    <w:rsid w:val="00BE6060"/>
    <w:rsid w:val="00BF28CC"/>
    <w:rsid w:val="00BF6D15"/>
    <w:rsid w:val="00C00567"/>
    <w:rsid w:val="00C01F3F"/>
    <w:rsid w:val="00C02E50"/>
    <w:rsid w:val="00C13A3E"/>
    <w:rsid w:val="00C13D2A"/>
    <w:rsid w:val="00C200AA"/>
    <w:rsid w:val="00C21EE9"/>
    <w:rsid w:val="00C26FBA"/>
    <w:rsid w:val="00C312FB"/>
    <w:rsid w:val="00C3261C"/>
    <w:rsid w:val="00C328FE"/>
    <w:rsid w:val="00C351BF"/>
    <w:rsid w:val="00C363C9"/>
    <w:rsid w:val="00C3754F"/>
    <w:rsid w:val="00C423E1"/>
    <w:rsid w:val="00C44792"/>
    <w:rsid w:val="00C57985"/>
    <w:rsid w:val="00C57BD5"/>
    <w:rsid w:val="00C6246F"/>
    <w:rsid w:val="00C6728A"/>
    <w:rsid w:val="00C716B8"/>
    <w:rsid w:val="00C74DC5"/>
    <w:rsid w:val="00C75265"/>
    <w:rsid w:val="00C75861"/>
    <w:rsid w:val="00C87BFC"/>
    <w:rsid w:val="00C9166C"/>
    <w:rsid w:val="00C929E8"/>
    <w:rsid w:val="00C93F50"/>
    <w:rsid w:val="00CA53C5"/>
    <w:rsid w:val="00CB153F"/>
    <w:rsid w:val="00CB1E8C"/>
    <w:rsid w:val="00CC2FF5"/>
    <w:rsid w:val="00CC4F64"/>
    <w:rsid w:val="00CC5275"/>
    <w:rsid w:val="00CD0D31"/>
    <w:rsid w:val="00CD50FC"/>
    <w:rsid w:val="00CD687D"/>
    <w:rsid w:val="00CE190A"/>
    <w:rsid w:val="00CE2CFE"/>
    <w:rsid w:val="00CE3516"/>
    <w:rsid w:val="00CE61B2"/>
    <w:rsid w:val="00CF0633"/>
    <w:rsid w:val="00CF2C28"/>
    <w:rsid w:val="00CF5A54"/>
    <w:rsid w:val="00CF6E00"/>
    <w:rsid w:val="00D000FA"/>
    <w:rsid w:val="00D047E1"/>
    <w:rsid w:val="00D0582D"/>
    <w:rsid w:val="00D05A20"/>
    <w:rsid w:val="00D06E4A"/>
    <w:rsid w:val="00D12BC2"/>
    <w:rsid w:val="00D149FA"/>
    <w:rsid w:val="00D17A2B"/>
    <w:rsid w:val="00D207D0"/>
    <w:rsid w:val="00D2333F"/>
    <w:rsid w:val="00D327C5"/>
    <w:rsid w:val="00D4163E"/>
    <w:rsid w:val="00D43838"/>
    <w:rsid w:val="00D47984"/>
    <w:rsid w:val="00D51719"/>
    <w:rsid w:val="00D52CA9"/>
    <w:rsid w:val="00D632B8"/>
    <w:rsid w:val="00D65B7F"/>
    <w:rsid w:val="00D7320F"/>
    <w:rsid w:val="00D810E0"/>
    <w:rsid w:val="00D82C88"/>
    <w:rsid w:val="00D8542A"/>
    <w:rsid w:val="00D87458"/>
    <w:rsid w:val="00D93306"/>
    <w:rsid w:val="00DA0EC6"/>
    <w:rsid w:val="00DA1FD3"/>
    <w:rsid w:val="00DA25E2"/>
    <w:rsid w:val="00DA47F2"/>
    <w:rsid w:val="00DA561E"/>
    <w:rsid w:val="00DB2CA1"/>
    <w:rsid w:val="00DB6F6E"/>
    <w:rsid w:val="00DB7650"/>
    <w:rsid w:val="00DC05F9"/>
    <w:rsid w:val="00DC3494"/>
    <w:rsid w:val="00DC5E0C"/>
    <w:rsid w:val="00DD343C"/>
    <w:rsid w:val="00DE5517"/>
    <w:rsid w:val="00DE6E66"/>
    <w:rsid w:val="00DF193A"/>
    <w:rsid w:val="00E06768"/>
    <w:rsid w:val="00E06FD5"/>
    <w:rsid w:val="00E12AD4"/>
    <w:rsid w:val="00E146D5"/>
    <w:rsid w:val="00E335F3"/>
    <w:rsid w:val="00E344E2"/>
    <w:rsid w:val="00E34B30"/>
    <w:rsid w:val="00E35A43"/>
    <w:rsid w:val="00E4246F"/>
    <w:rsid w:val="00E43577"/>
    <w:rsid w:val="00E44068"/>
    <w:rsid w:val="00E454D5"/>
    <w:rsid w:val="00E63934"/>
    <w:rsid w:val="00E7328A"/>
    <w:rsid w:val="00E87DD8"/>
    <w:rsid w:val="00E90966"/>
    <w:rsid w:val="00EA30C3"/>
    <w:rsid w:val="00EB1317"/>
    <w:rsid w:val="00EB1813"/>
    <w:rsid w:val="00EB35BB"/>
    <w:rsid w:val="00EB5512"/>
    <w:rsid w:val="00EC13EE"/>
    <w:rsid w:val="00EC1D47"/>
    <w:rsid w:val="00EC1FE4"/>
    <w:rsid w:val="00ED0581"/>
    <w:rsid w:val="00ED2603"/>
    <w:rsid w:val="00ED3C40"/>
    <w:rsid w:val="00ED4B29"/>
    <w:rsid w:val="00EE2239"/>
    <w:rsid w:val="00EE5547"/>
    <w:rsid w:val="00EF14D7"/>
    <w:rsid w:val="00EF29D8"/>
    <w:rsid w:val="00EF2D24"/>
    <w:rsid w:val="00EF3841"/>
    <w:rsid w:val="00EF465B"/>
    <w:rsid w:val="00EF6993"/>
    <w:rsid w:val="00F03F3E"/>
    <w:rsid w:val="00F13A30"/>
    <w:rsid w:val="00F2260B"/>
    <w:rsid w:val="00F2663D"/>
    <w:rsid w:val="00F266C1"/>
    <w:rsid w:val="00F325F5"/>
    <w:rsid w:val="00F40B76"/>
    <w:rsid w:val="00F427FC"/>
    <w:rsid w:val="00F46F80"/>
    <w:rsid w:val="00F56F6E"/>
    <w:rsid w:val="00F57EA4"/>
    <w:rsid w:val="00F63F4F"/>
    <w:rsid w:val="00F71D08"/>
    <w:rsid w:val="00F76F7B"/>
    <w:rsid w:val="00F83F81"/>
    <w:rsid w:val="00F85CC6"/>
    <w:rsid w:val="00F91473"/>
    <w:rsid w:val="00F93890"/>
    <w:rsid w:val="00F9750C"/>
    <w:rsid w:val="00FA081F"/>
    <w:rsid w:val="00FA40CD"/>
    <w:rsid w:val="00FB4C99"/>
    <w:rsid w:val="00FB4CB8"/>
    <w:rsid w:val="00FB5D13"/>
    <w:rsid w:val="00FD320D"/>
    <w:rsid w:val="00FE3360"/>
    <w:rsid w:val="00FE7966"/>
    <w:rsid w:val="00FE7AEF"/>
    <w:rsid w:val="00FF2047"/>
    <w:rsid w:val="00FF2AD3"/>
    <w:rsid w:val="00FF3F62"/>
    <w:rsid w:val="00FF4EA0"/>
    <w:rsid w:val="00FF5C2E"/>
    <w:rsid w:val="022F3A5E"/>
    <w:rsid w:val="044E00FA"/>
    <w:rsid w:val="16B690CA"/>
    <w:rsid w:val="1A64E0EE"/>
    <w:rsid w:val="2DAD6CE3"/>
    <w:rsid w:val="3E77CDA6"/>
    <w:rsid w:val="4C0C1F19"/>
    <w:rsid w:val="5605F01C"/>
    <w:rsid w:val="632BB5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48F9"/>
  <w15:chartTrackingRefBased/>
  <w15:docId w15:val="{8747E62E-6AAC-4330-B906-F6FFF9F1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7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7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A7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7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7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A7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0C"/>
    <w:rPr>
      <w:rFonts w:eastAsiaTheme="majorEastAsia" w:cstheme="majorBidi"/>
      <w:color w:val="272727" w:themeColor="text1" w:themeTint="D8"/>
    </w:rPr>
  </w:style>
  <w:style w:type="paragraph" w:styleId="Title">
    <w:name w:val="Title"/>
    <w:basedOn w:val="Normal"/>
    <w:next w:val="Normal"/>
    <w:link w:val="TitleChar"/>
    <w:uiPriority w:val="10"/>
    <w:qFormat/>
    <w:rsid w:val="007A7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0C"/>
    <w:pPr>
      <w:spacing w:before="160"/>
      <w:jc w:val="center"/>
    </w:pPr>
    <w:rPr>
      <w:i/>
      <w:iCs/>
      <w:color w:val="404040" w:themeColor="text1" w:themeTint="BF"/>
    </w:rPr>
  </w:style>
  <w:style w:type="character" w:customStyle="1" w:styleId="QuoteChar">
    <w:name w:val="Quote Char"/>
    <w:basedOn w:val="DefaultParagraphFont"/>
    <w:link w:val="Quote"/>
    <w:uiPriority w:val="29"/>
    <w:rsid w:val="007A750C"/>
    <w:rPr>
      <w:i/>
      <w:iCs/>
      <w:color w:val="404040" w:themeColor="text1" w:themeTint="BF"/>
    </w:rPr>
  </w:style>
  <w:style w:type="paragraph" w:styleId="ListParagraph">
    <w:name w:val="List Paragraph"/>
    <w:basedOn w:val="Normal"/>
    <w:uiPriority w:val="34"/>
    <w:qFormat/>
    <w:rsid w:val="007A750C"/>
    <w:pPr>
      <w:ind w:left="720"/>
      <w:contextualSpacing/>
    </w:pPr>
  </w:style>
  <w:style w:type="character" w:styleId="IntenseEmphasis">
    <w:name w:val="Intense Emphasis"/>
    <w:basedOn w:val="DefaultParagraphFont"/>
    <w:uiPriority w:val="21"/>
    <w:qFormat/>
    <w:rsid w:val="007A750C"/>
    <w:rPr>
      <w:i/>
      <w:iCs/>
      <w:color w:val="0F4761" w:themeColor="accent1" w:themeShade="BF"/>
    </w:rPr>
  </w:style>
  <w:style w:type="paragraph" w:styleId="IntenseQuote">
    <w:name w:val="Intense Quote"/>
    <w:basedOn w:val="Normal"/>
    <w:next w:val="Normal"/>
    <w:link w:val="IntenseQuoteChar"/>
    <w:uiPriority w:val="30"/>
    <w:qFormat/>
    <w:rsid w:val="007A7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50C"/>
    <w:rPr>
      <w:i/>
      <w:iCs/>
      <w:color w:val="0F4761" w:themeColor="accent1" w:themeShade="BF"/>
    </w:rPr>
  </w:style>
  <w:style w:type="character" w:styleId="IntenseReference">
    <w:name w:val="Intense Reference"/>
    <w:basedOn w:val="DefaultParagraphFont"/>
    <w:uiPriority w:val="32"/>
    <w:qFormat/>
    <w:rsid w:val="007A750C"/>
    <w:rPr>
      <w:b/>
      <w:bCs/>
      <w:smallCaps/>
      <w:color w:val="0F4761" w:themeColor="accent1" w:themeShade="BF"/>
      <w:spacing w:val="5"/>
    </w:rPr>
  </w:style>
  <w:style w:type="paragraph" w:styleId="Date">
    <w:name w:val="Date"/>
    <w:aliases w:val="Address"/>
    <w:basedOn w:val="Title"/>
    <w:next w:val="Salutation"/>
    <w:link w:val="DateChar"/>
    <w:uiPriority w:val="4"/>
    <w:unhideWhenUsed/>
    <w:qFormat/>
    <w:rsid w:val="00B73870"/>
    <w:pPr>
      <w:pBdr>
        <w:bottom w:val="single" w:sz="8" w:space="10" w:color="0E2841" w:themeColor="text2"/>
      </w:pBdr>
      <w:spacing w:before="120" w:after="0"/>
    </w:pPr>
    <w:rPr>
      <w:rFonts w:ascii="Arial" w:eastAsiaTheme="minorEastAsia" w:hAnsi="Arial" w:cs="Arial"/>
      <w:bCs/>
      <w:color w:val="500061"/>
      <w:spacing w:val="0"/>
      <w:kern w:val="0"/>
      <w:sz w:val="24"/>
      <w:szCs w:val="24"/>
      <w:lang w:val="en-US" w:eastAsia="ja-JP"/>
      <w14:ligatures w14:val="none"/>
    </w:rPr>
  </w:style>
  <w:style w:type="character" w:customStyle="1" w:styleId="DateChar">
    <w:name w:val="Date Char"/>
    <w:aliases w:val="Address Char"/>
    <w:basedOn w:val="DefaultParagraphFont"/>
    <w:link w:val="Date"/>
    <w:uiPriority w:val="4"/>
    <w:rsid w:val="00B73870"/>
    <w:rPr>
      <w:rFonts w:ascii="Arial" w:eastAsiaTheme="minorEastAsia" w:hAnsi="Arial" w:cs="Arial"/>
      <w:bCs/>
      <w:color w:val="500061"/>
      <w:kern w:val="0"/>
      <w:lang w:val="en-US" w:eastAsia="ja-JP"/>
      <w14:ligatures w14:val="none"/>
    </w:rPr>
  </w:style>
  <w:style w:type="character" w:styleId="Hyperlink">
    <w:name w:val="Hyperlink"/>
    <w:basedOn w:val="DefaultParagraphFont"/>
    <w:uiPriority w:val="99"/>
    <w:unhideWhenUsed/>
    <w:rsid w:val="00B73870"/>
    <w:rPr>
      <w:color w:val="0E2841" w:themeColor="text2"/>
      <w:u w:val="single"/>
    </w:rPr>
  </w:style>
  <w:style w:type="paragraph" w:styleId="Salutation">
    <w:name w:val="Salutation"/>
    <w:basedOn w:val="Normal"/>
    <w:next w:val="Normal"/>
    <w:link w:val="SalutationChar"/>
    <w:uiPriority w:val="99"/>
    <w:semiHidden/>
    <w:unhideWhenUsed/>
    <w:rsid w:val="00B73870"/>
  </w:style>
  <w:style w:type="character" w:customStyle="1" w:styleId="SalutationChar">
    <w:name w:val="Salutation Char"/>
    <w:basedOn w:val="DefaultParagraphFont"/>
    <w:link w:val="Salutation"/>
    <w:uiPriority w:val="99"/>
    <w:semiHidden/>
    <w:rsid w:val="00B73870"/>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 Char,5_G"/>
    <w:basedOn w:val="Normal"/>
    <w:link w:val="FootnoteTextChar"/>
    <w:uiPriority w:val="99"/>
    <w:unhideWhenUsed/>
    <w:qFormat/>
    <w:rsid w:val="00B73870"/>
    <w:pPr>
      <w:spacing w:after="0" w:line="240" w:lineRule="auto"/>
    </w:pPr>
    <w:rPr>
      <w:rFonts w:ascii="Arial" w:eastAsia="MS Mincho" w:hAnsi="Arial" w:cs="Arial"/>
      <w:kern w:val="0"/>
      <w:sz w:val="20"/>
      <w:szCs w:val="20"/>
      <w:lang w:eastAsia="ja-JP"/>
      <w14:ligatures w14:val="none"/>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B73870"/>
    <w:rPr>
      <w:rFonts w:ascii="Arial" w:eastAsia="MS Mincho" w:hAnsi="Arial" w:cs="Arial"/>
      <w:kern w:val="0"/>
      <w:sz w:val="20"/>
      <w:szCs w:val="20"/>
      <w:lang w:eastAsia="ja-JP"/>
      <w14:ligatures w14:val="none"/>
    </w:rPr>
  </w:style>
  <w:style w:type="character" w:styleId="FootnoteReference">
    <w:name w:val="footnote reference"/>
    <w:aliases w:val="Footnotes refss,Ref,de nota al pie,Footnote number,Footnote,4_G"/>
    <w:basedOn w:val="DefaultParagraphFont"/>
    <w:uiPriority w:val="99"/>
    <w:unhideWhenUsed/>
    <w:qFormat/>
    <w:rsid w:val="00B73870"/>
    <w:rPr>
      <w:vertAlign w:val="superscript"/>
    </w:rPr>
  </w:style>
  <w:style w:type="paragraph" w:styleId="NormalWeb">
    <w:name w:val="Normal (Web)"/>
    <w:basedOn w:val="Normal"/>
    <w:uiPriority w:val="99"/>
    <w:semiHidden/>
    <w:unhideWhenUsed/>
    <w:rsid w:val="003B4AB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BA3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620"/>
  </w:style>
  <w:style w:type="paragraph" w:styleId="Footer">
    <w:name w:val="footer"/>
    <w:basedOn w:val="Normal"/>
    <w:link w:val="FooterChar"/>
    <w:uiPriority w:val="99"/>
    <w:unhideWhenUsed/>
    <w:rsid w:val="00BA3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620"/>
  </w:style>
  <w:style w:type="character" w:styleId="UnresolvedMention">
    <w:name w:val="Unresolved Mention"/>
    <w:basedOn w:val="DefaultParagraphFont"/>
    <w:uiPriority w:val="99"/>
    <w:semiHidden/>
    <w:unhideWhenUsed/>
    <w:rsid w:val="00264B0C"/>
    <w:rPr>
      <w:color w:val="605E5C"/>
      <w:shd w:val="clear" w:color="auto" w:fill="E1DFDD"/>
    </w:rPr>
  </w:style>
  <w:style w:type="character" w:styleId="CommentReference">
    <w:name w:val="annotation reference"/>
    <w:basedOn w:val="DefaultParagraphFont"/>
    <w:uiPriority w:val="99"/>
    <w:semiHidden/>
    <w:unhideWhenUsed/>
    <w:rsid w:val="00D47984"/>
    <w:rPr>
      <w:sz w:val="16"/>
      <w:szCs w:val="16"/>
    </w:rPr>
  </w:style>
  <w:style w:type="paragraph" w:styleId="CommentText">
    <w:name w:val="annotation text"/>
    <w:basedOn w:val="Normal"/>
    <w:link w:val="CommentTextChar"/>
    <w:uiPriority w:val="99"/>
    <w:unhideWhenUsed/>
    <w:rsid w:val="00D47984"/>
    <w:pPr>
      <w:spacing w:line="240" w:lineRule="auto"/>
    </w:pPr>
    <w:rPr>
      <w:sz w:val="20"/>
      <w:szCs w:val="20"/>
    </w:rPr>
  </w:style>
  <w:style w:type="character" w:customStyle="1" w:styleId="CommentTextChar">
    <w:name w:val="Comment Text Char"/>
    <w:basedOn w:val="DefaultParagraphFont"/>
    <w:link w:val="CommentText"/>
    <w:uiPriority w:val="99"/>
    <w:rsid w:val="00D47984"/>
    <w:rPr>
      <w:sz w:val="20"/>
      <w:szCs w:val="20"/>
    </w:rPr>
  </w:style>
  <w:style w:type="paragraph" w:styleId="CommentSubject">
    <w:name w:val="annotation subject"/>
    <w:basedOn w:val="CommentText"/>
    <w:next w:val="CommentText"/>
    <w:link w:val="CommentSubjectChar"/>
    <w:uiPriority w:val="99"/>
    <w:semiHidden/>
    <w:unhideWhenUsed/>
    <w:rsid w:val="00D47984"/>
    <w:rPr>
      <w:b/>
      <w:bCs/>
    </w:rPr>
  </w:style>
  <w:style w:type="character" w:customStyle="1" w:styleId="CommentSubjectChar">
    <w:name w:val="Comment Subject Char"/>
    <w:basedOn w:val="CommentTextChar"/>
    <w:link w:val="CommentSubject"/>
    <w:uiPriority w:val="99"/>
    <w:semiHidden/>
    <w:rsid w:val="00D479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au/resources/publications/disability-royal-commission-progress-report-2025/volume-6-enabling-autonomy-and-access/recommendation-61-a-national-plan-to-promote-accessible-information-and-communications" TargetMode="External"/><Relationship Id="rId3" Type="http://schemas.openxmlformats.org/officeDocument/2006/relationships/hyperlink" Target="https://www.aihw.gov.au/reports/indigenous-australians/eye-health-measures-data-2025/contents/prevalence/prevalence-of-vision-impairment-and-blindness" TargetMode="External"/><Relationship Id="rId7" Type="http://schemas.openxmlformats.org/officeDocument/2006/relationships/hyperlink" Target="https://view.officeapps.live.com/op/view.aspx?src=https%3A%2F%2Fwww.bca.org.au%2Fwp-content%2Fuploads%2F2023%2F09%2FPosition-Paper-on-AD-v1.0.docx&amp;wdOrigin=BROWSELINK" TargetMode="External"/><Relationship Id="rId2" Type="http://schemas.openxmlformats.org/officeDocument/2006/relationships/hyperlink" Target="https://www.arts.gov.au/what-we-do/arts-and-disability/equity-arts-and-disability-associated-plan" TargetMode="External"/><Relationship Id="rId1" Type="http://schemas.openxmlformats.org/officeDocument/2006/relationships/hyperlink" Target="https://www.un.org/en/about-us/universal-declaration-of-human-rights" TargetMode="External"/><Relationship Id="rId6" Type="http://schemas.openxmlformats.org/officeDocument/2006/relationships/hyperlink" Target="https://www.w3.org/WAI/standards-guidelines/wcag/" TargetMode="External"/><Relationship Id="rId5" Type="http://schemas.openxmlformats.org/officeDocument/2006/relationships/hyperlink" Target="https://humanrights.gov.au/resource-hub/by-resource-type/articles/disability-rights/accessibility/access-all-improving-accessibility-consumers-disability?utm_source=chatgpt.com" TargetMode="External"/><Relationship Id="rId4" Type="http://schemas.openxmlformats.org/officeDocument/2006/relationships/hyperlink" Target="https://creative.gov.au/research/arts-and-disability-research-summary-creative-austral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FFD42-1B70-4D42-854C-ECB4CC5800F9}">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2.xml><?xml version="1.0" encoding="utf-8"?>
<ds:datastoreItem xmlns:ds="http://schemas.openxmlformats.org/officeDocument/2006/customXml" ds:itemID="{43F7F20B-4713-4C03-B541-A78D8182C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825C8-F59C-4918-BF3F-71B564159485}">
  <ds:schemaRefs>
    <ds:schemaRef ds:uri="http://schemas.microsoft.com/sharepoint/v3/contenttype/forms"/>
  </ds:schemaRefs>
</ds:datastoreItem>
</file>

<file path=customXml/itemProps4.xml><?xml version="1.0" encoding="utf-8"?>
<ds:datastoreItem xmlns:ds="http://schemas.openxmlformats.org/officeDocument/2006/customXml" ds:itemID="{1B1F5D06-3777-43A2-96C2-3B5822DB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11</Pages>
  <Words>2987</Words>
  <Characters>17031</Characters>
  <Application>Microsoft Office Word</Application>
  <DocSecurity>0</DocSecurity>
  <Lines>141</Lines>
  <Paragraphs>39</Paragraphs>
  <ScaleCrop>false</ScaleCrop>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Chatfield</dc:creator>
  <cp:keywords/>
  <dc:description/>
  <cp:lastModifiedBy>Melanie Chatfield</cp:lastModifiedBy>
  <cp:revision>610</cp:revision>
  <dcterms:created xsi:type="dcterms:W3CDTF">2026-05-15T06:35:00Z</dcterms:created>
  <dcterms:modified xsi:type="dcterms:W3CDTF">2026-05-24T04:54:00Z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