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74AF4" w14:textId="5447DA88" w:rsidR="001052D0" w:rsidRDefault="001052D0" w:rsidP="00890593">
      <w:pPr>
        <w:pStyle w:val="Heading1"/>
        <w:spacing w:line="360" w:lineRule="auto"/>
        <w:rPr>
          <w:rFonts w:ascii="Arial" w:hAnsi="Arial" w:cs="Arial"/>
          <w:sz w:val="24"/>
          <w:szCs w:val="24"/>
        </w:rPr>
      </w:pPr>
      <w:bookmarkStart w:id="0" w:name="_Toc230694792"/>
      <w:bookmarkStart w:id="1" w:name="_Toc230695009"/>
      <w:bookmarkStart w:id="2" w:name="_Toc230793184"/>
      <w:bookmarkStart w:id="3" w:name="_Toc231209226"/>
      <w:bookmarkStart w:id="4" w:name="_Toc231209347"/>
      <w:r w:rsidRPr="002A620A">
        <w:rPr>
          <w:rFonts w:ascii="Arial" w:hAnsi="Arial" w:cs="Arial"/>
          <w:noProof/>
        </w:rPr>
        <w:drawing>
          <wp:inline distT="0" distB="0" distL="0" distR="0" wp14:anchorId="6397890B" wp14:editId="6C9CFC78">
            <wp:extent cx="5517826" cy="827674"/>
            <wp:effectExtent l="0" t="0" r="0" b="0"/>
            <wp:docPr id="3" name="Picture 3" descr="Blind Citizen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CA LOGO LANDSCAPE.png"/>
                    <pic:cNvPicPr/>
                  </pic:nvPicPr>
                  <pic:blipFill>
                    <a:blip r:embed="rId11"/>
                    <a:stretch>
                      <a:fillRect/>
                    </a:stretch>
                  </pic:blipFill>
                  <pic:spPr>
                    <a:xfrm>
                      <a:off x="0" y="0"/>
                      <a:ext cx="5575338" cy="836301"/>
                    </a:xfrm>
                    <a:prstGeom prst="rect">
                      <a:avLst/>
                    </a:prstGeom>
                  </pic:spPr>
                </pic:pic>
              </a:graphicData>
            </a:graphic>
          </wp:inline>
        </w:drawing>
      </w:r>
      <w:bookmarkEnd w:id="0"/>
      <w:bookmarkEnd w:id="1"/>
      <w:bookmarkEnd w:id="2"/>
      <w:bookmarkEnd w:id="3"/>
      <w:bookmarkEnd w:id="4"/>
    </w:p>
    <w:p w14:paraId="19CB7A90" w14:textId="77777777" w:rsidR="000A54A2" w:rsidRPr="00490BE5" w:rsidRDefault="000A54A2" w:rsidP="00DE2007">
      <w:pPr>
        <w:pBdr>
          <w:bottom w:val="single" w:sz="4" w:space="1" w:color="auto"/>
        </w:pBdr>
        <w:rPr>
          <w:bCs/>
        </w:rPr>
      </w:pPr>
      <w:bookmarkStart w:id="5" w:name="_Toc230694793"/>
      <w:bookmarkStart w:id="6" w:name="_Toc230695010"/>
      <w:bookmarkStart w:id="7" w:name="_Toc230793185"/>
      <w:bookmarkStart w:id="8" w:name="_Toc231209227"/>
      <w:bookmarkStart w:id="9" w:name="_Toc231209348"/>
      <w:r w:rsidRPr="00490BE5">
        <w:rPr>
          <w:rStyle w:val="Heading2Char"/>
          <w:rFonts w:ascii="Arial" w:hAnsi="Arial" w:cs="Arial"/>
          <w:color w:val="500061"/>
          <w:sz w:val="24"/>
          <w:szCs w:val="24"/>
        </w:rPr>
        <w:t>Ph</w:t>
      </w:r>
      <w:bookmarkEnd w:id="5"/>
      <w:bookmarkEnd w:id="6"/>
      <w:bookmarkEnd w:id="7"/>
      <w:bookmarkEnd w:id="8"/>
      <w:bookmarkEnd w:id="9"/>
      <w:r w:rsidRPr="00490BE5">
        <w:t xml:space="preserve"> 1800 033 </w:t>
      </w:r>
      <w:proofErr w:type="gramStart"/>
      <w:r w:rsidRPr="00490BE5">
        <w:t>660  |</w:t>
      </w:r>
      <w:proofErr w:type="gramEnd"/>
      <w:r w:rsidRPr="00490BE5">
        <w:t xml:space="preserve">  </w:t>
      </w:r>
      <w:r w:rsidRPr="00490BE5">
        <w:rPr>
          <w:rStyle w:val="Heading2Char"/>
          <w:rFonts w:ascii="Arial" w:hAnsi="Arial" w:cs="Arial"/>
          <w:color w:val="500061"/>
          <w:sz w:val="24"/>
          <w:szCs w:val="24"/>
        </w:rPr>
        <w:t>E</w:t>
      </w:r>
      <w:r w:rsidRPr="00490BE5">
        <w:t xml:space="preserve"> </w:t>
      </w:r>
      <w:hyperlink r:id="rId12" w:history="1">
        <w:r w:rsidRPr="00490BE5">
          <w:rPr>
            <w:rStyle w:val="Hyperlink"/>
            <w:rFonts w:ascii="Arial" w:hAnsi="Arial"/>
          </w:rPr>
          <w:t>bca@bca.org.au</w:t>
        </w:r>
      </w:hyperlink>
      <w:r w:rsidRPr="00490BE5">
        <w:rPr>
          <w:rStyle w:val="Hyperlink"/>
          <w:rFonts w:ascii="Arial" w:hAnsi="Arial"/>
        </w:rPr>
        <w:t xml:space="preserve"> </w:t>
      </w:r>
      <w:r w:rsidRPr="00490BE5">
        <w:t xml:space="preserve"> |  </w:t>
      </w:r>
      <w:r w:rsidRPr="00490BE5">
        <w:rPr>
          <w:rStyle w:val="Heading2Char"/>
          <w:rFonts w:ascii="Arial" w:hAnsi="Arial" w:cs="Arial"/>
          <w:color w:val="500061"/>
          <w:sz w:val="24"/>
          <w:szCs w:val="24"/>
        </w:rPr>
        <w:t>W</w:t>
      </w:r>
      <w:r w:rsidRPr="00490BE5">
        <w:t xml:space="preserve"> </w:t>
      </w:r>
      <w:hyperlink r:id="rId13" w:tooltip="click to go to BCA website" w:history="1">
        <w:r w:rsidRPr="00490BE5">
          <w:rPr>
            <w:rStyle w:val="Hyperlink"/>
            <w:rFonts w:ascii="Arial" w:hAnsi="Arial"/>
          </w:rPr>
          <w:t>bca.org.au</w:t>
        </w:r>
      </w:hyperlink>
      <w:r w:rsidRPr="00490BE5">
        <w:rPr>
          <w:rStyle w:val="Hyperlink"/>
          <w:rFonts w:ascii="Arial" w:hAnsi="Arial"/>
        </w:rPr>
        <w:t xml:space="preserve"> </w:t>
      </w:r>
      <w:proofErr w:type="gramStart"/>
      <w:r w:rsidRPr="00490BE5">
        <w:rPr>
          <w:rStyle w:val="Hyperlink"/>
          <w:rFonts w:ascii="Arial" w:hAnsi="Arial"/>
        </w:rPr>
        <w:t xml:space="preserve">|  </w:t>
      </w:r>
      <w:r w:rsidRPr="00490BE5">
        <w:rPr>
          <w:rStyle w:val="Heading2Char"/>
          <w:rFonts w:ascii="Arial" w:hAnsi="Arial" w:cs="Arial"/>
          <w:color w:val="500061"/>
          <w:sz w:val="24"/>
          <w:szCs w:val="24"/>
        </w:rPr>
        <w:t>ABN</w:t>
      </w:r>
      <w:proofErr w:type="gramEnd"/>
      <w:r w:rsidRPr="00490BE5">
        <w:t xml:space="preserve"> 90 006 985 226</w:t>
      </w:r>
    </w:p>
    <w:p w14:paraId="11E2CB7A" w14:textId="77777777" w:rsidR="00DE2007" w:rsidRDefault="00DE2007" w:rsidP="00EE20FE">
      <w:pPr>
        <w:pStyle w:val="Heading1"/>
        <w:spacing w:line="360" w:lineRule="auto"/>
        <w:rPr>
          <w:rFonts w:ascii="Arial" w:hAnsi="Arial" w:cs="Arial"/>
          <w:b/>
          <w:bCs/>
        </w:rPr>
      </w:pPr>
      <w:bookmarkStart w:id="10" w:name="_Toc230695011"/>
      <w:bookmarkStart w:id="11" w:name="_Toc230793186"/>
      <w:bookmarkStart w:id="12" w:name="_Toc231209228"/>
      <w:bookmarkStart w:id="13" w:name="_Toc231209349"/>
    </w:p>
    <w:p w14:paraId="7093DED6" w14:textId="74B654DE" w:rsidR="00EE20FE" w:rsidRPr="00EE20FE" w:rsidRDefault="00EE20FE" w:rsidP="00EE20FE">
      <w:pPr>
        <w:pStyle w:val="Heading1"/>
        <w:spacing w:line="360" w:lineRule="auto"/>
        <w:rPr>
          <w:rFonts w:ascii="Arial" w:hAnsi="Arial" w:cs="Arial"/>
          <w:b/>
          <w:bCs/>
        </w:rPr>
      </w:pPr>
      <w:r>
        <w:rPr>
          <w:rFonts w:ascii="Arial" w:hAnsi="Arial" w:cs="Arial"/>
          <w:b/>
          <w:bCs/>
        </w:rPr>
        <w:t xml:space="preserve">Submission to Senate Inquiry: </w:t>
      </w:r>
      <w:r w:rsidRPr="00EE20FE">
        <w:rPr>
          <w:rFonts w:ascii="Arial" w:hAnsi="Arial" w:cs="Arial"/>
          <w:b/>
          <w:bCs/>
        </w:rPr>
        <w:t>National Disability Insurance Scheme Amendment (Securing the NDIS for Future Generations) Bill 2026</w:t>
      </w:r>
      <w:bookmarkEnd w:id="10"/>
      <w:bookmarkEnd w:id="11"/>
      <w:bookmarkEnd w:id="12"/>
      <w:bookmarkEnd w:id="13"/>
    </w:p>
    <w:p w14:paraId="7F796BF3" w14:textId="77777777" w:rsidR="00DE2007" w:rsidRDefault="00DE2007" w:rsidP="001E41EF">
      <w:pPr>
        <w:rPr>
          <w:rFonts w:ascii="Arial" w:hAnsi="Arial" w:cs="Arial"/>
          <w:sz w:val="28"/>
          <w:szCs w:val="28"/>
        </w:rPr>
      </w:pPr>
    </w:p>
    <w:p w14:paraId="374771ED" w14:textId="44A4C07E" w:rsidR="00EE20FE" w:rsidRPr="009514BD" w:rsidRDefault="00192181" w:rsidP="001E41EF">
      <w:pPr>
        <w:rPr>
          <w:rFonts w:ascii="Arial" w:hAnsi="Arial" w:cs="Arial"/>
          <w:sz w:val="28"/>
          <w:szCs w:val="28"/>
        </w:rPr>
      </w:pPr>
      <w:r>
        <w:rPr>
          <w:rFonts w:ascii="Arial" w:hAnsi="Arial" w:cs="Arial"/>
          <w:sz w:val="28"/>
          <w:szCs w:val="28"/>
        </w:rPr>
        <w:t>1 June</w:t>
      </w:r>
      <w:r w:rsidR="00BD709D" w:rsidRPr="009514BD">
        <w:rPr>
          <w:rFonts w:ascii="Arial" w:hAnsi="Arial" w:cs="Arial"/>
          <w:sz w:val="28"/>
          <w:szCs w:val="28"/>
        </w:rPr>
        <w:t xml:space="preserve"> 2026</w:t>
      </w:r>
    </w:p>
    <w:p w14:paraId="60201111" w14:textId="77777777" w:rsidR="00DE2007" w:rsidRDefault="00DE2007" w:rsidP="001E41EF">
      <w:pPr>
        <w:rPr>
          <w:rFonts w:ascii="Arial" w:hAnsi="Arial" w:cs="Arial"/>
          <w:sz w:val="28"/>
          <w:szCs w:val="28"/>
        </w:rPr>
      </w:pPr>
    </w:p>
    <w:p w14:paraId="1694D81A" w14:textId="702F42BC" w:rsidR="00BD709D" w:rsidRPr="009514BD" w:rsidRDefault="00BD709D" w:rsidP="001E41EF">
      <w:pPr>
        <w:rPr>
          <w:rFonts w:ascii="Arial" w:hAnsi="Arial" w:cs="Arial"/>
          <w:sz w:val="28"/>
          <w:szCs w:val="28"/>
        </w:rPr>
      </w:pPr>
      <w:r w:rsidRPr="009514BD">
        <w:rPr>
          <w:rFonts w:ascii="Arial" w:hAnsi="Arial" w:cs="Arial"/>
          <w:sz w:val="28"/>
          <w:szCs w:val="28"/>
        </w:rPr>
        <w:t xml:space="preserve">Lodged </w:t>
      </w:r>
      <w:r w:rsidR="009A103E" w:rsidRPr="009514BD">
        <w:rPr>
          <w:rFonts w:ascii="Arial" w:hAnsi="Arial" w:cs="Arial"/>
          <w:sz w:val="28"/>
          <w:szCs w:val="28"/>
        </w:rPr>
        <w:t>online</w:t>
      </w:r>
      <w:r w:rsidR="00550892" w:rsidRPr="009514BD">
        <w:rPr>
          <w:rFonts w:ascii="Arial" w:hAnsi="Arial" w:cs="Arial"/>
          <w:sz w:val="28"/>
          <w:szCs w:val="28"/>
        </w:rPr>
        <w:t xml:space="preserve">: </w:t>
      </w:r>
      <w:hyperlink r:id="rId14" w:history="1">
        <w:r w:rsidR="00550892" w:rsidRPr="009514BD">
          <w:rPr>
            <w:rStyle w:val="Hyperlink"/>
            <w:rFonts w:ascii="Arial" w:hAnsi="Arial" w:cs="Arial"/>
            <w:sz w:val="28"/>
            <w:szCs w:val="28"/>
          </w:rPr>
          <w:t>Lodge my submission – Parliament of Australia</w:t>
        </w:r>
      </w:hyperlink>
      <w:r w:rsidRPr="009514BD">
        <w:rPr>
          <w:rFonts w:ascii="Arial" w:hAnsi="Arial" w:cs="Arial"/>
          <w:sz w:val="28"/>
          <w:szCs w:val="28"/>
        </w:rPr>
        <w:t xml:space="preserve"> </w:t>
      </w:r>
    </w:p>
    <w:p w14:paraId="1257DA85" w14:textId="77777777" w:rsidR="00DE2007" w:rsidRDefault="00DE2007" w:rsidP="001E41EF">
      <w:pPr>
        <w:rPr>
          <w:rFonts w:ascii="Arial" w:hAnsi="Arial" w:cs="Arial"/>
          <w:sz w:val="28"/>
          <w:szCs w:val="28"/>
        </w:rPr>
      </w:pPr>
    </w:p>
    <w:p w14:paraId="1D859CCB" w14:textId="493BB33C" w:rsidR="00EE20FE" w:rsidRPr="009514BD" w:rsidRDefault="00C94497" w:rsidP="001E41EF">
      <w:pPr>
        <w:rPr>
          <w:rFonts w:ascii="Arial" w:hAnsi="Arial" w:cs="Arial"/>
          <w:sz w:val="28"/>
          <w:szCs w:val="28"/>
        </w:rPr>
      </w:pPr>
      <w:r w:rsidRPr="009514BD">
        <w:rPr>
          <w:rFonts w:ascii="Arial" w:hAnsi="Arial" w:cs="Arial"/>
          <w:sz w:val="28"/>
          <w:szCs w:val="28"/>
        </w:rPr>
        <w:t>Author:</w:t>
      </w:r>
      <w:r w:rsidR="009514BD">
        <w:rPr>
          <w:rFonts w:ascii="Arial" w:hAnsi="Arial" w:cs="Arial"/>
          <w:sz w:val="28"/>
          <w:szCs w:val="28"/>
        </w:rPr>
        <w:t xml:space="preserve"> </w:t>
      </w:r>
      <w:r w:rsidR="00072B56" w:rsidRPr="009514BD">
        <w:rPr>
          <w:rFonts w:ascii="Arial" w:hAnsi="Arial" w:cs="Arial"/>
          <w:sz w:val="28"/>
          <w:szCs w:val="28"/>
        </w:rPr>
        <w:t>Melanie Chatfield</w:t>
      </w:r>
    </w:p>
    <w:p w14:paraId="2CA4DC3D" w14:textId="4910B2C7" w:rsidR="00986A9A" w:rsidRPr="009514BD" w:rsidRDefault="00986A9A" w:rsidP="001E41EF">
      <w:pPr>
        <w:rPr>
          <w:rFonts w:ascii="Arial" w:hAnsi="Arial" w:cs="Arial"/>
          <w:sz w:val="28"/>
          <w:szCs w:val="28"/>
        </w:rPr>
      </w:pPr>
    </w:p>
    <w:p w14:paraId="3BB21007" w14:textId="354D74AF" w:rsidR="00072B56" w:rsidRDefault="00072B56">
      <w:pPr>
        <w:rPr>
          <w:rFonts w:ascii="Arial" w:hAnsi="Arial" w:cs="Arial"/>
          <w:b/>
          <w:bCs/>
        </w:rPr>
      </w:pPr>
      <w:r>
        <w:rPr>
          <w:rFonts w:ascii="Arial" w:hAnsi="Arial" w:cs="Arial"/>
          <w:b/>
          <w:bCs/>
        </w:rPr>
        <w:br w:type="page"/>
      </w:r>
    </w:p>
    <w:sdt>
      <w:sdtPr>
        <w:rPr>
          <w:rFonts w:asciiTheme="minorHAnsi" w:eastAsiaTheme="minorHAnsi" w:hAnsiTheme="minorHAnsi" w:cstheme="minorBidi"/>
          <w:color w:val="auto"/>
          <w:kern w:val="2"/>
          <w:sz w:val="24"/>
          <w:szCs w:val="24"/>
          <w:lang w:val="en-AU"/>
          <w14:ligatures w14:val="standardContextual"/>
        </w:rPr>
        <w:id w:val="-1239711922"/>
        <w:docPartObj>
          <w:docPartGallery w:val="Table of Contents"/>
          <w:docPartUnique/>
        </w:docPartObj>
      </w:sdtPr>
      <w:sdtEndPr>
        <w:rPr>
          <w:b/>
          <w:bCs/>
          <w:noProof/>
        </w:rPr>
      </w:sdtEndPr>
      <w:sdtContent>
        <w:p w14:paraId="03F33771" w14:textId="77777777" w:rsidR="00AA5CB4" w:rsidRDefault="00912985" w:rsidP="00D4355D">
          <w:pPr>
            <w:pStyle w:val="TOCHeading"/>
            <w:rPr>
              <w:noProof/>
            </w:rPr>
          </w:pPr>
          <w:r>
            <w:t>Contents</w:t>
          </w:r>
          <w:r>
            <w:fldChar w:fldCharType="begin"/>
          </w:r>
          <w:r>
            <w:instrText xml:space="preserve"> TOC \o "1-3" \h \z \u </w:instrText>
          </w:r>
          <w:r>
            <w:fldChar w:fldCharType="separate"/>
          </w:r>
        </w:p>
        <w:p w14:paraId="30C78DBF" w14:textId="27629E5B" w:rsidR="00AA5CB4" w:rsidRDefault="00AA5CB4">
          <w:pPr>
            <w:pStyle w:val="TOC2"/>
            <w:tabs>
              <w:tab w:val="right" w:leader="dot" w:pos="9016"/>
            </w:tabs>
            <w:rPr>
              <w:rFonts w:eastAsiaTheme="minorEastAsia"/>
              <w:noProof/>
              <w:lang w:eastAsia="en-AU"/>
            </w:rPr>
          </w:pPr>
          <w:hyperlink w:anchor="_Toc231209350" w:history="1">
            <w:r w:rsidRPr="002F210D">
              <w:rPr>
                <w:rStyle w:val="Hyperlink"/>
                <w:rFonts w:ascii="Arial" w:hAnsi="Arial" w:cs="Arial"/>
                <w:noProof/>
              </w:rPr>
              <w:t>1. Executive Summary</w:t>
            </w:r>
            <w:r>
              <w:rPr>
                <w:noProof/>
                <w:webHidden/>
              </w:rPr>
              <w:tab/>
            </w:r>
            <w:r>
              <w:rPr>
                <w:noProof/>
                <w:webHidden/>
              </w:rPr>
              <w:fldChar w:fldCharType="begin"/>
            </w:r>
            <w:r>
              <w:rPr>
                <w:noProof/>
                <w:webHidden/>
              </w:rPr>
              <w:instrText xml:space="preserve"> PAGEREF _Toc231209350 \h </w:instrText>
            </w:r>
            <w:r>
              <w:rPr>
                <w:noProof/>
                <w:webHidden/>
              </w:rPr>
            </w:r>
            <w:r>
              <w:rPr>
                <w:noProof/>
                <w:webHidden/>
              </w:rPr>
              <w:fldChar w:fldCharType="separate"/>
            </w:r>
            <w:r w:rsidR="00B41324">
              <w:rPr>
                <w:noProof/>
                <w:webHidden/>
              </w:rPr>
              <w:t>4</w:t>
            </w:r>
            <w:r>
              <w:rPr>
                <w:noProof/>
                <w:webHidden/>
              </w:rPr>
              <w:fldChar w:fldCharType="end"/>
            </w:r>
          </w:hyperlink>
        </w:p>
        <w:p w14:paraId="72959CDE" w14:textId="7E926B80" w:rsidR="00AA5CB4" w:rsidRDefault="00AA5CB4">
          <w:pPr>
            <w:pStyle w:val="TOC2"/>
            <w:tabs>
              <w:tab w:val="right" w:leader="dot" w:pos="9016"/>
            </w:tabs>
            <w:rPr>
              <w:rFonts w:eastAsiaTheme="minorEastAsia"/>
              <w:noProof/>
              <w:lang w:eastAsia="en-AU"/>
            </w:rPr>
          </w:pPr>
          <w:hyperlink w:anchor="_Toc231209351" w:history="1">
            <w:r w:rsidRPr="002F210D">
              <w:rPr>
                <w:rStyle w:val="Hyperlink"/>
                <w:rFonts w:ascii="Arial" w:hAnsi="Arial" w:cs="Arial"/>
                <w:noProof/>
              </w:rPr>
              <w:t>2. About Blind Citizens Australia</w:t>
            </w:r>
            <w:r>
              <w:rPr>
                <w:noProof/>
                <w:webHidden/>
              </w:rPr>
              <w:tab/>
            </w:r>
            <w:r>
              <w:rPr>
                <w:noProof/>
                <w:webHidden/>
              </w:rPr>
              <w:fldChar w:fldCharType="begin"/>
            </w:r>
            <w:r>
              <w:rPr>
                <w:noProof/>
                <w:webHidden/>
              </w:rPr>
              <w:instrText xml:space="preserve"> PAGEREF _Toc231209351 \h </w:instrText>
            </w:r>
            <w:r>
              <w:rPr>
                <w:noProof/>
                <w:webHidden/>
              </w:rPr>
            </w:r>
            <w:r>
              <w:rPr>
                <w:noProof/>
                <w:webHidden/>
              </w:rPr>
              <w:fldChar w:fldCharType="separate"/>
            </w:r>
            <w:r w:rsidR="00B41324">
              <w:rPr>
                <w:noProof/>
                <w:webHidden/>
              </w:rPr>
              <w:t>5</w:t>
            </w:r>
            <w:r>
              <w:rPr>
                <w:noProof/>
                <w:webHidden/>
              </w:rPr>
              <w:fldChar w:fldCharType="end"/>
            </w:r>
          </w:hyperlink>
        </w:p>
        <w:p w14:paraId="70AFF199" w14:textId="0AD84D32" w:rsidR="00AA5CB4" w:rsidRDefault="00AA5CB4">
          <w:pPr>
            <w:pStyle w:val="TOC2"/>
            <w:tabs>
              <w:tab w:val="right" w:leader="dot" w:pos="9016"/>
            </w:tabs>
            <w:rPr>
              <w:rFonts w:eastAsiaTheme="minorEastAsia"/>
              <w:noProof/>
              <w:lang w:eastAsia="en-AU"/>
            </w:rPr>
          </w:pPr>
          <w:hyperlink w:anchor="_Toc231209352" w:history="1">
            <w:r w:rsidRPr="002F210D">
              <w:rPr>
                <w:rStyle w:val="Hyperlink"/>
                <w:noProof/>
              </w:rPr>
              <w:t>3. Response to proposed National Disability Insurance Scheme Amendment (Securing the NDIS for Future Generations) Bill 2026</w:t>
            </w:r>
            <w:r>
              <w:rPr>
                <w:noProof/>
                <w:webHidden/>
              </w:rPr>
              <w:tab/>
            </w:r>
            <w:r>
              <w:rPr>
                <w:noProof/>
                <w:webHidden/>
              </w:rPr>
              <w:fldChar w:fldCharType="begin"/>
            </w:r>
            <w:r>
              <w:rPr>
                <w:noProof/>
                <w:webHidden/>
              </w:rPr>
              <w:instrText xml:space="preserve"> PAGEREF _Toc231209352 \h </w:instrText>
            </w:r>
            <w:r>
              <w:rPr>
                <w:noProof/>
                <w:webHidden/>
              </w:rPr>
            </w:r>
            <w:r>
              <w:rPr>
                <w:noProof/>
                <w:webHidden/>
              </w:rPr>
              <w:fldChar w:fldCharType="separate"/>
            </w:r>
            <w:r w:rsidR="00B41324">
              <w:rPr>
                <w:noProof/>
                <w:webHidden/>
              </w:rPr>
              <w:t>6</w:t>
            </w:r>
            <w:r>
              <w:rPr>
                <w:noProof/>
                <w:webHidden/>
              </w:rPr>
              <w:fldChar w:fldCharType="end"/>
            </w:r>
          </w:hyperlink>
        </w:p>
        <w:p w14:paraId="28D46BA7" w14:textId="16A59BD1" w:rsidR="00AA5CB4" w:rsidRDefault="00AA5CB4">
          <w:pPr>
            <w:pStyle w:val="TOC2"/>
            <w:tabs>
              <w:tab w:val="right" w:leader="dot" w:pos="9016"/>
            </w:tabs>
            <w:rPr>
              <w:rFonts w:eastAsiaTheme="minorEastAsia"/>
              <w:noProof/>
              <w:lang w:eastAsia="en-AU"/>
            </w:rPr>
          </w:pPr>
          <w:hyperlink w:anchor="_Toc231209353" w:history="1">
            <w:r w:rsidRPr="002F210D">
              <w:rPr>
                <w:rStyle w:val="Hyperlink"/>
                <w:noProof/>
              </w:rPr>
              <w:t>Schedule 1 – Access and Planning Measures</w:t>
            </w:r>
            <w:r>
              <w:rPr>
                <w:noProof/>
                <w:webHidden/>
              </w:rPr>
              <w:tab/>
            </w:r>
            <w:r>
              <w:rPr>
                <w:noProof/>
                <w:webHidden/>
              </w:rPr>
              <w:fldChar w:fldCharType="begin"/>
            </w:r>
            <w:r>
              <w:rPr>
                <w:noProof/>
                <w:webHidden/>
              </w:rPr>
              <w:instrText xml:space="preserve"> PAGEREF _Toc231209353 \h </w:instrText>
            </w:r>
            <w:r>
              <w:rPr>
                <w:noProof/>
                <w:webHidden/>
              </w:rPr>
            </w:r>
            <w:r>
              <w:rPr>
                <w:noProof/>
                <w:webHidden/>
              </w:rPr>
              <w:fldChar w:fldCharType="separate"/>
            </w:r>
            <w:r w:rsidR="00B41324">
              <w:rPr>
                <w:noProof/>
                <w:webHidden/>
              </w:rPr>
              <w:t>6</w:t>
            </w:r>
            <w:r>
              <w:rPr>
                <w:noProof/>
                <w:webHidden/>
              </w:rPr>
              <w:fldChar w:fldCharType="end"/>
            </w:r>
          </w:hyperlink>
        </w:p>
        <w:p w14:paraId="78329CE3" w14:textId="33B26091" w:rsidR="00AA5CB4" w:rsidRDefault="00AA5CB4">
          <w:pPr>
            <w:pStyle w:val="TOC2"/>
            <w:tabs>
              <w:tab w:val="right" w:leader="dot" w:pos="9016"/>
            </w:tabs>
            <w:rPr>
              <w:rFonts w:eastAsiaTheme="minorEastAsia"/>
              <w:noProof/>
              <w:lang w:eastAsia="en-AU"/>
            </w:rPr>
          </w:pPr>
          <w:hyperlink w:anchor="_Toc231209354" w:history="1">
            <w:r w:rsidRPr="002F210D">
              <w:rPr>
                <w:rStyle w:val="Hyperlink"/>
                <w:noProof/>
              </w:rPr>
              <w:t>Part 1 - Defining functional capacity</w:t>
            </w:r>
            <w:r>
              <w:rPr>
                <w:noProof/>
                <w:webHidden/>
              </w:rPr>
              <w:tab/>
            </w:r>
            <w:r>
              <w:rPr>
                <w:noProof/>
                <w:webHidden/>
              </w:rPr>
              <w:fldChar w:fldCharType="begin"/>
            </w:r>
            <w:r>
              <w:rPr>
                <w:noProof/>
                <w:webHidden/>
              </w:rPr>
              <w:instrText xml:space="preserve"> PAGEREF _Toc231209354 \h </w:instrText>
            </w:r>
            <w:r>
              <w:rPr>
                <w:noProof/>
                <w:webHidden/>
              </w:rPr>
            </w:r>
            <w:r>
              <w:rPr>
                <w:noProof/>
                <w:webHidden/>
              </w:rPr>
              <w:fldChar w:fldCharType="separate"/>
            </w:r>
            <w:r w:rsidR="00B41324">
              <w:rPr>
                <w:noProof/>
                <w:webHidden/>
              </w:rPr>
              <w:t>6</w:t>
            </w:r>
            <w:r>
              <w:rPr>
                <w:noProof/>
                <w:webHidden/>
              </w:rPr>
              <w:fldChar w:fldCharType="end"/>
            </w:r>
          </w:hyperlink>
        </w:p>
        <w:p w14:paraId="48B9ABA6" w14:textId="7C2650B5" w:rsidR="00AA5CB4" w:rsidRDefault="00AA5CB4">
          <w:pPr>
            <w:pStyle w:val="TOC3"/>
            <w:tabs>
              <w:tab w:val="right" w:leader="dot" w:pos="9016"/>
            </w:tabs>
            <w:rPr>
              <w:rFonts w:eastAsiaTheme="minorEastAsia"/>
              <w:noProof/>
              <w:lang w:eastAsia="en-AU"/>
            </w:rPr>
          </w:pPr>
          <w:hyperlink w:anchor="_Toc231209355" w:history="1">
            <w:r w:rsidRPr="002F210D">
              <w:rPr>
                <w:rStyle w:val="Hyperlink"/>
                <w:noProof/>
              </w:rPr>
              <w:t>Recommendation 1: Ensure any functional capacity framework used for NDIS access or planning is co-designed with the blindness and vision impaired sector, reflects the real-world functional impact of blindness and vision impairment, and is conducted by appropriately qualified professionals with expertise in blindness-specific supports</w:t>
            </w:r>
            <w:r>
              <w:rPr>
                <w:noProof/>
                <w:webHidden/>
              </w:rPr>
              <w:tab/>
            </w:r>
            <w:r>
              <w:rPr>
                <w:noProof/>
                <w:webHidden/>
              </w:rPr>
              <w:fldChar w:fldCharType="begin"/>
            </w:r>
            <w:r>
              <w:rPr>
                <w:noProof/>
                <w:webHidden/>
              </w:rPr>
              <w:instrText xml:space="preserve"> PAGEREF _Toc231209355 \h </w:instrText>
            </w:r>
            <w:r>
              <w:rPr>
                <w:noProof/>
                <w:webHidden/>
              </w:rPr>
            </w:r>
            <w:r>
              <w:rPr>
                <w:noProof/>
                <w:webHidden/>
              </w:rPr>
              <w:fldChar w:fldCharType="separate"/>
            </w:r>
            <w:r w:rsidR="00B41324">
              <w:rPr>
                <w:noProof/>
                <w:webHidden/>
              </w:rPr>
              <w:t>6</w:t>
            </w:r>
            <w:r>
              <w:rPr>
                <w:noProof/>
                <w:webHidden/>
              </w:rPr>
              <w:fldChar w:fldCharType="end"/>
            </w:r>
          </w:hyperlink>
        </w:p>
        <w:p w14:paraId="15FACA76" w14:textId="5D2DE23C" w:rsidR="00AA5CB4" w:rsidRDefault="00AA5CB4">
          <w:pPr>
            <w:pStyle w:val="TOC2"/>
            <w:tabs>
              <w:tab w:val="right" w:leader="dot" w:pos="9016"/>
            </w:tabs>
            <w:rPr>
              <w:rFonts w:eastAsiaTheme="minorEastAsia"/>
              <w:noProof/>
              <w:lang w:eastAsia="en-AU"/>
            </w:rPr>
          </w:pPr>
          <w:hyperlink w:anchor="_Toc231209356" w:history="1">
            <w:r w:rsidRPr="002F210D">
              <w:rPr>
                <w:rStyle w:val="Hyperlink"/>
                <w:noProof/>
              </w:rPr>
              <w:t>Part 3 - Strengthen link between an impairment and need for support</w:t>
            </w:r>
            <w:r>
              <w:rPr>
                <w:noProof/>
                <w:webHidden/>
              </w:rPr>
              <w:tab/>
            </w:r>
            <w:r>
              <w:rPr>
                <w:noProof/>
                <w:webHidden/>
              </w:rPr>
              <w:fldChar w:fldCharType="begin"/>
            </w:r>
            <w:r>
              <w:rPr>
                <w:noProof/>
                <w:webHidden/>
              </w:rPr>
              <w:instrText xml:space="preserve"> PAGEREF _Toc231209356 \h </w:instrText>
            </w:r>
            <w:r>
              <w:rPr>
                <w:noProof/>
                <w:webHidden/>
              </w:rPr>
            </w:r>
            <w:r>
              <w:rPr>
                <w:noProof/>
                <w:webHidden/>
              </w:rPr>
              <w:fldChar w:fldCharType="separate"/>
            </w:r>
            <w:r w:rsidR="00B41324">
              <w:rPr>
                <w:noProof/>
                <w:webHidden/>
              </w:rPr>
              <w:t>8</w:t>
            </w:r>
            <w:r>
              <w:rPr>
                <w:noProof/>
                <w:webHidden/>
              </w:rPr>
              <w:fldChar w:fldCharType="end"/>
            </w:r>
          </w:hyperlink>
        </w:p>
        <w:p w14:paraId="5135CB76" w14:textId="58575AF2" w:rsidR="00AA5CB4" w:rsidRDefault="00AA5CB4">
          <w:pPr>
            <w:pStyle w:val="TOC3"/>
            <w:tabs>
              <w:tab w:val="right" w:leader="dot" w:pos="9016"/>
            </w:tabs>
            <w:rPr>
              <w:rFonts w:eastAsiaTheme="minorEastAsia"/>
              <w:noProof/>
              <w:lang w:eastAsia="en-AU"/>
            </w:rPr>
          </w:pPr>
          <w:hyperlink w:anchor="_Toc231209357" w:history="1">
            <w:r w:rsidRPr="002F210D">
              <w:rPr>
                <w:rStyle w:val="Hyperlink"/>
                <w:noProof/>
              </w:rPr>
              <w:t xml:space="preserve">Recommendation 2: Ensure new access tests and requirements related to appropriate treatment and functional capacity </w:t>
            </w:r>
            <w:r w:rsidRPr="002F210D">
              <w:rPr>
                <w:rStyle w:val="Hyperlink"/>
                <w:rFonts w:ascii="Arial" w:hAnsi="Arial" w:cs="Arial"/>
                <w:noProof/>
              </w:rPr>
              <w:t>account for the complex and cumulative nature of disability experienced by people who are blind or vision impaired.</w:t>
            </w:r>
            <w:r>
              <w:rPr>
                <w:noProof/>
                <w:webHidden/>
              </w:rPr>
              <w:tab/>
            </w:r>
            <w:r>
              <w:rPr>
                <w:noProof/>
                <w:webHidden/>
              </w:rPr>
              <w:fldChar w:fldCharType="begin"/>
            </w:r>
            <w:r>
              <w:rPr>
                <w:noProof/>
                <w:webHidden/>
              </w:rPr>
              <w:instrText xml:space="preserve"> PAGEREF _Toc231209357 \h </w:instrText>
            </w:r>
            <w:r>
              <w:rPr>
                <w:noProof/>
                <w:webHidden/>
              </w:rPr>
            </w:r>
            <w:r>
              <w:rPr>
                <w:noProof/>
                <w:webHidden/>
              </w:rPr>
              <w:fldChar w:fldCharType="separate"/>
            </w:r>
            <w:r w:rsidR="00B41324">
              <w:rPr>
                <w:noProof/>
                <w:webHidden/>
              </w:rPr>
              <w:t>8</w:t>
            </w:r>
            <w:r>
              <w:rPr>
                <w:noProof/>
                <w:webHidden/>
              </w:rPr>
              <w:fldChar w:fldCharType="end"/>
            </w:r>
          </w:hyperlink>
        </w:p>
        <w:p w14:paraId="17CB495B" w14:textId="45DB5659" w:rsidR="00AA5CB4" w:rsidRDefault="00AA5CB4">
          <w:pPr>
            <w:pStyle w:val="TOC2"/>
            <w:tabs>
              <w:tab w:val="right" w:leader="dot" w:pos="9016"/>
            </w:tabs>
            <w:rPr>
              <w:rFonts w:eastAsiaTheme="minorEastAsia"/>
              <w:noProof/>
              <w:lang w:eastAsia="en-AU"/>
            </w:rPr>
          </w:pPr>
          <w:hyperlink w:anchor="_Toc231209358" w:history="1">
            <w:r w:rsidRPr="002F210D">
              <w:rPr>
                <w:rStyle w:val="Hyperlink"/>
                <w:noProof/>
              </w:rPr>
              <w:t>Part 4 - Support determinations</w:t>
            </w:r>
            <w:r>
              <w:rPr>
                <w:noProof/>
                <w:webHidden/>
              </w:rPr>
              <w:tab/>
            </w:r>
            <w:r>
              <w:rPr>
                <w:noProof/>
                <w:webHidden/>
              </w:rPr>
              <w:fldChar w:fldCharType="begin"/>
            </w:r>
            <w:r>
              <w:rPr>
                <w:noProof/>
                <w:webHidden/>
              </w:rPr>
              <w:instrText xml:space="preserve"> PAGEREF _Toc231209358 \h </w:instrText>
            </w:r>
            <w:r>
              <w:rPr>
                <w:noProof/>
                <w:webHidden/>
              </w:rPr>
            </w:r>
            <w:r>
              <w:rPr>
                <w:noProof/>
                <w:webHidden/>
              </w:rPr>
              <w:fldChar w:fldCharType="separate"/>
            </w:r>
            <w:r w:rsidR="00B41324">
              <w:rPr>
                <w:noProof/>
                <w:webHidden/>
              </w:rPr>
              <w:t>10</w:t>
            </w:r>
            <w:r>
              <w:rPr>
                <w:noProof/>
                <w:webHidden/>
              </w:rPr>
              <w:fldChar w:fldCharType="end"/>
            </w:r>
          </w:hyperlink>
        </w:p>
        <w:p w14:paraId="6CC9F994" w14:textId="462999A7" w:rsidR="00AA5CB4" w:rsidRDefault="00AA5CB4">
          <w:pPr>
            <w:pStyle w:val="TOC3"/>
            <w:tabs>
              <w:tab w:val="right" w:leader="dot" w:pos="9016"/>
            </w:tabs>
            <w:rPr>
              <w:rFonts w:eastAsiaTheme="minorEastAsia"/>
              <w:noProof/>
              <w:lang w:eastAsia="en-AU"/>
            </w:rPr>
          </w:pPr>
          <w:hyperlink w:anchor="_Toc231209359" w:history="1">
            <w:r w:rsidRPr="002F210D">
              <w:rPr>
                <w:rStyle w:val="Hyperlink"/>
                <w:noProof/>
              </w:rPr>
              <w:t>Recommendation 3: Reject blanket reductions to NDIS participant plans and ensure any funding or eligibility reforms are subject to strong legislative safeguards, independent disability-specific impact assessment and review rights.</w:t>
            </w:r>
            <w:r>
              <w:rPr>
                <w:noProof/>
                <w:webHidden/>
              </w:rPr>
              <w:tab/>
            </w:r>
            <w:r>
              <w:rPr>
                <w:noProof/>
                <w:webHidden/>
              </w:rPr>
              <w:fldChar w:fldCharType="begin"/>
            </w:r>
            <w:r>
              <w:rPr>
                <w:noProof/>
                <w:webHidden/>
              </w:rPr>
              <w:instrText xml:space="preserve"> PAGEREF _Toc231209359 \h </w:instrText>
            </w:r>
            <w:r>
              <w:rPr>
                <w:noProof/>
                <w:webHidden/>
              </w:rPr>
            </w:r>
            <w:r>
              <w:rPr>
                <w:noProof/>
                <w:webHidden/>
              </w:rPr>
              <w:fldChar w:fldCharType="separate"/>
            </w:r>
            <w:r w:rsidR="00B41324">
              <w:rPr>
                <w:noProof/>
                <w:webHidden/>
              </w:rPr>
              <w:t>10</w:t>
            </w:r>
            <w:r>
              <w:rPr>
                <w:noProof/>
                <w:webHidden/>
              </w:rPr>
              <w:fldChar w:fldCharType="end"/>
            </w:r>
          </w:hyperlink>
        </w:p>
        <w:p w14:paraId="1B789496" w14:textId="0856C9B5" w:rsidR="00AA5CB4" w:rsidRDefault="00AA5CB4">
          <w:pPr>
            <w:pStyle w:val="TOC3"/>
            <w:tabs>
              <w:tab w:val="right" w:leader="dot" w:pos="9016"/>
            </w:tabs>
            <w:rPr>
              <w:rFonts w:eastAsiaTheme="minorEastAsia"/>
              <w:noProof/>
              <w:lang w:eastAsia="en-AU"/>
            </w:rPr>
          </w:pPr>
          <w:hyperlink w:anchor="_Toc231209360" w:history="1">
            <w:r w:rsidRPr="002F210D">
              <w:rPr>
                <w:rStyle w:val="Hyperlink"/>
                <w:noProof/>
              </w:rPr>
              <w:t>Recommendation 4: Recognise that NDIS supports for people who are blind or vision impaired - including social, civic and community participation supports - are essential to health and safety and should not be replaced by increased reliance on informal supports or mainstream systems.</w:t>
            </w:r>
            <w:r>
              <w:rPr>
                <w:noProof/>
                <w:webHidden/>
              </w:rPr>
              <w:tab/>
            </w:r>
            <w:r>
              <w:rPr>
                <w:noProof/>
                <w:webHidden/>
              </w:rPr>
              <w:fldChar w:fldCharType="begin"/>
            </w:r>
            <w:r>
              <w:rPr>
                <w:noProof/>
                <w:webHidden/>
              </w:rPr>
              <w:instrText xml:space="preserve"> PAGEREF _Toc231209360 \h </w:instrText>
            </w:r>
            <w:r>
              <w:rPr>
                <w:noProof/>
                <w:webHidden/>
              </w:rPr>
            </w:r>
            <w:r>
              <w:rPr>
                <w:noProof/>
                <w:webHidden/>
              </w:rPr>
              <w:fldChar w:fldCharType="separate"/>
            </w:r>
            <w:r w:rsidR="00B41324">
              <w:rPr>
                <w:noProof/>
                <w:webHidden/>
              </w:rPr>
              <w:t>10</w:t>
            </w:r>
            <w:r>
              <w:rPr>
                <w:noProof/>
                <w:webHidden/>
              </w:rPr>
              <w:fldChar w:fldCharType="end"/>
            </w:r>
          </w:hyperlink>
        </w:p>
        <w:p w14:paraId="7BE8EEAB" w14:textId="77E3BB8B" w:rsidR="00AA5CB4" w:rsidRDefault="00AA5CB4">
          <w:pPr>
            <w:pStyle w:val="TOC3"/>
            <w:tabs>
              <w:tab w:val="right" w:leader="dot" w:pos="9016"/>
            </w:tabs>
            <w:rPr>
              <w:rFonts w:eastAsiaTheme="minorEastAsia"/>
              <w:noProof/>
              <w:lang w:eastAsia="en-AU"/>
            </w:rPr>
          </w:pPr>
          <w:hyperlink w:anchor="_Toc231209361" w:history="1">
            <w:r w:rsidRPr="002F210D">
              <w:rPr>
                <w:rStyle w:val="Hyperlink"/>
                <w:noProof/>
              </w:rPr>
              <w:t>Recommendation 5: Prioritise reform to NDIA administrative efficiency before reducing NDIS participant supports</w:t>
            </w:r>
            <w:r>
              <w:rPr>
                <w:noProof/>
                <w:webHidden/>
              </w:rPr>
              <w:tab/>
            </w:r>
            <w:r>
              <w:rPr>
                <w:noProof/>
                <w:webHidden/>
              </w:rPr>
              <w:fldChar w:fldCharType="begin"/>
            </w:r>
            <w:r>
              <w:rPr>
                <w:noProof/>
                <w:webHidden/>
              </w:rPr>
              <w:instrText xml:space="preserve"> PAGEREF _Toc231209361 \h </w:instrText>
            </w:r>
            <w:r>
              <w:rPr>
                <w:noProof/>
                <w:webHidden/>
              </w:rPr>
            </w:r>
            <w:r>
              <w:rPr>
                <w:noProof/>
                <w:webHidden/>
              </w:rPr>
              <w:fldChar w:fldCharType="separate"/>
            </w:r>
            <w:r w:rsidR="00B41324">
              <w:rPr>
                <w:noProof/>
                <w:webHidden/>
              </w:rPr>
              <w:t>13</w:t>
            </w:r>
            <w:r>
              <w:rPr>
                <w:noProof/>
                <w:webHidden/>
              </w:rPr>
              <w:fldChar w:fldCharType="end"/>
            </w:r>
          </w:hyperlink>
        </w:p>
        <w:p w14:paraId="32190E75" w14:textId="40260579" w:rsidR="00AA5CB4" w:rsidRDefault="00AA5CB4">
          <w:pPr>
            <w:pStyle w:val="TOC3"/>
            <w:tabs>
              <w:tab w:val="right" w:leader="dot" w:pos="9016"/>
            </w:tabs>
            <w:rPr>
              <w:rFonts w:eastAsiaTheme="minorEastAsia"/>
              <w:noProof/>
              <w:lang w:eastAsia="en-AU"/>
            </w:rPr>
          </w:pPr>
          <w:hyperlink w:anchor="_Toc231209362" w:history="1">
            <w:r w:rsidRPr="002F210D">
              <w:rPr>
                <w:rStyle w:val="Hyperlink"/>
                <w:noProof/>
              </w:rPr>
              <w:t>Recommendation 6: Decisions affecting participant rights and entitlements must remain subject to strong safeguards, transparency and co-design with people with disability.</w:t>
            </w:r>
            <w:r>
              <w:rPr>
                <w:noProof/>
                <w:webHidden/>
              </w:rPr>
              <w:tab/>
            </w:r>
            <w:r>
              <w:rPr>
                <w:noProof/>
                <w:webHidden/>
              </w:rPr>
              <w:fldChar w:fldCharType="begin"/>
            </w:r>
            <w:r>
              <w:rPr>
                <w:noProof/>
                <w:webHidden/>
              </w:rPr>
              <w:instrText xml:space="preserve"> PAGEREF _Toc231209362 \h </w:instrText>
            </w:r>
            <w:r>
              <w:rPr>
                <w:noProof/>
                <w:webHidden/>
              </w:rPr>
            </w:r>
            <w:r>
              <w:rPr>
                <w:noProof/>
                <w:webHidden/>
              </w:rPr>
              <w:fldChar w:fldCharType="separate"/>
            </w:r>
            <w:r w:rsidR="00B41324">
              <w:rPr>
                <w:noProof/>
                <w:webHidden/>
              </w:rPr>
              <w:t>14</w:t>
            </w:r>
            <w:r>
              <w:rPr>
                <w:noProof/>
                <w:webHidden/>
              </w:rPr>
              <w:fldChar w:fldCharType="end"/>
            </w:r>
          </w:hyperlink>
        </w:p>
        <w:p w14:paraId="064C6D8F" w14:textId="376D9479" w:rsidR="00AA5CB4" w:rsidRDefault="00AA5CB4">
          <w:pPr>
            <w:pStyle w:val="TOC2"/>
            <w:tabs>
              <w:tab w:val="right" w:leader="dot" w:pos="9016"/>
            </w:tabs>
            <w:rPr>
              <w:rFonts w:eastAsiaTheme="minorEastAsia"/>
              <w:noProof/>
              <w:lang w:eastAsia="en-AU"/>
            </w:rPr>
          </w:pPr>
          <w:hyperlink w:anchor="_Toc231209363" w:history="1">
            <w:r w:rsidRPr="002F210D">
              <w:rPr>
                <w:rStyle w:val="Hyperlink"/>
                <w:noProof/>
              </w:rPr>
              <w:t>Part 7 - Plan suspensions</w:t>
            </w:r>
            <w:r>
              <w:rPr>
                <w:noProof/>
                <w:webHidden/>
              </w:rPr>
              <w:tab/>
            </w:r>
            <w:r>
              <w:rPr>
                <w:noProof/>
                <w:webHidden/>
              </w:rPr>
              <w:fldChar w:fldCharType="begin"/>
            </w:r>
            <w:r>
              <w:rPr>
                <w:noProof/>
                <w:webHidden/>
              </w:rPr>
              <w:instrText xml:space="preserve"> PAGEREF _Toc231209363 \h </w:instrText>
            </w:r>
            <w:r>
              <w:rPr>
                <w:noProof/>
                <w:webHidden/>
              </w:rPr>
            </w:r>
            <w:r>
              <w:rPr>
                <w:noProof/>
                <w:webHidden/>
              </w:rPr>
              <w:fldChar w:fldCharType="separate"/>
            </w:r>
            <w:r w:rsidR="00B41324">
              <w:rPr>
                <w:noProof/>
                <w:webHidden/>
              </w:rPr>
              <w:t>15</w:t>
            </w:r>
            <w:r>
              <w:rPr>
                <w:noProof/>
                <w:webHidden/>
              </w:rPr>
              <w:fldChar w:fldCharType="end"/>
            </w:r>
          </w:hyperlink>
        </w:p>
        <w:p w14:paraId="3D13AC44" w14:textId="66FE7B24" w:rsidR="00AA5CB4" w:rsidRDefault="00AA5CB4">
          <w:pPr>
            <w:pStyle w:val="TOC3"/>
            <w:tabs>
              <w:tab w:val="right" w:leader="dot" w:pos="9016"/>
            </w:tabs>
            <w:rPr>
              <w:rFonts w:eastAsiaTheme="minorEastAsia"/>
              <w:noProof/>
              <w:lang w:eastAsia="en-AU"/>
            </w:rPr>
          </w:pPr>
          <w:hyperlink w:anchor="_Toc231209364" w:history="1">
            <w:r w:rsidRPr="002F210D">
              <w:rPr>
                <w:rStyle w:val="Hyperlink"/>
                <w:noProof/>
              </w:rPr>
              <w:t>Recommendation 7: Prohibit suspension of participant plans for non-response unless there is evidence that the NDIA has provided information in the participant’s preferred accessible format, undertaken accessible follow-up processes, and confirmed that accessibility barriers are not preventing engagement.</w:t>
            </w:r>
            <w:r>
              <w:rPr>
                <w:noProof/>
                <w:webHidden/>
              </w:rPr>
              <w:tab/>
            </w:r>
            <w:r>
              <w:rPr>
                <w:noProof/>
                <w:webHidden/>
              </w:rPr>
              <w:fldChar w:fldCharType="begin"/>
            </w:r>
            <w:r>
              <w:rPr>
                <w:noProof/>
                <w:webHidden/>
              </w:rPr>
              <w:instrText xml:space="preserve"> PAGEREF _Toc231209364 \h </w:instrText>
            </w:r>
            <w:r>
              <w:rPr>
                <w:noProof/>
                <w:webHidden/>
              </w:rPr>
            </w:r>
            <w:r>
              <w:rPr>
                <w:noProof/>
                <w:webHidden/>
              </w:rPr>
              <w:fldChar w:fldCharType="separate"/>
            </w:r>
            <w:r w:rsidR="00B41324">
              <w:rPr>
                <w:noProof/>
                <w:webHidden/>
              </w:rPr>
              <w:t>15</w:t>
            </w:r>
            <w:r>
              <w:rPr>
                <w:noProof/>
                <w:webHidden/>
              </w:rPr>
              <w:fldChar w:fldCharType="end"/>
            </w:r>
          </w:hyperlink>
        </w:p>
        <w:p w14:paraId="36C471B7" w14:textId="2B79A3D7" w:rsidR="00AA5CB4" w:rsidRDefault="00AA5CB4">
          <w:pPr>
            <w:pStyle w:val="TOC2"/>
            <w:tabs>
              <w:tab w:val="right" w:leader="dot" w:pos="9016"/>
            </w:tabs>
            <w:rPr>
              <w:rFonts w:eastAsiaTheme="minorEastAsia"/>
              <w:noProof/>
              <w:lang w:eastAsia="en-AU"/>
            </w:rPr>
          </w:pPr>
          <w:hyperlink w:anchor="_Toc231209365" w:history="1">
            <w:r w:rsidRPr="002F210D">
              <w:rPr>
                <w:rStyle w:val="Hyperlink"/>
                <w:noProof/>
              </w:rPr>
              <w:t>Part 8 - Tightening meaning of permanence to reduce access where an impairment can be treated</w:t>
            </w:r>
            <w:r>
              <w:rPr>
                <w:noProof/>
                <w:webHidden/>
              </w:rPr>
              <w:tab/>
            </w:r>
            <w:r>
              <w:rPr>
                <w:noProof/>
                <w:webHidden/>
              </w:rPr>
              <w:fldChar w:fldCharType="begin"/>
            </w:r>
            <w:r>
              <w:rPr>
                <w:noProof/>
                <w:webHidden/>
              </w:rPr>
              <w:instrText xml:space="preserve"> PAGEREF _Toc231209365 \h </w:instrText>
            </w:r>
            <w:r>
              <w:rPr>
                <w:noProof/>
                <w:webHidden/>
              </w:rPr>
            </w:r>
            <w:r>
              <w:rPr>
                <w:noProof/>
                <w:webHidden/>
              </w:rPr>
              <w:fldChar w:fldCharType="separate"/>
            </w:r>
            <w:r w:rsidR="00B41324">
              <w:rPr>
                <w:noProof/>
                <w:webHidden/>
              </w:rPr>
              <w:t>16</w:t>
            </w:r>
            <w:r>
              <w:rPr>
                <w:noProof/>
                <w:webHidden/>
              </w:rPr>
              <w:fldChar w:fldCharType="end"/>
            </w:r>
          </w:hyperlink>
        </w:p>
        <w:p w14:paraId="294B381F" w14:textId="32F4D6E1" w:rsidR="00AA5CB4" w:rsidRDefault="00AA5CB4">
          <w:pPr>
            <w:pStyle w:val="TOC3"/>
            <w:tabs>
              <w:tab w:val="right" w:leader="dot" w:pos="9016"/>
            </w:tabs>
            <w:rPr>
              <w:rFonts w:eastAsiaTheme="minorEastAsia"/>
              <w:noProof/>
              <w:lang w:eastAsia="en-AU"/>
            </w:rPr>
          </w:pPr>
          <w:hyperlink w:anchor="_Toc231209366" w:history="1">
            <w:r w:rsidRPr="002F210D">
              <w:rPr>
                <w:rStyle w:val="Hyperlink"/>
                <w:noProof/>
              </w:rPr>
              <w:t>Recommendation 8: Expressly preserve specialist-certified access for bilateral permanent vision loss</w:t>
            </w:r>
            <w:r>
              <w:rPr>
                <w:noProof/>
                <w:webHidden/>
              </w:rPr>
              <w:tab/>
            </w:r>
            <w:r>
              <w:rPr>
                <w:noProof/>
                <w:webHidden/>
              </w:rPr>
              <w:fldChar w:fldCharType="begin"/>
            </w:r>
            <w:r>
              <w:rPr>
                <w:noProof/>
                <w:webHidden/>
              </w:rPr>
              <w:instrText xml:space="preserve"> PAGEREF _Toc231209366 \h </w:instrText>
            </w:r>
            <w:r>
              <w:rPr>
                <w:noProof/>
                <w:webHidden/>
              </w:rPr>
            </w:r>
            <w:r>
              <w:rPr>
                <w:noProof/>
                <w:webHidden/>
              </w:rPr>
              <w:fldChar w:fldCharType="separate"/>
            </w:r>
            <w:r w:rsidR="00B41324">
              <w:rPr>
                <w:noProof/>
                <w:webHidden/>
              </w:rPr>
              <w:t>16</w:t>
            </w:r>
            <w:r>
              <w:rPr>
                <w:noProof/>
                <w:webHidden/>
              </w:rPr>
              <w:fldChar w:fldCharType="end"/>
            </w:r>
          </w:hyperlink>
        </w:p>
        <w:p w14:paraId="45B4D168" w14:textId="5060CE5F" w:rsidR="00AA5CB4" w:rsidRDefault="00AA5CB4">
          <w:pPr>
            <w:pStyle w:val="TOC3"/>
            <w:tabs>
              <w:tab w:val="right" w:leader="dot" w:pos="9016"/>
            </w:tabs>
            <w:rPr>
              <w:rFonts w:eastAsiaTheme="minorEastAsia"/>
              <w:noProof/>
              <w:lang w:eastAsia="en-AU"/>
            </w:rPr>
          </w:pPr>
          <w:hyperlink w:anchor="_Toc231209367" w:history="1">
            <w:r w:rsidRPr="002F210D">
              <w:rPr>
                <w:rStyle w:val="Hyperlink"/>
                <w:noProof/>
              </w:rPr>
              <w:t>Recommendation 9:</w:t>
            </w:r>
            <w:r w:rsidRPr="002F210D">
              <w:rPr>
                <w:rStyle w:val="Hyperlink"/>
                <w:b/>
                <w:bCs/>
                <w:noProof/>
              </w:rPr>
              <w:t xml:space="preserve"> </w:t>
            </w:r>
            <w:r w:rsidRPr="002F210D">
              <w:rPr>
                <w:rStyle w:val="Hyperlink"/>
                <w:noProof/>
              </w:rPr>
              <w:t>Explicitly recognise blindness and permanent vision impairment as lifelong conditions that do not require repeated proof of permanence or ongoing reassessment where diagnosis is confirmed by an appropriately qualified ophthalmologist or specialist.</w:t>
            </w:r>
            <w:r>
              <w:rPr>
                <w:noProof/>
                <w:webHidden/>
              </w:rPr>
              <w:tab/>
            </w:r>
            <w:r>
              <w:rPr>
                <w:noProof/>
                <w:webHidden/>
              </w:rPr>
              <w:fldChar w:fldCharType="begin"/>
            </w:r>
            <w:r>
              <w:rPr>
                <w:noProof/>
                <w:webHidden/>
              </w:rPr>
              <w:instrText xml:space="preserve"> PAGEREF _Toc231209367 \h </w:instrText>
            </w:r>
            <w:r>
              <w:rPr>
                <w:noProof/>
                <w:webHidden/>
              </w:rPr>
            </w:r>
            <w:r>
              <w:rPr>
                <w:noProof/>
                <w:webHidden/>
              </w:rPr>
              <w:fldChar w:fldCharType="separate"/>
            </w:r>
            <w:r w:rsidR="00B41324">
              <w:rPr>
                <w:noProof/>
                <w:webHidden/>
              </w:rPr>
              <w:t>17</w:t>
            </w:r>
            <w:r>
              <w:rPr>
                <w:noProof/>
                <w:webHidden/>
              </w:rPr>
              <w:fldChar w:fldCharType="end"/>
            </w:r>
          </w:hyperlink>
        </w:p>
        <w:p w14:paraId="44D25BF2" w14:textId="406C7D6F" w:rsidR="00AA5CB4" w:rsidRDefault="00AA5CB4">
          <w:pPr>
            <w:pStyle w:val="TOC2"/>
            <w:tabs>
              <w:tab w:val="right" w:leader="dot" w:pos="9016"/>
            </w:tabs>
            <w:rPr>
              <w:rFonts w:eastAsiaTheme="minorEastAsia"/>
              <w:noProof/>
              <w:lang w:eastAsia="en-AU"/>
            </w:rPr>
          </w:pPr>
          <w:hyperlink w:anchor="_Toc231209368" w:history="1">
            <w:r w:rsidRPr="002F210D">
              <w:rPr>
                <w:rStyle w:val="Hyperlink"/>
                <w:noProof/>
              </w:rPr>
              <w:t>Part 9 - Eligibility based on access to other services</w:t>
            </w:r>
            <w:r>
              <w:rPr>
                <w:noProof/>
                <w:webHidden/>
              </w:rPr>
              <w:tab/>
            </w:r>
            <w:r>
              <w:rPr>
                <w:noProof/>
                <w:webHidden/>
              </w:rPr>
              <w:fldChar w:fldCharType="begin"/>
            </w:r>
            <w:r>
              <w:rPr>
                <w:noProof/>
                <w:webHidden/>
              </w:rPr>
              <w:instrText xml:space="preserve"> PAGEREF _Toc231209368 \h </w:instrText>
            </w:r>
            <w:r>
              <w:rPr>
                <w:noProof/>
                <w:webHidden/>
              </w:rPr>
            </w:r>
            <w:r>
              <w:rPr>
                <w:noProof/>
                <w:webHidden/>
              </w:rPr>
              <w:fldChar w:fldCharType="separate"/>
            </w:r>
            <w:r w:rsidR="00B41324">
              <w:rPr>
                <w:noProof/>
                <w:webHidden/>
              </w:rPr>
              <w:t>17</w:t>
            </w:r>
            <w:r>
              <w:rPr>
                <w:noProof/>
                <w:webHidden/>
              </w:rPr>
              <w:fldChar w:fldCharType="end"/>
            </w:r>
          </w:hyperlink>
        </w:p>
        <w:p w14:paraId="551E3299" w14:textId="47127DA2" w:rsidR="00AA5CB4" w:rsidRDefault="00AA5CB4">
          <w:pPr>
            <w:pStyle w:val="TOC3"/>
            <w:tabs>
              <w:tab w:val="right" w:leader="dot" w:pos="9016"/>
            </w:tabs>
            <w:rPr>
              <w:rFonts w:eastAsiaTheme="minorEastAsia"/>
              <w:noProof/>
              <w:lang w:eastAsia="en-AU"/>
            </w:rPr>
          </w:pPr>
          <w:hyperlink w:anchor="_Toc231209369" w:history="1">
            <w:r w:rsidRPr="002F210D">
              <w:rPr>
                <w:rStyle w:val="Hyperlink"/>
                <w:noProof/>
              </w:rPr>
              <w:t>Recommendation 10: Ensure people who are blind or vision impaired are not excluded from the NDIS unless accessible, adequate and equivalent supports are genuinely available through mainstream or alternative service systems and ensure reforms do not shift disability support responsibilities onto families, carers or inaccessible community systems.</w:t>
            </w:r>
            <w:r>
              <w:rPr>
                <w:noProof/>
                <w:webHidden/>
              </w:rPr>
              <w:tab/>
            </w:r>
            <w:r>
              <w:rPr>
                <w:noProof/>
                <w:webHidden/>
              </w:rPr>
              <w:fldChar w:fldCharType="begin"/>
            </w:r>
            <w:r>
              <w:rPr>
                <w:noProof/>
                <w:webHidden/>
              </w:rPr>
              <w:instrText xml:space="preserve"> PAGEREF _Toc231209369 \h </w:instrText>
            </w:r>
            <w:r>
              <w:rPr>
                <w:noProof/>
                <w:webHidden/>
              </w:rPr>
            </w:r>
            <w:r>
              <w:rPr>
                <w:noProof/>
                <w:webHidden/>
              </w:rPr>
              <w:fldChar w:fldCharType="separate"/>
            </w:r>
            <w:r w:rsidR="00B41324">
              <w:rPr>
                <w:noProof/>
                <w:webHidden/>
              </w:rPr>
              <w:t>17</w:t>
            </w:r>
            <w:r>
              <w:rPr>
                <w:noProof/>
                <w:webHidden/>
              </w:rPr>
              <w:fldChar w:fldCharType="end"/>
            </w:r>
          </w:hyperlink>
        </w:p>
        <w:p w14:paraId="0287EFB4" w14:textId="33CBFEF8" w:rsidR="00AA5CB4" w:rsidRDefault="00AA5CB4">
          <w:pPr>
            <w:pStyle w:val="TOC2"/>
            <w:tabs>
              <w:tab w:val="right" w:leader="dot" w:pos="9016"/>
            </w:tabs>
            <w:rPr>
              <w:rFonts w:eastAsiaTheme="minorEastAsia"/>
              <w:noProof/>
              <w:lang w:eastAsia="en-AU"/>
            </w:rPr>
          </w:pPr>
          <w:hyperlink w:anchor="_Toc231209370" w:history="1">
            <w:r w:rsidRPr="002F210D">
              <w:rPr>
                <w:rStyle w:val="Hyperlink"/>
                <w:noProof/>
              </w:rPr>
              <w:t>Schedule 2 – Fraud measures</w:t>
            </w:r>
            <w:r>
              <w:rPr>
                <w:noProof/>
                <w:webHidden/>
              </w:rPr>
              <w:tab/>
            </w:r>
            <w:r>
              <w:rPr>
                <w:noProof/>
                <w:webHidden/>
              </w:rPr>
              <w:fldChar w:fldCharType="begin"/>
            </w:r>
            <w:r>
              <w:rPr>
                <w:noProof/>
                <w:webHidden/>
              </w:rPr>
              <w:instrText xml:space="preserve"> PAGEREF _Toc231209370 \h </w:instrText>
            </w:r>
            <w:r>
              <w:rPr>
                <w:noProof/>
                <w:webHidden/>
              </w:rPr>
            </w:r>
            <w:r>
              <w:rPr>
                <w:noProof/>
                <w:webHidden/>
              </w:rPr>
              <w:fldChar w:fldCharType="separate"/>
            </w:r>
            <w:r w:rsidR="00B41324">
              <w:rPr>
                <w:noProof/>
                <w:webHidden/>
              </w:rPr>
              <w:t>19</w:t>
            </w:r>
            <w:r>
              <w:rPr>
                <w:noProof/>
                <w:webHidden/>
              </w:rPr>
              <w:fldChar w:fldCharType="end"/>
            </w:r>
          </w:hyperlink>
        </w:p>
        <w:p w14:paraId="340370E2" w14:textId="30DFE31A" w:rsidR="00AA5CB4" w:rsidRDefault="00AA5CB4">
          <w:pPr>
            <w:pStyle w:val="TOC2"/>
            <w:tabs>
              <w:tab w:val="right" w:leader="dot" w:pos="9016"/>
            </w:tabs>
            <w:rPr>
              <w:rFonts w:eastAsiaTheme="minorEastAsia"/>
              <w:noProof/>
              <w:lang w:eastAsia="en-AU"/>
            </w:rPr>
          </w:pPr>
          <w:hyperlink w:anchor="_Toc231209371" w:history="1">
            <w:r w:rsidRPr="002F210D">
              <w:rPr>
                <w:rStyle w:val="Hyperlink"/>
                <w:noProof/>
              </w:rPr>
              <w:t>Part 1 - Registration of NDIS providers &amp; Part 2 - Civil penalties and regulatory powers</w:t>
            </w:r>
            <w:r>
              <w:rPr>
                <w:noProof/>
                <w:webHidden/>
              </w:rPr>
              <w:tab/>
            </w:r>
            <w:r>
              <w:rPr>
                <w:noProof/>
                <w:webHidden/>
              </w:rPr>
              <w:fldChar w:fldCharType="begin"/>
            </w:r>
            <w:r>
              <w:rPr>
                <w:noProof/>
                <w:webHidden/>
              </w:rPr>
              <w:instrText xml:space="preserve"> PAGEREF _Toc231209371 \h </w:instrText>
            </w:r>
            <w:r>
              <w:rPr>
                <w:noProof/>
                <w:webHidden/>
              </w:rPr>
            </w:r>
            <w:r>
              <w:rPr>
                <w:noProof/>
                <w:webHidden/>
              </w:rPr>
              <w:fldChar w:fldCharType="separate"/>
            </w:r>
            <w:r w:rsidR="00B41324">
              <w:rPr>
                <w:noProof/>
                <w:webHidden/>
              </w:rPr>
              <w:t>19</w:t>
            </w:r>
            <w:r>
              <w:rPr>
                <w:noProof/>
                <w:webHidden/>
              </w:rPr>
              <w:fldChar w:fldCharType="end"/>
            </w:r>
          </w:hyperlink>
        </w:p>
        <w:p w14:paraId="030E5331" w14:textId="70160C29" w:rsidR="00AA5CB4" w:rsidRDefault="00AA5CB4">
          <w:pPr>
            <w:pStyle w:val="TOC3"/>
            <w:tabs>
              <w:tab w:val="right" w:leader="dot" w:pos="9016"/>
            </w:tabs>
            <w:rPr>
              <w:rFonts w:eastAsiaTheme="minorEastAsia"/>
              <w:noProof/>
              <w:lang w:eastAsia="en-AU"/>
            </w:rPr>
          </w:pPr>
          <w:hyperlink w:anchor="_Toc231209372" w:history="1">
            <w:r w:rsidRPr="002F210D">
              <w:rPr>
                <w:rStyle w:val="Hyperlink"/>
                <w:noProof/>
              </w:rPr>
              <w:t>Recommendation 11: Implement a proportionate, risk-based provider regulation framework that preserves participant choice and workforce sustainability for blindness-specific supports</w:t>
            </w:r>
            <w:r>
              <w:rPr>
                <w:noProof/>
                <w:webHidden/>
              </w:rPr>
              <w:tab/>
            </w:r>
            <w:r>
              <w:rPr>
                <w:noProof/>
                <w:webHidden/>
              </w:rPr>
              <w:fldChar w:fldCharType="begin"/>
            </w:r>
            <w:r>
              <w:rPr>
                <w:noProof/>
                <w:webHidden/>
              </w:rPr>
              <w:instrText xml:space="preserve"> PAGEREF _Toc231209372 \h </w:instrText>
            </w:r>
            <w:r>
              <w:rPr>
                <w:noProof/>
                <w:webHidden/>
              </w:rPr>
            </w:r>
            <w:r>
              <w:rPr>
                <w:noProof/>
                <w:webHidden/>
              </w:rPr>
              <w:fldChar w:fldCharType="separate"/>
            </w:r>
            <w:r w:rsidR="00B41324">
              <w:rPr>
                <w:noProof/>
                <w:webHidden/>
              </w:rPr>
              <w:t>19</w:t>
            </w:r>
            <w:r>
              <w:rPr>
                <w:noProof/>
                <w:webHidden/>
              </w:rPr>
              <w:fldChar w:fldCharType="end"/>
            </w:r>
          </w:hyperlink>
        </w:p>
        <w:p w14:paraId="579A350C" w14:textId="01DFCE2A" w:rsidR="00AA5CB4" w:rsidRDefault="00AA5CB4">
          <w:pPr>
            <w:pStyle w:val="TOC2"/>
            <w:tabs>
              <w:tab w:val="right" w:leader="dot" w:pos="9016"/>
            </w:tabs>
            <w:rPr>
              <w:rFonts w:eastAsiaTheme="minorEastAsia"/>
              <w:noProof/>
              <w:lang w:eastAsia="en-AU"/>
            </w:rPr>
          </w:pPr>
          <w:hyperlink w:anchor="_Toc231209373" w:history="1">
            <w:r w:rsidRPr="002F210D">
              <w:rPr>
                <w:rStyle w:val="Hyperlink"/>
                <w:noProof/>
              </w:rPr>
              <w:t>Schedule 3 – Governance arrangements</w:t>
            </w:r>
            <w:r>
              <w:rPr>
                <w:noProof/>
                <w:webHidden/>
              </w:rPr>
              <w:tab/>
            </w:r>
            <w:r>
              <w:rPr>
                <w:noProof/>
                <w:webHidden/>
              </w:rPr>
              <w:fldChar w:fldCharType="begin"/>
            </w:r>
            <w:r>
              <w:rPr>
                <w:noProof/>
                <w:webHidden/>
              </w:rPr>
              <w:instrText xml:space="preserve"> PAGEREF _Toc231209373 \h </w:instrText>
            </w:r>
            <w:r>
              <w:rPr>
                <w:noProof/>
                <w:webHidden/>
              </w:rPr>
            </w:r>
            <w:r>
              <w:rPr>
                <w:noProof/>
                <w:webHidden/>
              </w:rPr>
              <w:fldChar w:fldCharType="separate"/>
            </w:r>
            <w:r w:rsidR="00B41324">
              <w:rPr>
                <w:noProof/>
                <w:webHidden/>
              </w:rPr>
              <w:t>21</w:t>
            </w:r>
            <w:r>
              <w:rPr>
                <w:noProof/>
                <w:webHidden/>
              </w:rPr>
              <w:fldChar w:fldCharType="end"/>
            </w:r>
          </w:hyperlink>
        </w:p>
        <w:p w14:paraId="51F1FAAE" w14:textId="28B7604B" w:rsidR="00AA5CB4" w:rsidRDefault="00AA5CB4">
          <w:pPr>
            <w:pStyle w:val="TOC3"/>
            <w:tabs>
              <w:tab w:val="right" w:leader="dot" w:pos="9016"/>
            </w:tabs>
            <w:rPr>
              <w:rFonts w:eastAsiaTheme="minorEastAsia"/>
              <w:noProof/>
              <w:lang w:eastAsia="en-AU"/>
            </w:rPr>
          </w:pPr>
          <w:hyperlink w:anchor="_Toc231209374" w:history="1">
            <w:r w:rsidRPr="002F210D">
              <w:rPr>
                <w:rStyle w:val="Hyperlink"/>
                <w:noProof/>
              </w:rPr>
              <w:t>Recommendation 12: Preserve transparency, review rights and accountability by mandating publication of how participant budgets are calculated, providing funding decisions and draft plans in accessible formats prior to approval, and publicly reporting disability-specific data on eligibility decisions, reassessments, support reductions and appeals involving people who are blind or vision impaired.</w:t>
            </w:r>
            <w:r>
              <w:rPr>
                <w:noProof/>
                <w:webHidden/>
              </w:rPr>
              <w:tab/>
            </w:r>
            <w:r>
              <w:rPr>
                <w:noProof/>
                <w:webHidden/>
              </w:rPr>
              <w:fldChar w:fldCharType="begin"/>
            </w:r>
            <w:r>
              <w:rPr>
                <w:noProof/>
                <w:webHidden/>
              </w:rPr>
              <w:instrText xml:space="preserve"> PAGEREF _Toc231209374 \h </w:instrText>
            </w:r>
            <w:r>
              <w:rPr>
                <w:noProof/>
                <w:webHidden/>
              </w:rPr>
            </w:r>
            <w:r>
              <w:rPr>
                <w:noProof/>
                <w:webHidden/>
              </w:rPr>
              <w:fldChar w:fldCharType="separate"/>
            </w:r>
            <w:r w:rsidR="00B41324">
              <w:rPr>
                <w:noProof/>
                <w:webHidden/>
              </w:rPr>
              <w:t>21</w:t>
            </w:r>
            <w:r>
              <w:rPr>
                <w:noProof/>
                <w:webHidden/>
              </w:rPr>
              <w:fldChar w:fldCharType="end"/>
            </w:r>
          </w:hyperlink>
        </w:p>
        <w:p w14:paraId="4B2AD694" w14:textId="7B6EA032" w:rsidR="00AA5CB4" w:rsidRDefault="00AA5CB4">
          <w:pPr>
            <w:pStyle w:val="TOC3"/>
            <w:tabs>
              <w:tab w:val="right" w:leader="dot" w:pos="9016"/>
            </w:tabs>
            <w:rPr>
              <w:rFonts w:eastAsiaTheme="minorEastAsia"/>
              <w:noProof/>
              <w:lang w:eastAsia="en-AU"/>
            </w:rPr>
          </w:pPr>
          <w:hyperlink w:anchor="_Toc231209375" w:history="1">
            <w:r w:rsidRPr="002F210D">
              <w:rPr>
                <w:rStyle w:val="Hyperlink"/>
                <w:noProof/>
              </w:rPr>
              <w:t>Recommendation 13: Require all major NDIS reforms affecting participant rights, eligibility or funding to be subject to minimum consultation periods, accessible consultation materials and genuine co-design with people with disability, consistent with the principle of “nothing about us without us”.</w:t>
            </w:r>
            <w:r>
              <w:rPr>
                <w:noProof/>
                <w:webHidden/>
              </w:rPr>
              <w:tab/>
            </w:r>
            <w:r>
              <w:rPr>
                <w:noProof/>
                <w:webHidden/>
              </w:rPr>
              <w:fldChar w:fldCharType="begin"/>
            </w:r>
            <w:r>
              <w:rPr>
                <w:noProof/>
                <w:webHidden/>
              </w:rPr>
              <w:instrText xml:space="preserve"> PAGEREF _Toc231209375 \h </w:instrText>
            </w:r>
            <w:r>
              <w:rPr>
                <w:noProof/>
                <w:webHidden/>
              </w:rPr>
            </w:r>
            <w:r>
              <w:rPr>
                <w:noProof/>
                <w:webHidden/>
              </w:rPr>
              <w:fldChar w:fldCharType="separate"/>
            </w:r>
            <w:r w:rsidR="00B41324">
              <w:rPr>
                <w:noProof/>
                <w:webHidden/>
              </w:rPr>
              <w:t>21</w:t>
            </w:r>
            <w:r>
              <w:rPr>
                <w:noProof/>
                <w:webHidden/>
              </w:rPr>
              <w:fldChar w:fldCharType="end"/>
            </w:r>
          </w:hyperlink>
        </w:p>
        <w:p w14:paraId="4576BEC9" w14:textId="71DA924A" w:rsidR="00AA5CB4" w:rsidRDefault="00AA5CB4">
          <w:pPr>
            <w:pStyle w:val="TOC2"/>
            <w:tabs>
              <w:tab w:val="right" w:leader="dot" w:pos="9016"/>
            </w:tabs>
            <w:rPr>
              <w:rFonts w:eastAsiaTheme="minorEastAsia"/>
              <w:noProof/>
              <w:lang w:eastAsia="en-AU"/>
            </w:rPr>
          </w:pPr>
          <w:hyperlink w:anchor="_Toc231209376" w:history="1">
            <w:r w:rsidRPr="002F210D">
              <w:rPr>
                <w:rStyle w:val="Hyperlink"/>
                <w:noProof/>
              </w:rPr>
              <w:t>4. BCA NDIS Participant Stories</w:t>
            </w:r>
            <w:r>
              <w:rPr>
                <w:noProof/>
                <w:webHidden/>
              </w:rPr>
              <w:tab/>
            </w:r>
            <w:r>
              <w:rPr>
                <w:noProof/>
                <w:webHidden/>
              </w:rPr>
              <w:fldChar w:fldCharType="begin"/>
            </w:r>
            <w:r>
              <w:rPr>
                <w:noProof/>
                <w:webHidden/>
              </w:rPr>
              <w:instrText xml:space="preserve"> PAGEREF _Toc231209376 \h </w:instrText>
            </w:r>
            <w:r>
              <w:rPr>
                <w:noProof/>
                <w:webHidden/>
              </w:rPr>
            </w:r>
            <w:r>
              <w:rPr>
                <w:noProof/>
                <w:webHidden/>
              </w:rPr>
              <w:fldChar w:fldCharType="separate"/>
            </w:r>
            <w:r w:rsidR="00B41324">
              <w:rPr>
                <w:noProof/>
                <w:webHidden/>
              </w:rPr>
              <w:t>22</w:t>
            </w:r>
            <w:r>
              <w:rPr>
                <w:noProof/>
                <w:webHidden/>
              </w:rPr>
              <w:fldChar w:fldCharType="end"/>
            </w:r>
          </w:hyperlink>
        </w:p>
        <w:p w14:paraId="778208BF" w14:textId="359B866F" w:rsidR="00AA5CB4" w:rsidRDefault="00AA5CB4">
          <w:pPr>
            <w:pStyle w:val="TOC3"/>
            <w:tabs>
              <w:tab w:val="right" w:leader="dot" w:pos="9016"/>
            </w:tabs>
            <w:rPr>
              <w:rFonts w:eastAsiaTheme="minorEastAsia"/>
              <w:noProof/>
              <w:lang w:eastAsia="en-AU"/>
            </w:rPr>
          </w:pPr>
          <w:hyperlink w:anchor="_Toc231209377" w:history="1">
            <w:r w:rsidRPr="002F210D">
              <w:rPr>
                <w:rStyle w:val="Hyperlink"/>
                <w:noProof/>
              </w:rPr>
              <w:t>Case study 1 – Use of supports</w:t>
            </w:r>
            <w:r>
              <w:rPr>
                <w:noProof/>
                <w:webHidden/>
              </w:rPr>
              <w:tab/>
            </w:r>
            <w:r>
              <w:rPr>
                <w:noProof/>
                <w:webHidden/>
              </w:rPr>
              <w:fldChar w:fldCharType="begin"/>
            </w:r>
            <w:r>
              <w:rPr>
                <w:noProof/>
                <w:webHidden/>
              </w:rPr>
              <w:instrText xml:space="preserve"> PAGEREF _Toc231209377 \h </w:instrText>
            </w:r>
            <w:r>
              <w:rPr>
                <w:noProof/>
                <w:webHidden/>
              </w:rPr>
            </w:r>
            <w:r>
              <w:rPr>
                <w:noProof/>
                <w:webHidden/>
              </w:rPr>
              <w:fldChar w:fldCharType="separate"/>
            </w:r>
            <w:r w:rsidR="00B41324">
              <w:rPr>
                <w:noProof/>
                <w:webHidden/>
              </w:rPr>
              <w:t>22</w:t>
            </w:r>
            <w:r>
              <w:rPr>
                <w:noProof/>
                <w:webHidden/>
              </w:rPr>
              <w:fldChar w:fldCharType="end"/>
            </w:r>
          </w:hyperlink>
        </w:p>
        <w:p w14:paraId="52967E86" w14:textId="36DF8E94" w:rsidR="00AA5CB4" w:rsidRDefault="00AA5CB4">
          <w:pPr>
            <w:pStyle w:val="TOC3"/>
            <w:tabs>
              <w:tab w:val="right" w:leader="dot" w:pos="9016"/>
            </w:tabs>
            <w:rPr>
              <w:rFonts w:eastAsiaTheme="minorEastAsia"/>
              <w:noProof/>
              <w:lang w:eastAsia="en-AU"/>
            </w:rPr>
          </w:pPr>
          <w:hyperlink w:anchor="_Toc231209378" w:history="1">
            <w:r w:rsidRPr="002F210D">
              <w:rPr>
                <w:rStyle w:val="Hyperlink"/>
                <w:noProof/>
              </w:rPr>
              <w:t>Case study 2 - Impact of cuts to funding</w:t>
            </w:r>
            <w:r>
              <w:rPr>
                <w:noProof/>
                <w:webHidden/>
              </w:rPr>
              <w:tab/>
            </w:r>
            <w:r>
              <w:rPr>
                <w:noProof/>
                <w:webHidden/>
              </w:rPr>
              <w:fldChar w:fldCharType="begin"/>
            </w:r>
            <w:r>
              <w:rPr>
                <w:noProof/>
                <w:webHidden/>
              </w:rPr>
              <w:instrText xml:space="preserve"> PAGEREF _Toc231209378 \h </w:instrText>
            </w:r>
            <w:r>
              <w:rPr>
                <w:noProof/>
                <w:webHidden/>
              </w:rPr>
            </w:r>
            <w:r>
              <w:rPr>
                <w:noProof/>
                <w:webHidden/>
              </w:rPr>
              <w:fldChar w:fldCharType="separate"/>
            </w:r>
            <w:r w:rsidR="00B41324">
              <w:rPr>
                <w:noProof/>
                <w:webHidden/>
              </w:rPr>
              <w:t>23</w:t>
            </w:r>
            <w:r>
              <w:rPr>
                <w:noProof/>
                <w:webHidden/>
              </w:rPr>
              <w:fldChar w:fldCharType="end"/>
            </w:r>
          </w:hyperlink>
        </w:p>
        <w:p w14:paraId="7280AD53" w14:textId="3D2FF5E3" w:rsidR="00AA5CB4" w:rsidRDefault="00AA5CB4">
          <w:pPr>
            <w:pStyle w:val="TOC3"/>
            <w:tabs>
              <w:tab w:val="right" w:leader="dot" w:pos="9016"/>
            </w:tabs>
            <w:rPr>
              <w:rFonts w:eastAsiaTheme="minorEastAsia"/>
              <w:noProof/>
              <w:lang w:eastAsia="en-AU"/>
            </w:rPr>
          </w:pPr>
          <w:hyperlink w:anchor="_Toc231209379" w:history="1">
            <w:r w:rsidRPr="002F210D">
              <w:rPr>
                <w:rStyle w:val="Hyperlink"/>
                <w:noProof/>
              </w:rPr>
              <w:t>Case study 3 - Informal supports and caring duties as a person with a disability</w:t>
            </w:r>
            <w:r>
              <w:rPr>
                <w:noProof/>
                <w:webHidden/>
              </w:rPr>
              <w:tab/>
            </w:r>
            <w:r>
              <w:rPr>
                <w:noProof/>
                <w:webHidden/>
              </w:rPr>
              <w:fldChar w:fldCharType="begin"/>
            </w:r>
            <w:r>
              <w:rPr>
                <w:noProof/>
                <w:webHidden/>
              </w:rPr>
              <w:instrText xml:space="preserve"> PAGEREF _Toc231209379 \h </w:instrText>
            </w:r>
            <w:r>
              <w:rPr>
                <w:noProof/>
                <w:webHidden/>
              </w:rPr>
            </w:r>
            <w:r>
              <w:rPr>
                <w:noProof/>
                <w:webHidden/>
              </w:rPr>
              <w:fldChar w:fldCharType="separate"/>
            </w:r>
            <w:r w:rsidR="00B41324">
              <w:rPr>
                <w:noProof/>
                <w:webHidden/>
              </w:rPr>
              <w:t>24</w:t>
            </w:r>
            <w:r>
              <w:rPr>
                <w:noProof/>
                <w:webHidden/>
              </w:rPr>
              <w:fldChar w:fldCharType="end"/>
            </w:r>
          </w:hyperlink>
        </w:p>
        <w:p w14:paraId="74586058" w14:textId="7CD7F965" w:rsidR="00912985" w:rsidRDefault="00912985">
          <w:r>
            <w:rPr>
              <w:b/>
              <w:bCs/>
              <w:noProof/>
            </w:rPr>
            <w:fldChar w:fldCharType="end"/>
          </w:r>
        </w:p>
      </w:sdtContent>
    </w:sdt>
    <w:p w14:paraId="05F7FEC0" w14:textId="6AFB5F5B" w:rsidR="00E579D2" w:rsidRDefault="002D78A6" w:rsidP="00A86FC9">
      <w:pPr>
        <w:pStyle w:val="Heading2"/>
        <w:rPr>
          <w:rFonts w:ascii="Arial" w:hAnsi="Arial" w:cs="Arial"/>
        </w:rPr>
      </w:pPr>
      <w:bookmarkStart w:id="14" w:name="_Toc231209350"/>
      <w:r>
        <w:rPr>
          <w:rFonts w:ascii="Arial" w:hAnsi="Arial" w:cs="Arial"/>
        </w:rPr>
        <w:lastRenderedPageBreak/>
        <w:t>1</w:t>
      </w:r>
      <w:r w:rsidR="000256A3">
        <w:rPr>
          <w:rFonts w:ascii="Arial" w:hAnsi="Arial" w:cs="Arial"/>
        </w:rPr>
        <w:t xml:space="preserve">. </w:t>
      </w:r>
      <w:r w:rsidR="00AB2CFE">
        <w:rPr>
          <w:rFonts w:ascii="Arial" w:hAnsi="Arial" w:cs="Arial"/>
        </w:rPr>
        <w:t>Executive Summary</w:t>
      </w:r>
      <w:bookmarkEnd w:id="14"/>
      <w:r w:rsidR="00AB2CFE">
        <w:rPr>
          <w:rFonts w:ascii="Arial" w:hAnsi="Arial" w:cs="Arial"/>
        </w:rPr>
        <w:t xml:space="preserve"> </w:t>
      </w:r>
    </w:p>
    <w:p w14:paraId="6EAA36C8" w14:textId="1E08767B" w:rsidR="009A2ED9" w:rsidRPr="009A2ED9" w:rsidRDefault="009A2ED9" w:rsidP="009A2ED9">
      <w:pPr>
        <w:spacing w:line="360" w:lineRule="auto"/>
        <w:rPr>
          <w:rFonts w:ascii="Arial" w:hAnsi="Arial" w:cs="Arial"/>
        </w:rPr>
      </w:pPr>
      <w:r w:rsidRPr="009A2ED9">
        <w:rPr>
          <w:rFonts w:ascii="Arial" w:hAnsi="Arial" w:cs="Arial"/>
        </w:rPr>
        <w:t>Blind Citizens Australia (BCA) is deeply concerned that the proposed reforms prioritise cost containment over disability outcomes, shifting the NDIS away from its rights-based foundations toward a more restrictive and budget-limited system. While framed as measures to improve sustainability and address fraud, the practical effect for many people who are blind or vision impaired will be reduced access to essential supports that prevent isolation, injury, deterioration and exclusion from community life.</w:t>
      </w:r>
    </w:p>
    <w:p w14:paraId="13048208" w14:textId="06C09CF2" w:rsidR="009A2ED9" w:rsidRPr="009A2ED9" w:rsidRDefault="009A2ED9" w:rsidP="009A2ED9">
      <w:pPr>
        <w:spacing w:line="360" w:lineRule="auto"/>
        <w:rPr>
          <w:rFonts w:ascii="Arial" w:hAnsi="Arial" w:cs="Arial"/>
        </w:rPr>
      </w:pPr>
      <w:r w:rsidRPr="009A2ED9">
        <w:rPr>
          <w:rFonts w:ascii="Arial" w:hAnsi="Arial" w:cs="Arial"/>
        </w:rPr>
        <w:t>Blindness and vision impairment are lifelong disabilities with profound impacts on mobility, communication, safety, employment, education and participation. Supports that enable access to information, transport, communication and community life are not discretionary - they are essential to health, safety, independence and equal participation. Social</w:t>
      </w:r>
      <w:r w:rsidR="002A0269">
        <w:rPr>
          <w:rFonts w:ascii="Arial" w:hAnsi="Arial" w:cs="Arial"/>
        </w:rPr>
        <w:t>, civic</w:t>
      </w:r>
      <w:r w:rsidRPr="009A2ED9">
        <w:rPr>
          <w:rFonts w:ascii="Arial" w:hAnsi="Arial" w:cs="Arial"/>
        </w:rPr>
        <w:t xml:space="preserve"> and community participation supports are critical because they enable people to do things that would otherwise be impossible or unreasonably difficult without assistance.</w:t>
      </w:r>
    </w:p>
    <w:p w14:paraId="2BD9E0E1" w14:textId="77777777" w:rsidR="00ED0210" w:rsidRDefault="009A2ED9" w:rsidP="009A2ED9">
      <w:pPr>
        <w:spacing w:line="360" w:lineRule="auto"/>
        <w:rPr>
          <w:rFonts w:ascii="Arial" w:hAnsi="Arial" w:cs="Arial"/>
        </w:rPr>
      </w:pPr>
      <w:r w:rsidRPr="009A2ED9">
        <w:rPr>
          <w:rFonts w:ascii="Arial" w:hAnsi="Arial" w:cs="Arial"/>
        </w:rPr>
        <w:t xml:space="preserve">BCA strongly opposes cuts to essential supports and rejects changes that redefine “reasonable and necessary” supports primarily around Scheme sustainability rather than individual rights, inclusion and functional need. Sustainability should instead be pursued through reducing administrative inefficiency, duplication, unnecessary compliance burdens and costly, ineffective NDIA appeals against participants. </w:t>
      </w:r>
    </w:p>
    <w:p w14:paraId="2EFD2B9F" w14:textId="5FD28F8C" w:rsidR="009A2ED9" w:rsidRPr="009A2ED9" w:rsidRDefault="009A2ED9" w:rsidP="009A2ED9">
      <w:pPr>
        <w:spacing w:line="360" w:lineRule="auto"/>
        <w:rPr>
          <w:rFonts w:ascii="Arial" w:hAnsi="Arial" w:cs="Arial"/>
        </w:rPr>
      </w:pPr>
      <w:r w:rsidRPr="009A2ED9">
        <w:rPr>
          <w:rFonts w:ascii="Arial" w:hAnsi="Arial" w:cs="Arial"/>
        </w:rPr>
        <w:t>The “whole of person” approach to supports must be retained so participants with intersecting disabilities and complex needs are not excluded because needs arise from multiple conditions.</w:t>
      </w:r>
    </w:p>
    <w:p w14:paraId="513D215E" w14:textId="77777777" w:rsidR="000F1755" w:rsidRDefault="009A2ED9" w:rsidP="009A2ED9">
      <w:pPr>
        <w:spacing w:line="360" w:lineRule="auto"/>
        <w:rPr>
          <w:rFonts w:ascii="Arial" w:hAnsi="Arial" w:cs="Arial"/>
        </w:rPr>
      </w:pPr>
      <w:r w:rsidRPr="009A2ED9">
        <w:rPr>
          <w:rFonts w:ascii="Arial" w:hAnsi="Arial" w:cs="Arial"/>
        </w:rPr>
        <w:t xml:space="preserve">Efforts to reduce reliance on the NDIS will fail unless governments also address the inaccessibility of mainstream systems, including transport, healthcare, education, digital services and community infrastructure. Functional assessments and eligibility processes must appropriately recognise the distinct and lifelong impact of blindness and vision impairment, including the disabling impact of inaccessible environments and systems. </w:t>
      </w:r>
    </w:p>
    <w:p w14:paraId="417F4DE0" w14:textId="1E88F93E" w:rsidR="009A2ED9" w:rsidRPr="009A2ED9" w:rsidRDefault="009A2ED9" w:rsidP="009A2ED9">
      <w:pPr>
        <w:spacing w:line="360" w:lineRule="auto"/>
        <w:rPr>
          <w:rFonts w:ascii="Arial" w:hAnsi="Arial" w:cs="Arial"/>
        </w:rPr>
      </w:pPr>
      <w:r w:rsidRPr="009A2ED9">
        <w:rPr>
          <w:rFonts w:ascii="Arial" w:hAnsi="Arial" w:cs="Arial"/>
        </w:rPr>
        <w:lastRenderedPageBreak/>
        <w:t>Eligibility pathways</w:t>
      </w:r>
      <w:r w:rsidR="000F1755">
        <w:rPr>
          <w:rFonts w:ascii="Arial" w:hAnsi="Arial" w:cs="Arial"/>
        </w:rPr>
        <w:t xml:space="preserve"> for people who are blind or vision impaired</w:t>
      </w:r>
      <w:r w:rsidRPr="009A2ED9">
        <w:rPr>
          <w:rFonts w:ascii="Arial" w:hAnsi="Arial" w:cs="Arial"/>
        </w:rPr>
        <w:t xml:space="preserve"> should continue to rely on specialist clinical evidence and avoid unnecessary reassessment and administrative burden.</w:t>
      </w:r>
    </w:p>
    <w:p w14:paraId="4BDB5F6B" w14:textId="5D5EB1F5" w:rsidR="009A2ED9" w:rsidRPr="009A2ED9" w:rsidRDefault="009A2ED9" w:rsidP="009A2ED9">
      <w:pPr>
        <w:spacing w:line="360" w:lineRule="auto"/>
        <w:rPr>
          <w:rFonts w:ascii="Arial" w:hAnsi="Arial" w:cs="Arial"/>
        </w:rPr>
      </w:pPr>
      <w:r w:rsidRPr="009A2ED9">
        <w:rPr>
          <w:rFonts w:ascii="Arial" w:hAnsi="Arial" w:cs="Arial"/>
        </w:rPr>
        <w:t xml:space="preserve">BCA is also concerned that safeguarding and provider registration reforms could reduce access to specialised </w:t>
      </w:r>
      <w:r w:rsidR="00655912">
        <w:rPr>
          <w:rFonts w:ascii="Arial" w:hAnsi="Arial" w:cs="Arial"/>
        </w:rPr>
        <w:t>vision</w:t>
      </w:r>
      <w:r w:rsidRPr="009A2ED9">
        <w:rPr>
          <w:rFonts w:ascii="Arial" w:hAnsi="Arial" w:cs="Arial"/>
        </w:rPr>
        <w:t xml:space="preserve"> services, trusted providers and disability-specific expertise that are essential to effective support delivery and equitable participation. Current NDIS processes are already highly complex and frequently inaccessible for people who are blind or vision impaired, and further bureaucracy risks creating additional barriers to access, review rights and meaningful participation in the Scheme.</w:t>
      </w:r>
    </w:p>
    <w:p w14:paraId="39E86BEE" w14:textId="511340E8" w:rsidR="009A2ED9" w:rsidRPr="009A2ED9" w:rsidRDefault="009A2ED9" w:rsidP="009A2ED9">
      <w:pPr>
        <w:spacing w:line="360" w:lineRule="auto"/>
        <w:rPr>
          <w:rFonts w:ascii="Arial" w:hAnsi="Arial" w:cs="Arial"/>
        </w:rPr>
      </w:pPr>
      <w:r w:rsidRPr="009A2ED9">
        <w:rPr>
          <w:rFonts w:ascii="Arial" w:hAnsi="Arial" w:cs="Arial"/>
        </w:rPr>
        <w:t xml:space="preserve">Reduced supports and increased administrative burden will also disproportionately affect </w:t>
      </w:r>
      <w:r w:rsidR="000A1C66">
        <w:rPr>
          <w:rFonts w:ascii="Arial" w:hAnsi="Arial" w:cs="Arial"/>
        </w:rPr>
        <w:t xml:space="preserve">parents, </w:t>
      </w:r>
      <w:r w:rsidRPr="009A2ED9">
        <w:rPr>
          <w:rFonts w:ascii="Arial" w:hAnsi="Arial" w:cs="Arial"/>
        </w:rPr>
        <w:t xml:space="preserve">carers, nominees and family advocates - particularly women </w:t>
      </w:r>
      <w:r w:rsidR="006504F7">
        <w:rPr>
          <w:rFonts w:ascii="Arial" w:hAnsi="Arial" w:cs="Arial"/>
        </w:rPr>
        <w:t>(</w:t>
      </w:r>
      <w:r w:rsidR="00E52A5B">
        <w:rPr>
          <w:rFonts w:ascii="Arial" w:hAnsi="Arial" w:cs="Arial"/>
        </w:rPr>
        <w:t>and their dependants</w:t>
      </w:r>
      <w:r w:rsidR="006504F7">
        <w:rPr>
          <w:rFonts w:ascii="Arial" w:hAnsi="Arial" w:cs="Arial"/>
        </w:rPr>
        <w:t>)</w:t>
      </w:r>
      <w:r w:rsidR="00E52A5B">
        <w:rPr>
          <w:rFonts w:ascii="Arial" w:hAnsi="Arial" w:cs="Arial"/>
        </w:rPr>
        <w:t>,</w:t>
      </w:r>
      <w:r w:rsidRPr="009A2ED9">
        <w:rPr>
          <w:rFonts w:ascii="Arial" w:hAnsi="Arial" w:cs="Arial"/>
        </w:rPr>
        <w:t xml:space="preserve"> increasing burnout and limiting participation in employment, education and community life. Similarly, restrictions on reassessments and plan changes risk leaving participants without adequate support during periods of crisis, deterioration or major life change.</w:t>
      </w:r>
    </w:p>
    <w:p w14:paraId="00CFA227" w14:textId="77777777" w:rsidR="00304436" w:rsidRDefault="009A2ED9" w:rsidP="009A2ED9">
      <w:pPr>
        <w:spacing w:line="360" w:lineRule="auto"/>
        <w:rPr>
          <w:rFonts w:ascii="Arial" w:hAnsi="Arial" w:cs="Arial"/>
        </w:rPr>
      </w:pPr>
      <w:r w:rsidRPr="009A2ED9">
        <w:rPr>
          <w:rFonts w:ascii="Arial" w:hAnsi="Arial" w:cs="Arial"/>
        </w:rPr>
        <w:t xml:space="preserve">BCA maintains that reform must be informed by the lived experience of people with disability, including people who are blind or vision impaired, to ensure the NDIS remains fair, accessible, functional and genuinely participant-centred. </w:t>
      </w:r>
    </w:p>
    <w:p w14:paraId="6C1E7FD1" w14:textId="1A03E2F5" w:rsidR="0020712D" w:rsidRDefault="0020712D" w:rsidP="00C34DBA">
      <w:pPr>
        <w:spacing w:line="360" w:lineRule="auto"/>
        <w:rPr>
          <w:rFonts w:ascii="Arial" w:hAnsi="Arial" w:cs="Arial"/>
        </w:rPr>
      </w:pPr>
      <w:r w:rsidRPr="0020712D">
        <w:rPr>
          <w:rFonts w:ascii="Arial" w:hAnsi="Arial" w:cs="Arial"/>
        </w:rPr>
        <w:t>BCA urges</w:t>
      </w:r>
      <w:r>
        <w:rPr>
          <w:rFonts w:ascii="Arial" w:hAnsi="Arial" w:cs="Arial"/>
        </w:rPr>
        <w:t xml:space="preserve"> the</w:t>
      </w:r>
      <w:r w:rsidRPr="0020712D">
        <w:rPr>
          <w:rFonts w:ascii="Arial" w:hAnsi="Arial" w:cs="Arial"/>
        </w:rPr>
        <w:t xml:space="preserve"> government to restore the NDIS to its original intent as a rights-based, participant-centred scheme that enables people with disability to live safely, independently and inclusively in the community. </w:t>
      </w:r>
      <w:r w:rsidR="006F0102">
        <w:rPr>
          <w:rFonts w:ascii="Arial" w:hAnsi="Arial" w:cs="Arial"/>
        </w:rPr>
        <w:t>T</w:t>
      </w:r>
      <w:r w:rsidR="006F0102" w:rsidRPr="00F54A13">
        <w:rPr>
          <w:rFonts w:ascii="Arial" w:hAnsi="Arial" w:cs="Arial"/>
        </w:rPr>
        <w:t>he original vision of the NDIS recognised that disability is shaped not only by impairment, but also by inaccessible systems and environments.</w:t>
      </w:r>
      <w:r w:rsidR="006F0102">
        <w:rPr>
          <w:rFonts w:ascii="Arial" w:hAnsi="Arial" w:cs="Arial"/>
        </w:rPr>
        <w:t xml:space="preserve"> </w:t>
      </w:r>
      <w:r w:rsidRPr="0020712D">
        <w:rPr>
          <w:rFonts w:ascii="Arial" w:hAnsi="Arial" w:cs="Arial"/>
        </w:rPr>
        <w:t xml:space="preserve">The NDIS must remain focused on functional need, independence, inclusion and participant outcomes, rather than being narrowed through a cost-containment approach. People with disability must continue to have access to the supports necessary for equal participation, choice, control, </w:t>
      </w:r>
      <w:r w:rsidR="00C27D25">
        <w:rPr>
          <w:rFonts w:ascii="Arial" w:hAnsi="Arial" w:cs="Arial"/>
        </w:rPr>
        <w:t xml:space="preserve">and </w:t>
      </w:r>
      <w:r w:rsidRPr="0020712D">
        <w:rPr>
          <w:rFonts w:ascii="Arial" w:hAnsi="Arial" w:cs="Arial"/>
        </w:rPr>
        <w:t>dignity.</w:t>
      </w:r>
    </w:p>
    <w:p w14:paraId="2302D7C7" w14:textId="4A3B429B" w:rsidR="002D78A6" w:rsidRDefault="002D78A6" w:rsidP="002D78A6">
      <w:pPr>
        <w:pStyle w:val="Heading2"/>
        <w:rPr>
          <w:rFonts w:ascii="Arial" w:hAnsi="Arial" w:cs="Arial"/>
        </w:rPr>
      </w:pPr>
      <w:bookmarkStart w:id="15" w:name="_Toc231209351"/>
      <w:r>
        <w:rPr>
          <w:rFonts w:ascii="Arial" w:hAnsi="Arial" w:cs="Arial"/>
        </w:rPr>
        <w:t>2. About Blind Citizens Australia</w:t>
      </w:r>
      <w:bookmarkEnd w:id="15"/>
    </w:p>
    <w:p w14:paraId="3F1CA32B" w14:textId="77777777" w:rsidR="002D78A6" w:rsidRPr="00AB20D7" w:rsidRDefault="002D78A6" w:rsidP="002D78A6">
      <w:pPr>
        <w:spacing w:line="360" w:lineRule="auto"/>
        <w:rPr>
          <w:rFonts w:ascii="Arial" w:hAnsi="Arial" w:cs="Arial"/>
        </w:rPr>
      </w:pPr>
      <w:r>
        <w:rPr>
          <w:rFonts w:ascii="Arial" w:hAnsi="Arial" w:cs="Arial"/>
        </w:rPr>
        <w:t>BCA i</w:t>
      </w:r>
      <w:r w:rsidRPr="00AB20D7">
        <w:rPr>
          <w:rFonts w:ascii="Arial" w:hAnsi="Arial" w:cs="Arial"/>
        </w:rPr>
        <w:t xml:space="preserve">s the national representative organisation of people who are blind or vision impaired in Australia. Founded in 1975, BCA is a consumer-led advocacy organisation run by and for people who are blind or vision impaired. BCA works to </w:t>
      </w:r>
      <w:r w:rsidRPr="00AB20D7">
        <w:rPr>
          <w:rFonts w:ascii="Arial" w:hAnsi="Arial" w:cs="Arial"/>
        </w:rPr>
        <w:lastRenderedPageBreak/>
        <w:t>promote equity, inclusion, independence and full participation in all aspects of community life through systemic advocacy, policy reform and community engagement.</w:t>
      </w:r>
    </w:p>
    <w:p w14:paraId="48AC731A" w14:textId="77777777" w:rsidR="002D78A6" w:rsidRDefault="002D78A6" w:rsidP="002D78A6">
      <w:pPr>
        <w:spacing w:line="360" w:lineRule="auto"/>
        <w:rPr>
          <w:rFonts w:ascii="Arial" w:hAnsi="Arial" w:cs="Arial"/>
        </w:rPr>
      </w:pPr>
      <w:r w:rsidRPr="00AB20D7">
        <w:rPr>
          <w:rFonts w:ascii="Arial" w:hAnsi="Arial" w:cs="Arial"/>
        </w:rPr>
        <w:t xml:space="preserve">This submission draws on the lived experience and expertise of people who are blind or vision impaired across Australia, including people with diverse backgrounds, circumstances and support needs. </w:t>
      </w:r>
    </w:p>
    <w:p w14:paraId="4C0D3B45" w14:textId="4C0FB905" w:rsidR="00456C3C" w:rsidRDefault="00456C3C" w:rsidP="00CD3922">
      <w:pPr>
        <w:pStyle w:val="Quote"/>
      </w:pPr>
      <w:r>
        <w:t xml:space="preserve"> “</w:t>
      </w:r>
      <w:r w:rsidRPr="00962CF5">
        <w:t>People who are blind or vision</w:t>
      </w:r>
      <w:r>
        <w:t xml:space="preserve"> </w:t>
      </w:r>
      <w:r w:rsidRPr="00962CF5">
        <w:t>impaired are not passive recipients of support but active contributors to their communities. They participate as workers, volunteers, neighbours, carers, advocates, taxpayers and citizens, and bring critical lived expertise to co-design processes. Structural barriers - not lack of capacity or contribution - are what continue to limit full economic and social participation, including workforce participation.</w:t>
      </w:r>
      <w:r>
        <w:t>”</w:t>
      </w:r>
      <w:r w:rsidR="00CD3922">
        <w:t xml:space="preserve"> BCA Member 2026</w:t>
      </w:r>
    </w:p>
    <w:p w14:paraId="7D7982E2" w14:textId="5B80B17B" w:rsidR="000256A3" w:rsidRDefault="000256A3" w:rsidP="00D47F6B">
      <w:pPr>
        <w:pStyle w:val="Heading2"/>
      </w:pPr>
      <w:bookmarkStart w:id="16" w:name="_Toc231209352"/>
      <w:r>
        <w:t xml:space="preserve">3. </w:t>
      </w:r>
      <w:r w:rsidR="002C46E1">
        <w:t xml:space="preserve">Response to </w:t>
      </w:r>
      <w:r w:rsidR="001D63B0">
        <w:t>proposed</w:t>
      </w:r>
      <w:r w:rsidR="002C46E1" w:rsidRPr="002C46E1">
        <w:t xml:space="preserve"> National Disability Insurance Scheme Amendment (Securing the NDIS for Future Generations) Bill 2026</w:t>
      </w:r>
      <w:bookmarkEnd w:id="16"/>
      <w:r w:rsidR="001D63B0">
        <w:t xml:space="preserve"> </w:t>
      </w:r>
    </w:p>
    <w:p w14:paraId="3D8949F4" w14:textId="3C8961CB" w:rsidR="00E52CEC" w:rsidRDefault="00E52CEC" w:rsidP="00D47F6B">
      <w:pPr>
        <w:pStyle w:val="Heading2"/>
      </w:pPr>
      <w:bookmarkStart w:id="17" w:name="_Toc231209353"/>
      <w:r w:rsidRPr="00073212">
        <w:t>Schedule 1 – Access and Planning Measures</w:t>
      </w:r>
      <w:bookmarkEnd w:id="17"/>
    </w:p>
    <w:p w14:paraId="6A02C651" w14:textId="77777777" w:rsidR="00AA7DB5" w:rsidRPr="00300035" w:rsidRDefault="00AA7DB5" w:rsidP="00AA7DB5">
      <w:pPr>
        <w:pStyle w:val="Heading2"/>
      </w:pPr>
      <w:bookmarkStart w:id="18" w:name="_Toc231209354"/>
      <w:r w:rsidRPr="00300035">
        <w:t>Part 1 - Defining functional capacity</w:t>
      </w:r>
      <w:bookmarkEnd w:id="18"/>
    </w:p>
    <w:p w14:paraId="2CE8EC4C" w14:textId="67A44F02" w:rsidR="00AA7DB5" w:rsidRDefault="00AA7DB5" w:rsidP="00AA7DB5">
      <w:pPr>
        <w:pStyle w:val="Heading3"/>
      </w:pPr>
      <w:bookmarkStart w:id="19" w:name="_Toc231209355"/>
      <w:r w:rsidRPr="00E06238">
        <w:t>Recommendation</w:t>
      </w:r>
      <w:r w:rsidR="00A7008F">
        <w:t xml:space="preserve"> 1</w:t>
      </w:r>
      <w:r>
        <w:t xml:space="preserve">: </w:t>
      </w:r>
      <w:r w:rsidRPr="00581034">
        <w:t>Ensure any functional capacity framework used for NDIS access or planning is co-designed with the blindness and vision</w:t>
      </w:r>
      <w:r>
        <w:t xml:space="preserve"> impaired</w:t>
      </w:r>
      <w:r w:rsidRPr="00581034">
        <w:t xml:space="preserve"> sector, reflects the real-world functional impact of blindness and vision impairment, and is conducted by appropriately qualified professionals with expertise in blindness-specific supports</w:t>
      </w:r>
      <w:bookmarkEnd w:id="19"/>
      <w:r w:rsidRPr="00581034">
        <w:t xml:space="preserve"> </w:t>
      </w:r>
    </w:p>
    <w:p w14:paraId="561804FA" w14:textId="218CEFD6" w:rsidR="00AA7DB5" w:rsidRPr="006214BC" w:rsidRDefault="006214BC" w:rsidP="006214BC">
      <w:pPr>
        <w:pStyle w:val="ListParagraph"/>
        <w:numPr>
          <w:ilvl w:val="0"/>
          <w:numId w:val="6"/>
        </w:numPr>
        <w:spacing w:line="360" w:lineRule="auto"/>
        <w:rPr>
          <w:rFonts w:ascii="Arial" w:hAnsi="Arial" w:cs="Arial"/>
        </w:rPr>
      </w:pPr>
      <w:r>
        <w:rPr>
          <w:rFonts w:ascii="Arial" w:hAnsi="Arial" w:cs="Arial"/>
        </w:rPr>
        <w:t>Do not introduce a</w:t>
      </w:r>
      <w:r w:rsidR="00AA7DB5" w:rsidRPr="006214BC">
        <w:rPr>
          <w:rFonts w:ascii="Arial" w:hAnsi="Arial" w:cs="Arial"/>
        </w:rPr>
        <w:t>ssessment tools and frameworks without disability-specific consultation and testing</w:t>
      </w:r>
      <w:r w:rsidR="003C0956" w:rsidRPr="006214BC">
        <w:rPr>
          <w:rFonts w:ascii="Arial" w:hAnsi="Arial" w:cs="Arial"/>
        </w:rPr>
        <w:t xml:space="preserve"> involving people with lived experience</w:t>
      </w:r>
      <w:r w:rsidR="00244D95" w:rsidRPr="006214BC">
        <w:rPr>
          <w:rFonts w:ascii="Arial" w:hAnsi="Arial" w:cs="Arial"/>
        </w:rPr>
        <w:t xml:space="preserve"> of blindness and vision impairment</w:t>
      </w:r>
      <w:r w:rsidR="00AA7DB5" w:rsidRPr="006214BC">
        <w:rPr>
          <w:rFonts w:ascii="Arial" w:hAnsi="Arial" w:cs="Arial"/>
        </w:rPr>
        <w:t>.</w:t>
      </w:r>
    </w:p>
    <w:p w14:paraId="7283DE6F" w14:textId="52987890" w:rsidR="00AA7DB5" w:rsidRPr="00E06238" w:rsidRDefault="00AA7DB5" w:rsidP="00AA7DB5">
      <w:pPr>
        <w:pStyle w:val="ListParagraph"/>
        <w:numPr>
          <w:ilvl w:val="0"/>
          <w:numId w:val="6"/>
        </w:numPr>
        <w:spacing w:line="360" w:lineRule="auto"/>
        <w:rPr>
          <w:rFonts w:ascii="Arial" w:hAnsi="Arial" w:cs="Arial"/>
        </w:rPr>
      </w:pPr>
      <w:r w:rsidRPr="00E06238">
        <w:rPr>
          <w:rFonts w:ascii="Arial" w:hAnsi="Arial" w:cs="Arial"/>
        </w:rPr>
        <w:t>Require that functional capacity assessments evaluate a person</w:t>
      </w:r>
      <w:r w:rsidR="00726714">
        <w:rPr>
          <w:rFonts w:ascii="Arial" w:hAnsi="Arial" w:cs="Arial"/>
        </w:rPr>
        <w:t>’s</w:t>
      </w:r>
      <w:r w:rsidRPr="00E06238">
        <w:rPr>
          <w:rFonts w:ascii="Arial" w:hAnsi="Arial" w:cs="Arial"/>
        </w:rPr>
        <w:t xml:space="preserve"> capacity in real-world conditions and do not make assumptions about </w:t>
      </w:r>
      <w:r w:rsidR="00726714">
        <w:rPr>
          <w:rFonts w:ascii="Arial" w:hAnsi="Arial" w:cs="Arial"/>
        </w:rPr>
        <w:t xml:space="preserve">the </w:t>
      </w:r>
      <w:r w:rsidRPr="00E06238">
        <w:rPr>
          <w:rFonts w:ascii="Arial" w:hAnsi="Arial" w:cs="Arial"/>
        </w:rPr>
        <w:t>independence</w:t>
      </w:r>
      <w:r w:rsidR="00726714">
        <w:rPr>
          <w:rFonts w:ascii="Arial" w:hAnsi="Arial" w:cs="Arial"/>
        </w:rPr>
        <w:t xml:space="preserve"> of people who are blind or vision impaired</w:t>
      </w:r>
      <w:r w:rsidRPr="00E06238">
        <w:rPr>
          <w:rFonts w:ascii="Arial" w:hAnsi="Arial" w:cs="Arial"/>
        </w:rPr>
        <w:t>.</w:t>
      </w:r>
    </w:p>
    <w:p w14:paraId="47F92C94" w14:textId="77777777" w:rsidR="00AA7DB5" w:rsidRPr="00E06238" w:rsidRDefault="00AA7DB5" w:rsidP="00AA7DB5">
      <w:pPr>
        <w:pStyle w:val="ListParagraph"/>
        <w:numPr>
          <w:ilvl w:val="0"/>
          <w:numId w:val="6"/>
        </w:numPr>
        <w:spacing w:line="360" w:lineRule="auto"/>
        <w:rPr>
          <w:rFonts w:ascii="Arial" w:hAnsi="Arial" w:cs="Arial"/>
        </w:rPr>
      </w:pPr>
      <w:r w:rsidRPr="00E06238">
        <w:rPr>
          <w:rFonts w:ascii="Arial" w:hAnsi="Arial" w:cs="Arial"/>
        </w:rPr>
        <w:t>Require that any eligibility or functional assessment involving blindness or vision impairment be conducted or reviewed by professionals with demonstrated expertise in blindness, low vision and blindness-specific supports.</w:t>
      </w:r>
    </w:p>
    <w:p w14:paraId="3D30051B" w14:textId="77777777" w:rsidR="00AA7DB5" w:rsidRPr="00E06238" w:rsidRDefault="00AA7DB5" w:rsidP="00AA7DB5">
      <w:pPr>
        <w:pStyle w:val="ListParagraph"/>
        <w:numPr>
          <w:ilvl w:val="0"/>
          <w:numId w:val="6"/>
        </w:numPr>
        <w:spacing w:line="360" w:lineRule="auto"/>
        <w:rPr>
          <w:rFonts w:ascii="Arial" w:hAnsi="Arial" w:cs="Arial"/>
        </w:rPr>
      </w:pPr>
      <w:r w:rsidRPr="00E06238">
        <w:rPr>
          <w:rFonts w:ascii="Arial" w:hAnsi="Arial" w:cs="Arial"/>
        </w:rPr>
        <w:lastRenderedPageBreak/>
        <w:t>Require that assessment frameworks explicitly recognise progressive and fluctuating vision conditions, including the cumulative impact of fatigue, light sensitivity, visual processing difficulties and variable functional vision.</w:t>
      </w:r>
    </w:p>
    <w:p w14:paraId="7640A064" w14:textId="7325A208" w:rsidR="00AA7DB5" w:rsidRPr="00E06238" w:rsidRDefault="00AA7DB5" w:rsidP="00AA7DB5">
      <w:pPr>
        <w:spacing w:line="360" w:lineRule="auto"/>
        <w:rPr>
          <w:rFonts w:ascii="Arial" w:hAnsi="Arial" w:cs="Arial"/>
          <w:b/>
          <w:bCs/>
        </w:rPr>
      </w:pPr>
      <w:r w:rsidRPr="00E06238">
        <w:rPr>
          <w:rFonts w:ascii="Arial" w:hAnsi="Arial" w:cs="Arial"/>
          <w:b/>
          <w:bCs/>
        </w:rPr>
        <w:t>Rationale</w:t>
      </w:r>
    </w:p>
    <w:p w14:paraId="28561663" w14:textId="470A41FD" w:rsidR="00AA7DB5" w:rsidRPr="00497E23" w:rsidRDefault="00AA7DB5" w:rsidP="00AA7DB5">
      <w:pPr>
        <w:pStyle w:val="ListParagraph"/>
        <w:numPr>
          <w:ilvl w:val="0"/>
          <w:numId w:val="10"/>
        </w:numPr>
        <w:spacing w:line="360" w:lineRule="auto"/>
        <w:rPr>
          <w:rFonts w:ascii="Arial" w:hAnsi="Arial" w:cs="Arial"/>
        </w:rPr>
      </w:pPr>
      <w:r w:rsidRPr="00497E23">
        <w:rPr>
          <w:rFonts w:ascii="Arial" w:hAnsi="Arial" w:cs="Arial"/>
        </w:rPr>
        <w:t xml:space="preserve">Blindness-related barriers are frequently misunderstood in generic disability policy </w:t>
      </w:r>
      <w:r w:rsidR="000D11DB" w:rsidRPr="00497E23">
        <w:rPr>
          <w:rFonts w:ascii="Arial" w:hAnsi="Arial" w:cs="Arial"/>
        </w:rPr>
        <w:t>design,</w:t>
      </w:r>
      <w:r w:rsidRPr="00497E23">
        <w:rPr>
          <w:rFonts w:ascii="Arial" w:hAnsi="Arial" w:cs="Arial"/>
        </w:rPr>
        <w:t xml:space="preserve"> and generic functional assessment tools frequently fail to capture the lived impact of blindness and vision impairment.</w:t>
      </w:r>
    </w:p>
    <w:p w14:paraId="336E507E" w14:textId="77777777" w:rsidR="00AA7DB5" w:rsidRPr="00E06238" w:rsidRDefault="00AA7DB5" w:rsidP="00AA7DB5">
      <w:pPr>
        <w:pStyle w:val="ListParagraph"/>
        <w:numPr>
          <w:ilvl w:val="0"/>
          <w:numId w:val="10"/>
        </w:numPr>
        <w:spacing w:line="360" w:lineRule="auto"/>
        <w:rPr>
          <w:rFonts w:ascii="Arial" w:hAnsi="Arial" w:cs="Arial"/>
        </w:rPr>
      </w:pPr>
      <w:r w:rsidRPr="00D610E0">
        <w:rPr>
          <w:rFonts w:ascii="Arial" w:hAnsi="Arial" w:cs="Arial"/>
        </w:rPr>
        <w:t>Functional capacity for people who are blind or vision impaired cannot be assessed in isolation from the accessibility of the surrounding environment. Assessments that focus on what a person can theoretically do in controlled settings fail to account for the real-world impact of inaccessible information, transport barriers, unsafe environments, digital exclusion, discriminatory attitudes and limited informal supports on safe and independent participation.</w:t>
      </w:r>
    </w:p>
    <w:p w14:paraId="2A12C386" w14:textId="4A847347" w:rsidR="00AA7DB5" w:rsidRPr="00E06238" w:rsidRDefault="00AA7DB5" w:rsidP="00AA7DB5">
      <w:pPr>
        <w:pStyle w:val="ListParagraph"/>
        <w:numPr>
          <w:ilvl w:val="0"/>
          <w:numId w:val="10"/>
        </w:numPr>
        <w:spacing w:line="360" w:lineRule="auto"/>
        <w:rPr>
          <w:rFonts w:ascii="Arial" w:hAnsi="Arial" w:cs="Arial"/>
        </w:rPr>
      </w:pPr>
      <w:r w:rsidRPr="00E06238">
        <w:rPr>
          <w:rFonts w:ascii="Arial" w:hAnsi="Arial" w:cs="Arial"/>
        </w:rPr>
        <w:t>Many blind and vision impaired people appear high functioning because they have developed compensatory strategies and rely on specialist supports. The effective use of assistive technology, orientation and mobility skills, Braille, screen readers, dog</w:t>
      </w:r>
      <w:r w:rsidR="009308D0">
        <w:rPr>
          <w:rFonts w:ascii="Arial" w:hAnsi="Arial" w:cs="Arial"/>
        </w:rPr>
        <w:t xml:space="preserve"> guides</w:t>
      </w:r>
      <w:r w:rsidRPr="00E06238">
        <w:rPr>
          <w:rFonts w:ascii="Arial" w:hAnsi="Arial" w:cs="Arial"/>
        </w:rPr>
        <w:t xml:space="preserve"> or support workers must not be used to justify reducing eligibility or supports.</w:t>
      </w:r>
    </w:p>
    <w:p w14:paraId="2CE3A5AD" w14:textId="77777777" w:rsidR="00AA7DB5" w:rsidRDefault="00AA7DB5" w:rsidP="00AA7DB5">
      <w:pPr>
        <w:pStyle w:val="ListParagraph"/>
        <w:numPr>
          <w:ilvl w:val="0"/>
          <w:numId w:val="10"/>
        </w:numPr>
        <w:spacing w:line="360" w:lineRule="auto"/>
        <w:rPr>
          <w:rFonts w:ascii="Arial" w:hAnsi="Arial" w:cs="Arial"/>
        </w:rPr>
      </w:pPr>
      <w:r w:rsidRPr="00B86E46">
        <w:rPr>
          <w:rFonts w:ascii="Arial" w:hAnsi="Arial" w:cs="Arial"/>
        </w:rPr>
        <w:t>The impact of blindness and low vision is frequently underestimated due to limited community and institutional understanding of the extent to which everyday activities, communication and participation rely on vision.</w:t>
      </w:r>
    </w:p>
    <w:p w14:paraId="3457A7F4" w14:textId="77777777" w:rsidR="00AA7DB5" w:rsidRDefault="00AA7DB5" w:rsidP="00AA7DB5">
      <w:pPr>
        <w:pStyle w:val="ListParagraph"/>
        <w:numPr>
          <w:ilvl w:val="0"/>
          <w:numId w:val="10"/>
        </w:numPr>
        <w:spacing w:line="360" w:lineRule="auto"/>
        <w:rPr>
          <w:rFonts w:ascii="Arial" w:hAnsi="Arial" w:cs="Arial"/>
        </w:rPr>
      </w:pPr>
      <w:r w:rsidRPr="00E06238">
        <w:rPr>
          <w:rFonts w:ascii="Arial" w:hAnsi="Arial" w:cs="Arial"/>
        </w:rPr>
        <w:t>Assessors without blindness expertise may incorrectly assume that people can access printed information, navigate safely, use inaccessible technology, recognise faces, interpret visual cues or travel independently without risk.</w:t>
      </w:r>
    </w:p>
    <w:p w14:paraId="00AC8F51" w14:textId="77777777" w:rsidR="004D16EC" w:rsidRDefault="004D16EC" w:rsidP="004D16EC">
      <w:pPr>
        <w:pStyle w:val="ListParagraph"/>
        <w:numPr>
          <w:ilvl w:val="0"/>
          <w:numId w:val="10"/>
        </w:numPr>
        <w:spacing w:line="360" w:lineRule="auto"/>
        <w:rPr>
          <w:rFonts w:ascii="Arial" w:hAnsi="Arial" w:cs="Arial"/>
        </w:rPr>
      </w:pPr>
      <w:r w:rsidRPr="00E06238">
        <w:rPr>
          <w:rFonts w:ascii="Arial" w:hAnsi="Arial" w:cs="Arial"/>
        </w:rPr>
        <w:t>Co-design with people who are blind or vision impaired is necessary to avoid unintended exclusion.</w:t>
      </w:r>
    </w:p>
    <w:p w14:paraId="2349E6C8" w14:textId="23984A04" w:rsidR="003A4974" w:rsidRDefault="003A4974" w:rsidP="004D16EC">
      <w:pPr>
        <w:pStyle w:val="ListParagraph"/>
        <w:numPr>
          <w:ilvl w:val="0"/>
          <w:numId w:val="10"/>
        </w:numPr>
        <w:spacing w:line="360" w:lineRule="auto"/>
        <w:rPr>
          <w:rFonts w:ascii="Arial" w:hAnsi="Arial" w:cs="Arial"/>
        </w:rPr>
      </w:pPr>
      <w:r w:rsidRPr="003A4974">
        <w:rPr>
          <w:rFonts w:ascii="Arial" w:hAnsi="Arial" w:cs="Arial"/>
        </w:rPr>
        <w:t>The Bill contains potentially conflicting policy objectives. While a functional capacity approach could broaden access by focusing on the impact of disability rather than diagnosis alone, this sits in tension with the Government’s stated objective of reducing NDIS growth. There is a significant risk that functional assessments will be implemented primarily as a cost-containment mechanism rather than a genuine measure of support need.</w:t>
      </w:r>
    </w:p>
    <w:p w14:paraId="1FD6BAAF" w14:textId="0A39CEF0" w:rsidR="00B43C17" w:rsidRDefault="00E40DA7" w:rsidP="00D47F6B">
      <w:pPr>
        <w:pStyle w:val="Heading2"/>
      </w:pPr>
      <w:bookmarkStart w:id="20" w:name="_Toc231209356"/>
      <w:r w:rsidRPr="00E40DA7">
        <w:lastRenderedPageBreak/>
        <w:t>Part 3 - Strengthen link between an impairment and need for support</w:t>
      </w:r>
      <w:bookmarkEnd w:id="20"/>
    </w:p>
    <w:p w14:paraId="3963BAD7" w14:textId="03BE1BFC" w:rsidR="00015185" w:rsidRDefault="00C73B21" w:rsidP="00B8326B">
      <w:pPr>
        <w:pStyle w:val="Heading3"/>
        <w:rPr>
          <w:rFonts w:ascii="Arial" w:hAnsi="Arial" w:cs="Arial"/>
        </w:rPr>
      </w:pPr>
      <w:bookmarkStart w:id="21" w:name="_Toc231209357"/>
      <w:r w:rsidRPr="00E06238">
        <w:t>Recommendation</w:t>
      </w:r>
      <w:r w:rsidR="00A7008F">
        <w:t xml:space="preserve"> 2</w:t>
      </w:r>
      <w:r>
        <w:t xml:space="preserve">: </w:t>
      </w:r>
      <w:r w:rsidR="00815556">
        <w:t xml:space="preserve">Ensure new access tests and </w:t>
      </w:r>
      <w:r w:rsidR="00B8326B">
        <w:t xml:space="preserve">requirements related to appropriate treatment and functional capacity </w:t>
      </w:r>
      <w:r w:rsidR="00144EAB" w:rsidRPr="00144EAB">
        <w:rPr>
          <w:rFonts w:ascii="Arial" w:hAnsi="Arial" w:cs="Arial"/>
        </w:rPr>
        <w:t>account for the complex and cumulative nature of disability experienced by people who are blind or vision impaired.</w:t>
      </w:r>
      <w:bookmarkEnd w:id="21"/>
      <w:r w:rsidR="0058769B">
        <w:rPr>
          <w:rFonts w:ascii="Arial" w:hAnsi="Arial" w:cs="Arial"/>
        </w:rPr>
        <w:t xml:space="preserve"> </w:t>
      </w:r>
    </w:p>
    <w:p w14:paraId="7B0BEEAD" w14:textId="1C02FAFF" w:rsidR="00C73B21" w:rsidRPr="00E06238" w:rsidRDefault="00C73B21" w:rsidP="00C73B21">
      <w:pPr>
        <w:spacing w:line="360" w:lineRule="auto"/>
        <w:rPr>
          <w:rFonts w:ascii="Arial" w:hAnsi="Arial" w:cs="Arial"/>
        </w:rPr>
      </w:pPr>
      <w:r w:rsidRPr="00E06238">
        <w:rPr>
          <w:rFonts w:ascii="Arial" w:hAnsi="Arial" w:cs="Arial"/>
        </w:rPr>
        <w:t>Ensure that blindness and vision impairment are assessed holistically, including through:</w:t>
      </w:r>
    </w:p>
    <w:p w14:paraId="13D05EEF" w14:textId="77777777" w:rsidR="00C73B21" w:rsidRPr="00E06238" w:rsidRDefault="00C73B21" w:rsidP="00C73B21">
      <w:pPr>
        <w:numPr>
          <w:ilvl w:val="0"/>
          <w:numId w:val="17"/>
        </w:numPr>
        <w:spacing w:line="360" w:lineRule="auto"/>
        <w:rPr>
          <w:rFonts w:ascii="Arial" w:hAnsi="Arial" w:cs="Arial"/>
        </w:rPr>
      </w:pPr>
      <w:r w:rsidRPr="00E06238">
        <w:rPr>
          <w:rFonts w:ascii="Arial" w:hAnsi="Arial" w:cs="Arial"/>
        </w:rPr>
        <w:t xml:space="preserve">explicit recognition of co-occurring conditions, causative diseases and secondary consequences associated with blindness and vision impairment; </w:t>
      </w:r>
    </w:p>
    <w:p w14:paraId="3BD6A282" w14:textId="77777777" w:rsidR="00C73B21" w:rsidRPr="00E06238" w:rsidRDefault="00C73B21" w:rsidP="00C73B21">
      <w:pPr>
        <w:numPr>
          <w:ilvl w:val="0"/>
          <w:numId w:val="17"/>
        </w:numPr>
        <w:spacing w:line="360" w:lineRule="auto"/>
        <w:rPr>
          <w:rFonts w:ascii="Arial" w:hAnsi="Arial" w:cs="Arial"/>
        </w:rPr>
      </w:pPr>
      <w:r w:rsidRPr="00E06238">
        <w:rPr>
          <w:rFonts w:ascii="Arial" w:hAnsi="Arial" w:cs="Arial"/>
        </w:rPr>
        <w:t xml:space="preserve">assessment of cumulative functional impact across multiple conditions, rather than considering each condition in isolation; </w:t>
      </w:r>
    </w:p>
    <w:p w14:paraId="34252B18" w14:textId="77777777" w:rsidR="00C73B21" w:rsidRPr="00E06238" w:rsidRDefault="00C73B21" w:rsidP="00C73B21">
      <w:pPr>
        <w:numPr>
          <w:ilvl w:val="0"/>
          <w:numId w:val="17"/>
        </w:numPr>
        <w:spacing w:line="360" w:lineRule="auto"/>
        <w:rPr>
          <w:rFonts w:ascii="Arial" w:hAnsi="Arial" w:cs="Arial"/>
        </w:rPr>
      </w:pPr>
      <w:r w:rsidRPr="00E06238">
        <w:rPr>
          <w:rFonts w:ascii="Arial" w:hAnsi="Arial" w:cs="Arial"/>
        </w:rPr>
        <w:t xml:space="preserve">safeguards to ensure the “appropriate treatment” requirement does not create unreasonable barriers for people with permanent vision impairment linked to chronic or progressive conditions; and </w:t>
      </w:r>
    </w:p>
    <w:p w14:paraId="10F317B5" w14:textId="024BC4F7" w:rsidR="00C73B21" w:rsidRPr="00E06238" w:rsidRDefault="00C73B21" w:rsidP="00C73B21">
      <w:pPr>
        <w:numPr>
          <w:ilvl w:val="0"/>
          <w:numId w:val="17"/>
        </w:numPr>
        <w:spacing w:line="360" w:lineRule="auto"/>
        <w:rPr>
          <w:rFonts w:ascii="Arial" w:hAnsi="Arial" w:cs="Arial"/>
        </w:rPr>
      </w:pPr>
      <w:r w:rsidRPr="00E06238">
        <w:rPr>
          <w:rFonts w:ascii="Arial" w:hAnsi="Arial" w:cs="Arial"/>
        </w:rPr>
        <w:t xml:space="preserve">acceptance of lived experience evidence, clinical expertise and functional evidence where peer-reviewed cohort data may be limited due to the low-incidence nature of </w:t>
      </w:r>
      <w:r w:rsidR="0065011F" w:rsidRPr="00E06238">
        <w:rPr>
          <w:rFonts w:ascii="Arial" w:hAnsi="Arial" w:cs="Arial"/>
        </w:rPr>
        <w:t>conditions</w:t>
      </w:r>
      <w:r w:rsidRPr="00E06238">
        <w:rPr>
          <w:rFonts w:ascii="Arial" w:hAnsi="Arial" w:cs="Arial"/>
        </w:rPr>
        <w:t>.</w:t>
      </w:r>
    </w:p>
    <w:p w14:paraId="58E12204" w14:textId="77777777" w:rsidR="00C73B21" w:rsidRPr="00E06238" w:rsidRDefault="00C73B21" w:rsidP="00C73B21">
      <w:pPr>
        <w:spacing w:line="360" w:lineRule="auto"/>
        <w:rPr>
          <w:rFonts w:ascii="Arial" w:hAnsi="Arial" w:cs="Arial"/>
          <w:b/>
          <w:bCs/>
        </w:rPr>
      </w:pPr>
      <w:r w:rsidRPr="00E06238">
        <w:rPr>
          <w:rFonts w:ascii="Arial" w:hAnsi="Arial" w:cs="Arial"/>
          <w:b/>
          <w:bCs/>
        </w:rPr>
        <w:t>Rationale</w:t>
      </w:r>
    </w:p>
    <w:p w14:paraId="4FE2D42F" w14:textId="0943E230" w:rsidR="00C73B21" w:rsidRDefault="00C73B21" w:rsidP="00C73B21">
      <w:pPr>
        <w:pStyle w:val="ListParagraph"/>
        <w:numPr>
          <w:ilvl w:val="0"/>
          <w:numId w:val="16"/>
        </w:numPr>
        <w:spacing w:line="360" w:lineRule="auto"/>
        <w:rPr>
          <w:rFonts w:ascii="Arial" w:hAnsi="Arial" w:cs="Arial"/>
        </w:rPr>
      </w:pPr>
      <w:r w:rsidRPr="00E06238">
        <w:rPr>
          <w:rFonts w:ascii="Arial" w:hAnsi="Arial" w:cs="Arial"/>
        </w:rPr>
        <w:t>The proposed NDIS access reforms risk creating unintended barriers for people who are blind or vision impaired who also experience co-occurring conditions, underlying health conditions, or secondary consequences associated with vision loss.</w:t>
      </w:r>
    </w:p>
    <w:p w14:paraId="4726CA95" w14:textId="77777777" w:rsidR="005E77E0" w:rsidRPr="00E06238" w:rsidRDefault="005E77E0" w:rsidP="005E77E0">
      <w:pPr>
        <w:pStyle w:val="ListParagraph"/>
        <w:numPr>
          <w:ilvl w:val="0"/>
          <w:numId w:val="16"/>
        </w:numPr>
        <w:spacing w:line="360" w:lineRule="auto"/>
        <w:rPr>
          <w:rFonts w:ascii="Arial" w:hAnsi="Arial" w:cs="Arial"/>
        </w:rPr>
      </w:pPr>
      <w:r w:rsidRPr="00E06238">
        <w:rPr>
          <w:rFonts w:ascii="Arial" w:hAnsi="Arial" w:cs="Arial"/>
        </w:rPr>
        <w:t>Assessing conditions separately risks understating the true level of disability-related support required and may result in inappropriate exclusion from the NDIS or reduced access to necessary supports.</w:t>
      </w:r>
    </w:p>
    <w:p w14:paraId="4BF2FC05" w14:textId="77777777" w:rsidR="00C73B21" w:rsidRPr="00E06238" w:rsidRDefault="00C73B21" w:rsidP="00C73B21">
      <w:pPr>
        <w:pStyle w:val="ListParagraph"/>
        <w:numPr>
          <w:ilvl w:val="0"/>
          <w:numId w:val="16"/>
        </w:numPr>
        <w:spacing w:line="360" w:lineRule="auto"/>
        <w:rPr>
          <w:rFonts w:ascii="Arial" w:hAnsi="Arial" w:cs="Arial"/>
        </w:rPr>
      </w:pPr>
      <w:r w:rsidRPr="00E06238">
        <w:rPr>
          <w:rFonts w:ascii="Arial" w:hAnsi="Arial" w:cs="Arial"/>
        </w:rPr>
        <w:t>People who are blind or vision impaired commonly experience three broad categories of co-morbidity:</w:t>
      </w:r>
    </w:p>
    <w:p w14:paraId="43BB29B4" w14:textId="64BAA9A8" w:rsidR="00C73B21" w:rsidRPr="00E06238" w:rsidRDefault="00C73B21" w:rsidP="00C73B21">
      <w:pPr>
        <w:numPr>
          <w:ilvl w:val="1"/>
          <w:numId w:val="16"/>
        </w:numPr>
        <w:spacing w:line="360" w:lineRule="auto"/>
        <w:rPr>
          <w:rFonts w:ascii="Arial" w:hAnsi="Arial" w:cs="Arial"/>
        </w:rPr>
      </w:pPr>
      <w:r w:rsidRPr="00E06238">
        <w:rPr>
          <w:rFonts w:ascii="Arial" w:hAnsi="Arial" w:cs="Arial"/>
        </w:rPr>
        <w:t>co-occurring conditions, such as autism, intellectual disability, psychosocial disability, acquired brain injury</w:t>
      </w:r>
      <w:r w:rsidR="00A128F3">
        <w:rPr>
          <w:rFonts w:ascii="Arial" w:hAnsi="Arial" w:cs="Arial"/>
        </w:rPr>
        <w:t>, deafness</w:t>
      </w:r>
      <w:r w:rsidRPr="00E06238">
        <w:rPr>
          <w:rFonts w:ascii="Arial" w:hAnsi="Arial" w:cs="Arial"/>
        </w:rPr>
        <w:t xml:space="preserve"> or dementia; </w:t>
      </w:r>
    </w:p>
    <w:p w14:paraId="7E3BA8B7" w14:textId="77777777" w:rsidR="00C73B21" w:rsidRPr="00E06238" w:rsidRDefault="00C73B21" w:rsidP="00C73B21">
      <w:pPr>
        <w:numPr>
          <w:ilvl w:val="1"/>
          <w:numId w:val="16"/>
        </w:numPr>
        <w:spacing w:line="360" w:lineRule="auto"/>
        <w:rPr>
          <w:rFonts w:ascii="Arial" w:hAnsi="Arial" w:cs="Arial"/>
        </w:rPr>
      </w:pPr>
      <w:r w:rsidRPr="00E06238">
        <w:rPr>
          <w:rFonts w:ascii="Arial" w:hAnsi="Arial" w:cs="Arial"/>
        </w:rPr>
        <w:lastRenderedPageBreak/>
        <w:t xml:space="preserve">causative conditions or diseases, such as diabetic retinopathy, glaucoma, age-related macular degeneration or retinitis pigmentosa; and </w:t>
      </w:r>
    </w:p>
    <w:p w14:paraId="51C47BE0" w14:textId="77777777" w:rsidR="00C73B21" w:rsidRPr="00E06238" w:rsidRDefault="00C73B21" w:rsidP="00C73B21">
      <w:pPr>
        <w:numPr>
          <w:ilvl w:val="1"/>
          <w:numId w:val="16"/>
        </w:numPr>
        <w:spacing w:line="360" w:lineRule="auto"/>
        <w:rPr>
          <w:rFonts w:ascii="Arial" w:hAnsi="Arial" w:cs="Arial"/>
        </w:rPr>
      </w:pPr>
      <w:r w:rsidRPr="00E06238">
        <w:rPr>
          <w:rFonts w:ascii="Arial" w:hAnsi="Arial" w:cs="Arial"/>
        </w:rPr>
        <w:t xml:space="preserve">secondary consequences arising from vision loss, including depression, anxiety, falls risk, social isolation and reduced community participation. </w:t>
      </w:r>
    </w:p>
    <w:p w14:paraId="79D122E7" w14:textId="77777777" w:rsidR="00C73B21" w:rsidRPr="00E06238" w:rsidRDefault="00C73B21" w:rsidP="00C73B21">
      <w:pPr>
        <w:pStyle w:val="ListParagraph"/>
        <w:numPr>
          <w:ilvl w:val="0"/>
          <w:numId w:val="16"/>
        </w:numPr>
        <w:spacing w:line="360" w:lineRule="auto"/>
        <w:rPr>
          <w:rFonts w:ascii="Arial" w:hAnsi="Arial" w:cs="Arial"/>
        </w:rPr>
      </w:pPr>
      <w:r w:rsidRPr="00E06238">
        <w:rPr>
          <w:rFonts w:ascii="Arial" w:hAnsi="Arial" w:cs="Arial"/>
        </w:rPr>
        <w:t>The proposed reforms may apply unevenly across these categories. For example, people with blindness caused by progressive or chronic health conditions may be required to demonstrate that all “appropriate treatment” options have been exhausted before accessing supports, potentially shifting the focus from functional impact to medical management. Similarly, where participants experience co-occurring psychosocial disability, autism or mental health impacts associated with blindness, there is uncertainty about whether these support needs will be recognised holistically or excluded as the responsibility of another system.</w:t>
      </w:r>
    </w:p>
    <w:p w14:paraId="6734F2A6" w14:textId="77777777" w:rsidR="00C73B21" w:rsidRPr="00E06238" w:rsidRDefault="00C73B21" w:rsidP="00C73B21">
      <w:pPr>
        <w:pStyle w:val="ListParagraph"/>
        <w:numPr>
          <w:ilvl w:val="0"/>
          <w:numId w:val="16"/>
        </w:numPr>
        <w:spacing w:line="360" w:lineRule="auto"/>
        <w:rPr>
          <w:rFonts w:ascii="Arial" w:hAnsi="Arial" w:cs="Arial"/>
        </w:rPr>
      </w:pPr>
      <w:r w:rsidRPr="00E06238">
        <w:rPr>
          <w:rFonts w:ascii="Arial" w:hAnsi="Arial" w:cs="Arial"/>
        </w:rPr>
        <w:t>There is also a significant risk that people with rare or low-incidence conditions will be disadvantaged by evidentiary requirements that rely heavily on large-scale peer-reviewed data, despite strong lived experience evidence demonstrating substantial functional impact.</w:t>
      </w:r>
    </w:p>
    <w:p w14:paraId="41ACCDF0" w14:textId="77777777" w:rsidR="00C73B21" w:rsidRDefault="00C73B21" w:rsidP="00C73B21">
      <w:pPr>
        <w:pStyle w:val="ListParagraph"/>
        <w:numPr>
          <w:ilvl w:val="0"/>
          <w:numId w:val="16"/>
        </w:numPr>
        <w:spacing w:line="360" w:lineRule="auto"/>
        <w:rPr>
          <w:rFonts w:ascii="Arial" w:hAnsi="Arial" w:cs="Arial"/>
        </w:rPr>
      </w:pPr>
      <w:r w:rsidRPr="00E06238">
        <w:rPr>
          <w:rFonts w:ascii="Arial" w:hAnsi="Arial" w:cs="Arial"/>
        </w:rPr>
        <w:t xml:space="preserve">A narrow interpretation of “appropriate treatment” could also unfairly disadvantage people whose blindness is connected to lifelong, degenerative or chronic medical conditions. In many cases, medical management may slow progression but cannot restore vision or eliminate the need for disability-related supports. </w:t>
      </w:r>
    </w:p>
    <w:p w14:paraId="59039103" w14:textId="76DB5760" w:rsidR="0054684E" w:rsidRPr="0054684E" w:rsidRDefault="0054684E" w:rsidP="0054684E">
      <w:pPr>
        <w:pStyle w:val="Quote"/>
      </w:pPr>
      <w:r w:rsidRPr="0054684E">
        <w:t xml:space="preserve"> “It is my experience that increased mobility is misunderstood by many in the community - including NDIA employees – and assumptions that mobility aids solve all problems. But this is clearly not the case. I simply cannot ask my guide dog to find the airport gate or to find the toilet when she has not been trained to do so for that specific location.</w:t>
      </w:r>
      <w:r w:rsidRPr="0054684E">
        <w:rPr>
          <w:rFonts w:ascii="Times New Roman" w:eastAsia="Times New Roman" w:hAnsi="Times New Roman" w:cs="Times New Roman"/>
          <w:kern w:val="0"/>
          <w:sz w:val="21"/>
          <w:szCs w:val="21"/>
          <w:lang w:eastAsia="en-AU"/>
          <w14:ligatures w14:val="none"/>
        </w:rPr>
        <w:t xml:space="preserve"> </w:t>
      </w:r>
      <w:r w:rsidRPr="0054684E">
        <w:t xml:space="preserve">My guide dog cannot find a grocery item for me or an item in a Bunnings outlet. My guide dog cannot choose clothes for me or tell me what colour a shirt is. But she can help me navigate the world safely on routes in which she is trained.” </w:t>
      </w:r>
      <w:r>
        <w:t>BCA Member 2026</w:t>
      </w:r>
    </w:p>
    <w:p w14:paraId="16ED8540" w14:textId="7BE2E041" w:rsidR="00E40DA7" w:rsidRDefault="00E40DA7" w:rsidP="00D47F6B">
      <w:pPr>
        <w:pStyle w:val="Heading2"/>
      </w:pPr>
      <w:bookmarkStart w:id="22" w:name="_Toc231209358"/>
      <w:r w:rsidRPr="00E40DA7">
        <w:lastRenderedPageBreak/>
        <w:t>Part 4 - Support determinations</w:t>
      </w:r>
      <w:bookmarkEnd w:id="22"/>
    </w:p>
    <w:p w14:paraId="03902B7D" w14:textId="6AF9D1EF" w:rsidR="00AC1172" w:rsidRDefault="00AC1172" w:rsidP="00D43FD5">
      <w:pPr>
        <w:pStyle w:val="Heading3"/>
      </w:pPr>
      <w:bookmarkStart w:id="23" w:name="_Toc231209359"/>
      <w:r w:rsidRPr="00E06238">
        <w:t>Recommendation</w:t>
      </w:r>
      <w:r w:rsidR="00A7008F">
        <w:t xml:space="preserve"> 3</w:t>
      </w:r>
      <w:r w:rsidRPr="00E06238">
        <w:t>:</w:t>
      </w:r>
      <w:r>
        <w:t xml:space="preserve"> </w:t>
      </w:r>
      <w:r w:rsidRPr="00654D5D">
        <w:t>Reject blanket reductions to NDIS participant plans and ensure any funding or eligibility reforms are subject to strong legislative safeguards, independent disability-specific impact assessment and review rights</w:t>
      </w:r>
      <w:r>
        <w:t>.</w:t>
      </w:r>
      <w:bookmarkEnd w:id="23"/>
    </w:p>
    <w:p w14:paraId="4CE1141B" w14:textId="14118905" w:rsidR="00AC1172" w:rsidRDefault="00AC1172" w:rsidP="00BE38F2">
      <w:pPr>
        <w:pStyle w:val="Heading3"/>
      </w:pPr>
      <w:bookmarkStart w:id="24" w:name="_Toc231209360"/>
      <w:r w:rsidRPr="00BE38F2">
        <w:rPr>
          <w:rStyle w:val="Heading3Char"/>
        </w:rPr>
        <w:t>Recommendation</w:t>
      </w:r>
      <w:r w:rsidR="00A7008F">
        <w:rPr>
          <w:rStyle w:val="Heading3Char"/>
        </w:rPr>
        <w:t xml:space="preserve"> 4</w:t>
      </w:r>
      <w:r w:rsidRPr="00BE38F2">
        <w:rPr>
          <w:rStyle w:val="Heading3Char"/>
        </w:rPr>
        <w:t>: Recognise that</w:t>
      </w:r>
      <w:r w:rsidR="00EA5D31">
        <w:rPr>
          <w:rStyle w:val="Heading3Char"/>
        </w:rPr>
        <w:t xml:space="preserve"> NDIS</w:t>
      </w:r>
      <w:r w:rsidRPr="00BE38F2">
        <w:rPr>
          <w:rStyle w:val="Heading3Char"/>
        </w:rPr>
        <w:t xml:space="preserve"> supports for people who are blind or vision impaired - including social, civic and community participation supports - are essential </w:t>
      </w:r>
      <w:r w:rsidR="00DA7086">
        <w:rPr>
          <w:rStyle w:val="Heading3Char"/>
        </w:rPr>
        <w:t xml:space="preserve">to health and safety </w:t>
      </w:r>
      <w:r w:rsidRPr="00654D5D">
        <w:t>and should not be replaced by increased reliance on informal supports or mainstream systems.</w:t>
      </w:r>
      <w:bookmarkEnd w:id="24"/>
    </w:p>
    <w:p w14:paraId="71CD2466" w14:textId="63D1D583" w:rsidR="00AC1172" w:rsidRPr="00DE14DE" w:rsidRDefault="00AC1172" w:rsidP="00DE14DE">
      <w:pPr>
        <w:pStyle w:val="ListParagraph"/>
        <w:numPr>
          <w:ilvl w:val="0"/>
          <w:numId w:val="35"/>
        </w:numPr>
        <w:spacing w:line="360" w:lineRule="auto"/>
        <w:rPr>
          <w:rFonts w:ascii="Arial" w:hAnsi="Arial" w:cs="Arial"/>
          <w:b/>
          <w:bCs/>
        </w:rPr>
      </w:pPr>
      <w:r w:rsidRPr="00DE14DE">
        <w:rPr>
          <w:rFonts w:ascii="Arial" w:hAnsi="Arial" w:cs="Arial"/>
        </w:rPr>
        <w:t>Broad budget reductions will have a disproportionate impact on people who are blind or vision impaired</w:t>
      </w:r>
      <w:r w:rsidR="00985BA6" w:rsidRPr="00DE14DE">
        <w:rPr>
          <w:rFonts w:ascii="Arial" w:hAnsi="Arial" w:cs="Arial"/>
        </w:rPr>
        <w:t>.</w:t>
      </w:r>
      <w:r w:rsidR="00C4048C" w:rsidRPr="00DE14DE">
        <w:rPr>
          <w:rFonts w:ascii="Arial" w:hAnsi="Arial" w:cs="Arial"/>
        </w:rPr>
        <w:t xml:space="preserve"> </w:t>
      </w:r>
    </w:p>
    <w:p w14:paraId="65FA6007" w14:textId="211900A5" w:rsidR="00AC1172" w:rsidRPr="00E06238" w:rsidRDefault="00AC1172" w:rsidP="00AC1172">
      <w:pPr>
        <w:pStyle w:val="ListParagraph"/>
        <w:numPr>
          <w:ilvl w:val="0"/>
          <w:numId w:val="3"/>
        </w:numPr>
        <w:spacing w:line="360" w:lineRule="auto"/>
        <w:rPr>
          <w:rFonts w:ascii="Arial" w:hAnsi="Arial" w:cs="Arial"/>
        </w:rPr>
      </w:pPr>
      <w:r w:rsidRPr="00E06238">
        <w:rPr>
          <w:rFonts w:ascii="Arial" w:hAnsi="Arial" w:cs="Arial"/>
        </w:rPr>
        <w:t>Reject blanket or across the board reductions to participant plans, including proposed reductions to social, civic and community participation supports (SCCP)</w:t>
      </w:r>
      <w:r w:rsidR="00817488">
        <w:rPr>
          <w:rFonts w:ascii="Arial" w:hAnsi="Arial" w:cs="Arial"/>
        </w:rPr>
        <w:t xml:space="preserve"> and</w:t>
      </w:r>
      <w:r w:rsidR="00AD69F6">
        <w:rPr>
          <w:rFonts w:ascii="Arial" w:hAnsi="Arial" w:cs="Arial"/>
        </w:rPr>
        <w:t xml:space="preserve"> </w:t>
      </w:r>
      <w:r w:rsidR="007D0D51">
        <w:rPr>
          <w:rFonts w:ascii="Arial" w:hAnsi="Arial" w:cs="Arial"/>
        </w:rPr>
        <w:t>capacity building daily activity supports</w:t>
      </w:r>
      <w:r w:rsidRPr="00E06238">
        <w:rPr>
          <w:rFonts w:ascii="Arial" w:hAnsi="Arial" w:cs="Arial"/>
        </w:rPr>
        <w:t>.</w:t>
      </w:r>
      <w:r w:rsidR="00163D5C">
        <w:rPr>
          <w:rFonts w:ascii="Arial" w:hAnsi="Arial" w:cs="Arial"/>
        </w:rPr>
        <w:t xml:space="preserve"> </w:t>
      </w:r>
    </w:p>
    <w:p w14:paraId="5142D9DD" w14:textId="2809A5AA" w:rsidR="00AC1172" w:rsidRDefault="00AC1172" w:rsidP="00AC1172">
      <w:pPr>
        <w:pStyle w:val="ListParagraph"/>
        <w:numPr>
          <w:ilvl w:val="0"/>
          <w:numId w:val="3"/>
        </w:numPr>
        <w:spacing w:line="360" w:lineRule="auto"/>
        <w:rPr>
          <w:rFonts w:ascii="Arial" w:hAnsi="Arial" w:cs="Arial"/>
        </w:rPr>
      </w:pPr>
      <w:r w:rsidRPr="00E06238">
        <w:rPr>
          <w:rFonts w:ascii="Arial" w:hAnsi="Arial" w:cs="Arial"/>
        </w:rPr>
        <w:t>Recognise that for people who are blind or vision impaired SCCP supports are fundamental and not discretionary or optional expenditures</w:t>
      </w:r>
      <w:r w:rsidR="002647B6">
        <w:rPr>
          <w:rFonts w:ascii="Arial" w:hAnsi="Arial" w:cs="Arial"/>
        </w:rPr>
        <w:t xml:space="preserve"> and prevent </w:t>
      </w:r>
      <w:r w:rsidR="00FD31C7" w:rsidRPr="009A2ED9">
        <w:rPr>
          <w:rFonts w:ascii="Arial" w:hAnsi="Arial" w:cs="Arial"/>
        </w:rPr>
        <w:t>isolation, injury, deterioration and exclusion</w:t>
      </w:r>
      <w:r w:rsidRPr="00E06238">
        <w:rPr>
          <w:rFonts w:ascii="Arial" w:hAnsi="Arial" w:cs="Arial"/>
        </w:rPr>
        <w:t>.</w:t>
      </w:r>
    </w:p>
    <w:p w14:paraId="1791C4BF" w14:textId="584B0CE1" w:rsidR="00E11DD1" w:rsidRPr="00E11DD1" w:rsidRDefault="00505F1B" w:rsidP="00E11DD1">
      <w:pPr>
        <w:pStyle w:val="ListParagraph"/>
        <w:numPr>
          <w:ilvl w:val="0"/>
          <w:numId w:val="3"/>
        </w:numPr>
        <w:spacing w:line="360" w:lineRule="auto"/>
        <w:rPr>
          <w:rFonts w:ascii="Arial" w:hAnsi="Arial" w:cs="Arial"/>
        </w:rPr>
      </w:pPr>
      <w:r w:rsidRPr="00E11DD1">
        <w:rPr>
          <w:rFonts w:ascii="Arial" w:hAnsi="Arial" w:cs="Arial"/>
        </w:rPr>
        <w:t xml:space="preserve">Support </w:t>
      </w:r>
      <w:r w:rsidR="00F64D7D" w:rsidRPr="00E11DD1">
        <w:rPr>
          <w:rFonts w:ascii="Arial" w:hAnsi="Arial" w:cs="Arial"/>
        </w:rPr>
        <w:t xml:space="preserve">an individualised approach to allocation of </w:t>
      </w:r>
      <w:r w:rsidR="00A71780" w:rsidRPr="00E11DD1">
        <w:rPr>
          <w:rFonts w:ascii="Arial" w:hAnsi="Arial" w:cs="Arial"/>
        </w:rPr>
        <w:t xml:space="preserve">participant </w:t>
      </w:r>
      <w:r w:rsidR="00F64D7D" w:rsidRPr="00E11DD1">
        <w:rPr>
          <w:rFonts w:ascii="Arial" w:hAnsi="Arial" w:cs="Arial"/>
        </w:rPr>
        <w:t>funding</w:t>
      </w:r>
      <w:r w:rsidR="00CC390F" w:rsidRPr="00E11DD1">
        <w:rPr>
          <w:rFonts w:ascii="Arial" w:hAnsi="Arial" w:cs="Arial"/>
        </w:rPr>
        <w:t xml:space="preserve"> that</w:t>
      </w:r>
      <w:r w:rsidR="00B576E1">
        <w:rPr>
          <w:rFonts w:ascii="Arial" w:hAnsi="Arial" w:cs="Arial"/>
        </w:rPr>
        <w:t>’</w:t>
      </w:r>
      <w:r w:rsidR="00A71780" w:rsidRPr="00E11DD1">
        <w:rPr>
          <w:rFonts w:ascii="Arial" w:hAnsi="Arial" w:cs="Arial"/>
        </w:rPr>
        <w:t xml:space="preserve">s right </w:t>
      </w:r>
      <w:r w:rsidR="00CC390F" w:rsidRPr="00E11DD1">
        <w:rPr>
          <w:rFonts w:ascii="Arial" w:hAnsi="Arial" w:cs="Arial"/>
        </w:rPr>
        <w:t>for the person</w:t>
      </w:r>
      <w:r w:rsidR="000A64EF">
        <w:rPr>
          <w:rFonts w:ascii="Arial" w:hAnsi="Arial" w:cs="Arial"/>
        </w:rPr>
        <w:t xml:space="preserve">, considers </w:t>
      </w:r>
      <w:r w:rsidR="00E11DD1" w:rsidRPr="00E11DD1">
        <w:rPr>
          <w:rFonts w:ascii="Arial" w:hAnsi="Arial" w:cs="Arial"/>
        </w:rPr>
        <w:t>a</w:t>
      </w:r>
      <w:r w:rsidR="000A64EF">
        <w:rPr>
          <w:rFonts w:ascii="Arial" w:hAnsi="Arial" w:cs="Arial"/>
        </w:rPr>
        <w:t>n individual’s</w:t>
      </w:r>
      <w:r w:rsidR="00E11DD1" w:rsidRPr="00E11DD1">
        <w:rPr>
          <w:rFonts w:ascii="Arial" w:hAnsi="Arial" w:cs="Arial"/>
        </w:rPr>
        <w:t xml:space="preserve"> capacity and capability, social and family circumstances and </w:t>
      </w:r>
      <w:r w:rsidR="00E11DD1">
        <w:rPr>
          <w:rFonts w:ascii="Arial" w:hAnsi="Arial" w:cs="Arial"/>
        </w:rPr>
        <w:t>t</w:t>
      </w:r>
      <w:r w:rsidR="00E11DD1" w:rsidRPr="00E11DD1">
        <w:rPr>
          <w:rFonts w:ascii="Arial" w:hAnsi="Arial" w:cs="Arial"/>
        </w:rPr>
        <w:t>he environment/location in which they live.</w:t>
      </w:r>
    </w:p>
    <w:p w14:paraId="0CACCDA7" w14:textId="182719AE" w:rsidR="00AC1172" w:rsidRPr="00E06238" w:rsidRDefault="00AC1172" w:rsidP="00AC1172">
      <w:pPr>
        <w:pStyle w:val="ListParagraph"/>
        <w:numPr>
          <w:ilvl w:val="0"/>
          <w:numId w:val="3"/>
        </w:numPr>
        <w:spacing w:line="360" w:lineRule="auto"/>
        <w:rPr>
          <w:rFonts w:ascii="Arial" w:hAnsi="Arial" w:cs="Arial"/>
        </w:rPr>
      </w:pPr>
      <w:r w:rsidRPr="00E06238">
        <w:rPr>
          <w:rFonts w:ascii="Arial" w:hAnsi="Arial" w:cs="Arial"/>
        </w:rPr>
        <w:t>Reject a narrow interpretation of “health and safety” focused on immediate risk</w:t>
      </w:r>
      <w:r w:rsidR="00AC665B">
        <w:rPr>
          <w:rFonts w:ascii="Arial" w:hAnsi="Arial" w:cs="Arial"/>
        </w:rPr>
        <w:t>.</w:t>
      </w:r>
      <w:r w:rsidRPr="00E06238">
        <w:rPr>
          <w:rFonts w:ascii="Arial" w:hAnsi="Arial" w:cs="Arial"/>
        </w:rPr>
        <w:t xml:space="preserve"> </w:t>
      </w:r>
      <w:r w:rsidR="00AC665B">
        <w:rPr>
          <w:rFonts w:ascii="Arial" w:hAnsi="Arial" w:cs="Arial"/>
        </w:rPr>
        <w:t>R</w:t>
      </w:r>
      <w:r w:rsidRPr="00E06238">
        <w:rPr>
          <w:rFonts w:ascii="Arial" w:hAnsi="Arial" w:cs="Arial"/>
        </w:rPr>
        <w:t xml:space="preserve">ecognise that supporting broader social and economic participation, independence and inclusion directly </w:t>
      </w:r>
      <w:proofErr w:type="gramStart"/>
      <w:r w:rsidRPr="00E06238">
        <w:rPr>
          <w:rFonts w:ascii="Arial" w:hAnsi="Arial" w:cs="Arial"/>
        </w:rPr>
        <w:t>impact</w:t>
      </w:r>
      <w:r w:rsidR="00AC665B">
        <w:rPr>
          <w:rFonts w:ascii="Arial" w:hAnsi="Arial" w:cs="Arial"/>
        </w:rPr>
        <w:t>s</w:t>
      </w:r>
      <w:proofErr w:type="gramEnd"/>
      <w:r w:rsidRPr="00E06238">
        <w:rPr>
          <w:rFonts w:ascii="Arial" w:hAnsi="Arial" w:cs="Arial"/>
        </w:rPr>
        <w:t xml:space="preserve"> health</w:t>
      </w:r>
      <w:r w:rsidR="00AC665B">
        <w:rPr>
          <w:rFonts w:ascii="Arial" w:hAnsi="Arial" w:cs="Arial"/>
        </w:rPr>
        <w:t xml:space="preserve">, </w:t>
      </w:r>
      <w:r w:rsidRPr="00E06238">
        <w:rPr>
          <w:rFonts w:ascii="Arial" w:hAnsi="Arial" w:cs="Arial"/>
        </w:rPr>
        <w:t>safety and reduces harm.</w:t>
      </w:r>
    </w:p>
    <w:p w14:paraId="5C5A3564" w14:textId="77777777" w:rsidR="00AC1172" w:rsidRPr="00E06238" w:rsidRDefault="00AC1172" w:rsidP="00AC1172">
      <w:pPr>
        <w:pStyle w:val="ListParagraph"/>
        <w:numPr>
          <w:ilvl w:val="0"/>
          <w:numId w:val="3"/>
        </w:numPr>
        <w:spacing w:line="360" w:lineRule="auto"/>
        <w:rPr>
          <w:rFonts w:ascii="Arial" w:hAnsi="Arial" w:cs="Arial"/>
        </w:rPr>
      </w:pPr>
      <w:r w:rsidRPr="00E06238">
        <w:rPr>
          <w:rFonts w:ascii="Arial" w:hAnsi="Arial" w:cs="Arial"/>
        </w:rPr>
        <w:t>Oppose reforms that shift costs onto informal supports (individuals, families) and states/territories.</w:t>
      </w:r>
    </w:p>
    <w:p w14:paraId="0BBF203D" w14:textId="77777777" w:rsidR="00AC1172" w:rsidRPr="003D4449" w:rsidRDefault="00AC1172" w:rsidP="00AC1172">
      <w:pPr>
        <w:pStyle w:val="ListParagraph"/>
        <w:numPr>
          <w:ilvl w:val="0"/>
          <w:numId w:val="3"/>
        </w:numPr>
        <w:spacing w:line="360" w:lineRule="auto"/>
        <w:rPr>
          <w:rFonts w:ascii="Arial" w:hAnsi="Arial" w:cs="Arial"/>
        </w:rPr>
      </w:pPr>
      <w:r w:rsidRPr="003D4449">
        <w:rPr>
          <w:rFonts w:ascii="Arial" w:hAnsi="Arial" w:cs="Arial"/>
        </w:rPr>
        <w:t>Require the Government, in introducing Ministerial powers, to gain a proper understanding of the way supports are being used by vision impaired participants. Require independent disability-specific impact assessments before implementing funding reductions or eligibility reforms.</w:t>
      </w:r>
    </w:p>
    <w:p w14:paraId="3E446EA5" w14:textId="77777777" w:rsidR="00AC1172" w:rsidRDefault="00AC1172" w:rsidP="00AC1172">
      <w:pPr>
        <w:pStyle w:val="ListParagraph"/>
        <w:numPr>
          <w:ilvl w:val="0"/>
          <w:numId w:val="3"/>
        </w:numPr>
        <w:spacing w:line="360" w:lineRule="auto"/>
        <w:rPr>
          <w:rFonts w:ascii="Arial" w:hAnsi="Arial" w:cs="Arial"/>
        </w:rPr>
      </w:pPr>
      <w:r w:rsidRPr="00E06238">
        <w:rPr>
          <w:rFonts w:ascii="Arial" w:hAnsi="Arial" w:cs="Arial"/>
        </w:rPr>
        <w:t xml:space="preserve">Include provision for participant plans and budgets to be reviewed when </w:t>
      </w:r>
      <w:r>
        <w:rPr>
          <w:rFonts w:ascii="Arial" w:hAnsi="Arial" w:cs="Arial"/>
        </w:rPr>
        <w:t xml:space="preserve">there is a change in circumstances that includes when </w:t>
      </w:r>
      <w:r w:rsidRPr="00E06238">
        <w:rPr>
          <w:rFonts w:ascii="Arial" w:hAnsi="Arial" w:cs="Arial"/>
        </w:rPr>
        <w:t xml:space="preserve">informal supports decrease. </w:t>
      </w:r>
    </w:p>
    <w:p w14:paraId="62558967" w14:textId="77777777" w:rsidR="00AC1172" w:rsidRPr="00393A1B" w:rsidRDefault="00AC1172" w:rsidP="00AC1172">
      <w:pPr>
        <w:pStyle w:val="ListParagraph"/>
        <w:numPr>
          <w:ilvl w:val="0"/>
          <w:numId w:val="3"/>
        </w:numPr>
        <w:spacing w:line="360" w:lineRule="auto"/>
        <w:rPr>
          <w:rFonts w:ascii="Arial" w:hAnsi="Arial" w:cs="Arial"/>
        </w:rPr>
      </w:pPr>
      <w:r w:rsidRPr="00393A1B">
        <w:rPr>
          <w:rFonts w:ascii="Arial" w:hAnsi="Arial" w:cs="Arial"/>
        </w:rPr>
        <w:lastRenderedPageBreak/>
        <w:t>Retain strong legislative safeguards and independent oversight of funding decisions.</w:t>
      </w:r>
    </w:p>
    <w:p w14:paraId="06852FFB" w14:textId="77777777" w:rsidR="00AC1172" w:rsidRPr="00E06238" w:rsidRDefault="00AC1172" w:rsidP="00AC1172">
      <w:pPr>
        <w:spacing w:line="360" w:lineRule="auto"/>
        <w:rPr>
          <w:rFonts w:ascii="Arial" w:hAnsi="Arial" w:cs="Arial"/>
          <w:b/>
          <w:bCs/>
        </w:rPr>
      </w:pPr>
      <w:r w:rsidRPr="00E06238">
        <w:rPr>
          <w:rFonts w:ascii="Arial" w:hAnsi="Arial" w:cs="Arial"/>
          <w:b/>
          <w:bCs/>
        </w:rPr>
        <w:t xml:space="preserve">Rationale </w:t>
      </w:r>
    </w:p>
    <w:p w14:paraId="3E8E5174" w14:textId="77777777" w:rsidR="00AC1172" w:rsidRPr="00E06238" w:rsidRDefault="00AC1172" w:rsidP="00AC1172">
      <w:pPr>
        <w:pStyle w:val="ListParagraph"/>
        <w:numPr>
          <w:ilvl w:val="0"/>
          <w:numId w:val="2"/>
        </w:numPr>
        <w:spacing w:line="360" w:lineRule="auto"/>
        <w:rPr>
          <w:rFonts w:ascii="Arial" w:hAnsi="Arial" w:cs="Arial"/>
        </w:rPr>
      </w:pPr>
      <w:r w:rsidRPr="00E06238">
        <w:rPr>
          <w:rFonts w:ascii="Arial" w:hAnsi="Arial" w:cs="Arial"/>
        </w:rPr>
        <w:t>Blanket cuts to SCCP fail to reflect individual functional needs of</w:t>
      </w:r>
      <w:r>
        <w:rPr>
          <w:rFonts w:ascii="Arial" w:hAnsi="Arial" w:cs="Arial"/>
        </w:rPr>
        <w:t xml:space="preserve"> people who are</w:t>
      </w:r>
      <w:r w:rsidRPr="00E06238">
        <w:rPr>
          <w:rFonts w:ascii="Arial" w:hAnsi="Arial" w:cs="Arial"/>
        </w:rPr>
        <w:t xml:space="preserve"> blind </w:t>
      </w:r>
      <w:r>
        <w:rPr>
          <w:rFonts w:ascii="Arial" w:hAnsi="Arial" w:cs="Arial"/>
        </w:rPr>
        <w:t>or</w:t>
      </w:r>
      <w:r w:rsidRPr="00E06238">
        <w:rPr>
          <w:rFonts w:ascii="Arial" w:hAnsi="Arial" w:cs="Arial"/>
        </w:rPr>
        <w:t xml:space="preserve"> vision impaired and undermine</w:t>
      </w:r>
      <w:r>
        <w:rPr>
          <w:rFonts w:ascii="Arial" w:hAnsi="Arial" w:cs="Arial"/>
        </w:rPr>
        <w:t>s</w:t>
      </w:r>
      <w:r w:rsidRPr="00E06238">
        <w:rPr>
          <w:rFonts w:ascii="Arial" w:hAnsi="Arial" w:cs="Arial"/>
        </w:rPr>
        <w:t xml:space="preserve"> the core principles of the NDIS. </w:t>
      </w:r>
    </w:p>
    <w:p w14:paraId="74D79B7D" w14:textId="055D6247" w:rsidR="00AC1172" w:rsidRPr="00E06238" w:rsidRDefault="00AC1172" w:rsidP="00AC1172">
      <w:pPr>
        <w:pStyle w:val="ListParagraph"/>
        <w:numPr>
          <w:ilvl w:val="0"/>
          <w:numId w:val="2"/>
        </w:numPr>
        <w:spacing w:line="360" w:lineRule="auto"/>
        <w:rPr>
          <w:rFonts w:ascii="Arial" w:hAnsi="Arial" w:cs="Arial"/>
        </w:rPr>
      </w:pPr>
      <w:r w:rsidRPr="00E06238">
        <w:rPr>
          <w:rFonts w:ascii="Arial" w:hAnsi="Arial" w:cs="Arial"/>
        </w:rPr>
        <w:t>For people who are blind or vision impaired, supports that enable independence, orientation, mobility, communication and community participation are often incorrectly viewed as discretionary rather than essential to safety, wellbeing and inclusion.</w:t>
      </w:r>
    </w:p>
    <w:p w14:paraId="0E750E23" w14:textId="77777777" w:rsidR="00AC1172" w:rsidRPr="00E06238" w:rsidRDefault="00AC1172" w:rsidP="00AC1172">
      <w:pPr>
        <w:pStyle w:val="ListParagraph"/>
        <w:numPr>
          <w:ilvl w:val="0"/>
          <w:numId w:val="1"/>
        </w:numPr>
        <w:spacing w:line="360" w:lineRule="auto"/>
        <w:rPr>
          <w:rFonts w:ascii="Arial" w:hAnsi="Arial" w:cs="Arial"/>
        </w:rPr>
      </w:pPr>
      <w:r w:rsidRPr="00E06238">
        <w:rPr>
          <w:rFonts w:ascii="Arial" w:hAnsi="Arial" w:cs="Arial"/>
        </w:rPr>
        <w:t xml:space="preserve">NDIS supports frequently fill systemic access gaps, not because of individual deficits, but because accessibility has not been meaningfully embedded across government, business, and community settings. </w:t>
      </w:r>
    </w:p>
    <w:p w14:paraId="3BAC14C7" w14:textId="77777777" w:rsidR="00AC1172" w:rsidRPr="00E06238" w:rsidRDefault="00AC1172" w:rsidP="00AC1172">
      <w:pPr>
        <w:pStyle w:val="ListParagraph"/>
        <w:numPr>
          <w:ilvl w:val="0"/>
          <w:numId w:val="1"/>
        </w:numPr>
        <w:spacing w:line="360" w:lineRule="auto"/>
        <w:rPr>
          <w:rFonts w:ascii="Arial" w:hAnsi="Arial" w:cs="Arial"/>
        </w:rPr>
      </w:pPr>
      <w:r w:rsidRPr="00E06238">
        <w:rPr>
          <w:rFonts w:ascii="Arial" w:hAnsi="Arial" w:cs="Arial"/>
        </w:rPr>
        <w:t xml:space="preserve">The Department of Health, Disability and Ageing Office of Impact Analysis NDIS Reforms Impact Analysis report (May 2026) states that “the decision to reduce this budget was preferred over others because it does not impact the health and safety of participants. SCCP supports do not provide support for daily living activities critical to a person’s health and wellbeing, such as toileting, showering, meal preparation, and household tasks like cleaning.” </w:t>
      </w:r>
      <w:r>
        <w:rPr>
          <w:rFonts w:ascii="Arial" w:hAnsi="Arial" w:cs="Arial"/>
        </w:rPr>
        <w:t>BCA</w:t>
      </w:r>
      <w:r w:rsidRPr="00E06238">
        <w:rPr>
          <w:rFonts w:ascii="Arial" w:hAnsi="Arial" w:cs="Arial"/>
        </w:rPr>
        <w:t xml:space="preserve"> challenge</w:t>
      </w:r>
      <w:r>
        <w:rPr>
          <w:rFonts w:ascii="Arial" w:hAnsi="Arial" w:cs="Arial"/>
        </w:rPr>
        <w:t>s</w:t>
      </w:r>
      <w:r w:rsidRPr="00E06238">
        <w:rPr>
          <w:rFonts w:ascii="Arial" w:hAnsi="Arial" w:cs="Arial"/>
        </w:rPr>
        <w:t xml:space="preserve"> the assumption that daily living activities (such as toileting, showering, meal preparation, and household tasks like cleaning) are the only things critical to a person’s health and wellbeing.</w:t>
      </w:r>
    </w:p>
    <w:p w14:paraId="53A5FBBF" w14:textId="77777777" w:rsidR="00AC1172" w:rsidRPr="00E06238" w:rsidRDefault="00AC1172" w:rsidP="00AC1172">
      <w:pPr>
        <w:pStyle w:val="ListParagraph"/>
        <w:numPr>
          <w:ilvl w:val="0"/>
          <w:numId w:val="2"/>
        </w:numPr>
        <w:spacing w:line="360" w:lineRule="auto"/>
        <w:rPr>
          <w:rFonts w:ascii="Arial" w:hAnsi="Arial" w:cs="Arial"/>
        </w:rPr>
      </w:pPr>
      <w:r w:rsidRPr="00E06238">
        <w:rPr>
          <w:rFonts w:ascii="Arial" w:hAnsi="Arial" w:cs="Arial"/>
        </w:rPr>
        <w:t xml:space="preserve">For blind and vision impaired participants, SCCP supports are essential enabling supports that directly impact health and safety, including: </w:t>
      </w:r>
    </w:p>
    <w:p w14:paraId="1529BB3B" w14:textId="77777777" w:rsidR="00D05460" w:rsidRPr="00E06238" w:rsidRDefault="00AC1172" w:rsidP="00D05460">
      <w:pPr>
        <w:pStyle w:val="ListParagraph"/>
        <w:numPr>
          <w:ilvl w:val="1"/>
          <w:numId w:val="2"/>
        </w:numPr>
        <w:spacing w:line="360" w:lineRule="auto"/>
        <w:rPr>
          <w:rFonts w:ascii="Arial" w:hAnsi="Arial" w:cs="Arial"/>
        </w:rPr>
      </w:pPr>
      <w:r w:rsidRPr="00E06238">
        <w:rPr>
          <w:rFonts w:ascii="Arial" w:hAnsi="Arial" w:cs="Arial"/>
        </w:rPr>
        <w:t>assistance to travel safely and independently</w:t>
      </w:r>
      <w:r w:rsidR="00777E7B">
        <w:rPr>
          <w:rFonts w:ascii="Arial" w:hAnsi="Arial" w:cs="Arial"/>
        </w:rPr>
        <w:t xml:space="preserve"> and avoid </w:t>
      </w:r>
      <w:r w:rsidR="00F440AE">
        <w:rPr>
          <w:rFonts w:ascii="Arial" w:hAnsi="Arial" w:cs="Arial"/>
        </w:rPr>
        <w:t>injury</w:t>
      </w:r>
      <w:r w:rsidR="00D05460">
        <w:rPr>
          <w:rFonts w:ascii="Arial" w:hAnsi="Arial" w:cs="Arial"/>
        </w:rPr>
        <w:t xml:space="preserve"> including </w:t>
      </w:r>
      <w:r w:rsidR="00D05460" w:rsidRPr="00E06238">
        <w:rPr>
          <w:rFonts w:ascii="Arial" w:hAnsi="Arial" w:cs="Arial"/>
        </w:rPr>
        <w:t xml:space="preserve">orientation and mobility assistance </w:t>
      </w:r>
    </w:p>
    <w:p w14:paraId="1D674EA0" w14:textId="77777777" w:rsidR="00AC1172" w:rsidRPr="00E06238" w:rsidRDefault="00AC1172" w:rsidP="00AC1172">
      <w:pPr>
        <w:pStyle w:val="ListParagraph"/>
        <w:numPr>
          <w:ilvl w:val="1"/>
          <w:numId w:val="2"/>
        </w:numPr>
        <w:spacing w:line="360" w:lineRule="auto"/>
        <w:rPr>
          <w:rFonts w:ascii="Arial" w:hAnsi="Arial" w:cs="Arial"/>
        </w:rPr>
      </w:pPr>
      <w:r w:rsidRPr="00E06238">
        <w:rPr>
          <w:rFonts w:ascii="Arial" w:hAnsi="Arial" w:cs="Arial"/>
        </w:rPr>
        <w:t>support to manage risks in unfamiliar situations and environments</w:t>
      </w:r>
    </w:p>
    <w:p w14:paraId="1F400BB2" w14:textId="36D525EE" w:rsidR="00AC1172" w:rsidRPr="00E06238" w:rsidRDefault="00AC1172" w:rsidP="00AC1172">
      <w:pPr>
        <w:pStyle w:val="ListParagraph"/>
        <w:numPr>
          <w:ilvl w:val="1"/>
          <w:numId w:val="2"/>
        </w:numPr>
        <w:spacing w:line="360" w:lineRule="auto"/>
        <w:rPr>
          <w:rFonts w:ascii="Arial" w:hAnsi="Arial" w:cs="Arial"/>
        </w:rPr>
      </w:pPr>
      <w:r w:rsidRPr="00E06238">
        <w:rPr>
          <w:rFonts w:ascii="Arial" w:hAnsi="Arial" w:cs="Arial"/>
        </w:rPr>
        <w:t>support to attend medical and health care appointments</w:t>
      </w:r>
      <w:r w:rsidR="00010766">
        <w:rPr>
          <w:rFonts w:ascii="Arial" w:hAnsi="Arial" w:cs="Arial"/>
        </w:rPr>
        <w:t xml:space="preserve"> and</w:t>
      </w:r>
      <w:r w:rsidR="009F4F54">
        <w:rPr>
          <w:rFonts w:ascii="Arial" w:hAnsi="Arial" w:cs="Arial"/>
        </w:rPr>
        <w:t xml:space="preserve"> complete paperwork</w:t>
      </w:r>
      <w:r w:rsidR="00010766">
        <w:rPr>
          <w:rFonts w:ascii="Arial" w:hAnsi="Arial" w:cs="Arial"/>
        </w:rPr>
        <w:t xml:space="preserve"> </w:t>
      </w:r>
    </w:p>
    <w:p w14:paraId="770D6EA6" w14:textId="77777777" w:rsidR="00AC1172" w:rsidRPr="00E06238" w:rsidRDefault="00AC1172" w:rsidP="00AC1172">
      <w:pPr>
        <w:pStyle w:val="ListParagraph"/>
        <w:numPr>
          <w:ilvl w:val="1"/>
          <w:numId w:val="2"/>
        </w:numPr>
        <w:spacing w:line="360" w:lineRule="auto"/>
        <w:rPr>
          <w:rFonts w:ascii="Arial" w:hAnsi="Arial" w:cs="Arial"/>
        </w:rPr>
      </w:pPr>
      <w:r w:rsidRPr="00E06238">
        <w:rPr>
          <w:rFonts w:ascii="Arial" w:hAnsi="Arial" w:cs="Arial"/>
        </w:rPr>
        <w:t>support to reduce isolation and maintain mental wellbeing</w:t>
      </w:r>
    </w:p>
    <w:p w14:paraId="595ABEFA" w14:textId="77777777" w:rsidR="00AC1172" w:rsidRPr="00E06238" w:rsidRDefault="00AC1172" w:rsidP="00AC1172">
      <w:pPr>
        <w:pStyle w:val="ListParagraph"/>
        <w:numPr>
          <w:ilvl w:val="1"/>
          <w:numId w:val="2"/>
        </w:numPr>
        <w:spacing w:line="360" w:lineRule="auto"/>
        <w:rPr>
          <w:rFonts w:ascii="Arial" w:hAnsi="Arial" w:cs="Arial"/>
        </w:rPr>
      </w:pPr>
      <w:r w:rsidRPr="00E06238">
        <w:rPr>
          <w:rFonts w:ascii="Arial" w:hAnsi="Arial" w:cs="Arial"/>
        </w:rPr>
        <w:t>support to participate in sport and recreation activities</w:t>
      </w:r>
    </w:p>
    <w:p w14:paraId="095D7396" w14:textId="77777777" w:rsidR="00AC1172" w:rsidRDefault="00AC1172" w:rsidP="00AC1172">
      <w:pPr>
        <w:pStyle w:val="ListParagraph"/>
        <w:numPr>
          <w:ilvl w:val="1"/>
          <w:numId w:val="2"/>
        </w:numPr>
        <w:spacing w:line="360" w:lineRule="auto"/>
        <w:rPr>
          <w:rFonts w:ascii="Arial" w:hAnsi="Arial" w:cs="Arial"/>
        </w:rPr>
      </w:pPr>
      <w:r w:rsidRPr="00E06238">
        <w:rPr>
          <w:rFonts w:ascii="Arial" w:hAnsi="Arial" w:cs="Arial"/>
        </w:rPr>
        <w:t>support to undertake grocery shopping and enable meal preparation</w:t>
      </w:r>
    </w:p>
    <w:p w14:paraId="55F6BACC" w14:textId="33B323CF" w:rsidR="00C21E08" w:rsidRPr="00E06238" w:rsidRDefault="00C21E08" w:rsidP="00AC1172">
      <w:pPr>
        <w:pStyle w:val="ListParagraph"/>
        <w:numPr>
          <w:ilvl w:val="1"/>
          <w:numId w:val="2"/>
        </w:numPr>
        <w:spacing w:line="360" w:lineRule="auto"/>
        <w:rPr>
          <w:rFonts w:ascii="Arial" w:hAnsi="Arial" w:cs="Arial"/>
        </w:rPr>
      </w:pPr>
      <w:r>
        <w:rPr>
          <w:rFonts w:ascii="Arial" w:hAnsi="Arial" w:cs="Arial"/>
        </w:rPr>
        <w:t xml:space="preserve">support to </w:t>
      </w:r>
      <w:r w:rsidR="007C72C0">
        <w:rPr>
          <w:rFonts w:ascii="Arial" w:hAnsi="Arial" w:cs="Arial"/>
        </w:rPr>
        <w:t>enable</w:t>
      </w:r>
      <w:r w:rsidR="00397B57">
        <w:rPr>
          <w:rFonts w:ascii="Arial" w:hAnsi="Arial" w:cs="Arial"/>
        </w:rPr>
        <w:t xml:space="preserve"> personal care </w:t>
      </w:r>
      <w:r w:rsidR="00C63023">
        <w:rPr>
          <w:rFonts w:ascii="Arial" w:hAnsi="Arial" w:cs="Arial"/>
        </w:rPr>
        <w:t xml:space="preserve">and </w:t>
      </w:r>
      <w:r w:rsidR="00E92FF3">
        <w:rPr>
          <w:rFonts w:ascii="Arial" w:hAnsi="Arial" w:cs="Arial"/>
        </w:rPr>
        <w:t>grooming</w:t>
      </w:r>
      <w:r w:rsidR="000264C1">
        <w:rPr>
          <w:rFonts w:ascii="Arial" w:hAnsi="Arial" w:cs="Arial"/>
        </w:rPr>
        <w:t xml:space="preserve"> </w:t>
      </w:r>
      <w:r w:rsidR="004C53A1">
        <w:rPr>
          <w:rFonts w:ascii="Arial" w:hAnsi="Arial" w:cs="Arial"/>
        </w:rPr>
        <w:t xml:space="preserve"> </w:t>
      </w:r>
    </w:p>
    <w:p w14:paraId="6127F125" w14:textId="139CE791" w:rsidR="00AC1172" w:rsidRPr="00E06238" w:rsidRDefault="00AC1172" w:rsidP="00AC1172">
      <w:pPr>
        <w:pStyle w:val="ListParagraph"/>
        <w:numPr>
          <w:ilvl w:val="1"/>
          <w:numId w:val="2"/>
        </w:numPr>
        <w:spacing w:line="360" w:lineRule="auto"/>
        <w:rPr>
          <w:rFonts w:ascii="Arial" w:hAnsi="Arial" w:cs="Arial"/>
        </w:rPr>
      </w:pPr>
      <w:r w:rsidRPr="00E06238">
        <w:rPr>
          <w:rFonts w:ascii="Arial" w:hAnsi="Arial" w:cs="Arial"/>
        </w:rPr>
        <w:t xml:space="preserve">support to </w:t>
      </w:r>
      <w:r w:rsidR="00910410">
        <w:rPr>
          <w:rFonts w:ascii="Arial" w:hAnsi="Arial" w:cs="Arial"/>
        </w:rPr>
        <w:t>undertake</w:t>
      </w:r>
      <w:r w:rsidRPr="00E06238">
        <w:rPr>
          <w:rFonts w:ascii="Arial" w:hAnsi="Arial" w:cs="Arial"/>
        </w:rPr>
        <w:t xml:space="preserve"> education, training</w:t>
      </w:r>
      <w:r w:rsidR="00F2795C">
        <w:rPr>
          <w:rFonts w:ascii="Arial" w:hAnsi="Arial" w:cs="Arial"/>
        </w:rPr>
        <w:t>, paid and voluntary work</w:t>
      </w:r>
      <w:r w:rsidRPr="00E06238">
        <w:rPr>
          <w:rFonts w:ascii="Arial" w:hAnsi="Arial" w:cs="Arial"/>
        </w:rPr>
        <w:t xml:space="preserve"> </w:t>
      </w:r>
    </w:p>
    <w:p w14:paraId="430FE32B" w14:textId="102C70A0" w:rsidR="00AC1172" w:rsidRDefault="00AC1172" w:rsidP="006F6622">
      <w:pPr>
        <w:pStyle w:val="ListParagraph"/>
        <w:numPr>
          <w:ilvl w:val="1"/>
          <w:numId w:val="2"/>
        </w:numPr>
        <w:spacing w:line="360" w:lineRule="auto"/>
        <w:rPr>
          <w:rFonts w:ascii="Arial" w:hAnsi="Arial" w:cs="Arial"/>
        </w:rPr>
      </w:pPr>
      <w:r w:rsidRPr="00E06238">
        <w:rPr>
          <w:rFonts w:ascii="Arial" w:hAnsi="Arial" w:cs="Arial"/>
        </w:rPr>
        <w:lastRenderedPageBreak/>
        <w:t>assistance to engage with community, civic and cultural life</w:t>
      </w:r>
    </w:p>
    <w:p w14:paraId="4C89B1DA" w14:textId="77777777" w:rsidR="007A4F65" w:rsidRDefault="003A0A22" w:rsidP="006F6622">
      <w:pPr>
        <w:pStyle w:val="ListParagraph"/>
        <w:numPr>
          <w:ilvl w:val="1"/>
          <w:numId w:val="2"/>
        </w:numPr>
        <w:spacing w:after="0" w:line="360" w:lineRule="auto"/>
        <w:rPr>
          <w:rFonts w:ascii="Arial" w:hAnsi="Arial" w:cs="Arial"/>
        </w:rPr>
      </w:pPr>
      <w:r w:rsidRPr="003A0A22">
        <w:rPr>
          <w:rFonts w:ascii="Arial" w:hAnsi="Arial" w:cs="Arial"/>
        </w:rPr>
        <w:t>assist parents to get their children</w:t>
      </w:r>
      <w:r w:rsidR="00B80D10">
        <w:rPr>
          <w:rFonts w:ascii="Arial" w:hAnsi="Arial" w:cs="Arial"/>
        </w:rPr>
        <w:t xml:space="preserve"> safely</w:t>
      </w:r>
      <w:r w:rsidRPr="003A0A22">
        <w:rPr>
          <w:rFonts w:ascii="Arial" w:hAnsi="Arial" w:cs="Arial"/>
        </w:rPr>
        <w:t xml:space="preserve"> to school and engage in extra curriculum</w:t>
      </w:r>
      <w:r w:rsidR="007B5E84">
        <w:rPr>
          <w:rFonts w:ascii="Arial" w:hAnsi="Arial" w:cs="Arial"/>
        </w:rPr>
        <w:t>, sport</w:t>
      </w:r>
      <w:r w:rsidRPr="003A0A22">
        <w:rPr>
          <w:rFonts w:ascii="Arial" w:hAnsi="Arial" w:cs="Arial"/>
        </w:rPr>
        <w:t xml:space="preserve"> and social activitie</w:t>
      </w:r>
      <w:r w:rsidR="004E45DE">
        <w:rPr>
          <w:rFonts w:ascii="Arial" w:hAnsi="Arial" w:cs="Arial"/>
        </w:rPr>
        <w:t>s</w:t>
      </w:r>
    </w:p>
    <w:p w14:paraId="64A3B041" w14:textId="5EC0E1CA" w:rsidR="003A0A22" w:rsidRPr="003A0A22" w:rsidRDefault="007A4F65" w:rsidP="006F6622">
      <w:pPr>
        <w:pStyle w:val="ListParagraph"/>
        <w:numPr>
          <w:ilvl w:val="1"/>
          <w:numId w:val="2"/>
        </w:numPr>
        <w:spacing w:after="0" w:line="360" w:lineRule="auto"/>
        <w:rPr>
          <w:rFonts w:ascii="Arial" w:hAnsi="Arial" w:cs="Arial"/>
        </w:rPr>
      </w:pPr>
      <w:r>
        <w:rPr>
          <w:rFonts w:ascii="Arial" w:hAnsi="Arial" w:cs="Arial"/>
        </w:rPr>
        <w:t>assistance to engage with family and friends and develop and maintain</w:t>
      </w:r>
      <w:r w:rsidR="003A0A22" w:rsidRPr="003A0A22">
        <w:rPr>
          <w:rFonts w:ascii="Arial" w:hAnsi="Arial" w:cs="Arial"/>
        </w:rPr>
        <w:t> </w:t>
      </w:r>
      <w:r w:rsidR="003B5500">
        <w:rPr>
          <w:rFonts w:ascii="Arial" w:hAnsi="Arial" w:cs="Arial"/>
        </w:rPr>
        <w:t>relationships.</w:t>
      </w:r>
    </w:p>
    <w:p w14:paraId="538ACA1A" w14:textId="77777777" w:rsidR="00AC1172" w:rsidRPr="00E06238" w:rsidRDefault="00AC1172" w:rsidP="00AC1172">
      <w:pPr>
        <w:pStyle w:val="ListParagraph"/>
        <w:numPr>
          <w:ilvl w:val="0"/>
          <w:numId w:val="4"/>
        </w:numPr>
        <w:spacing w:line="360" w:lineRule="auto"/>
        <w:rPr>
          <w:rFonts w:ascii="Arial" w:hAnsi="Arial" w:cs="Arial"/>
        </w:rPr>
      </w:pPr>
      <w:r w:rsidRPr="00E06238">
        <w:rPr>
          <w:rFonts w:ascii="Arial" w:hAnsi="Arial" w:cs="Arial"/>
        </w:rPr>
        <w:t xml:space="preserve">Reducing NDIS supports without fully funded mainstream alternatives will increase unpaid carer burden, put pressure on health and mental health systems, increase social isolation, and reduce health and wellbeing outcomes for people who are blind or vision impaired.  </w:t>
      </w:r>
    </w:p>
    <w:p w14:paraId="0E782D5A" w14:textId="5DCB64F5" w:rsidR="00AC1172" w:rsidRDefault="008009BF" w:rsidP="00AC1172">
      <w:pPr>
        <w:pStyle w:val="ListParagraph"/>
        <w:numPr>
          <w:ilvl w:val="0"/>
          <w:numId w:val="4"/>
        </w:numPr>
        <w:spacing w:line="360" w:lineRule="auto"/>
        <w:rPr>
          <w:rFonts w:ascii="Arial" w:hAnsi="Arial" w:cs="Arial"/>
        </w:rPr>
      </w:pPr>
      <w:r>
        <w:rPr>
          <w:rFonts w:ascii="Arial" w:hAnsi="Arial" w:cs="Arial"/>
        </w:rPr>
        <w:t>Participant b</w:t>
      </w:r>
      <w:r w:rsidR="00AC1172" w:rsidRPr="00E06238">
        <w:rPr>
          <w:rFonts w:ascii="Arial" w:hAnsi="Arial" w:cs="Arial"/>
        </w:rPr>
        <w:t>udgets must acknowledge the higher cost of engaging support at times that attract higher rates such as weekends and public holidays</w:t>
      </w:r>
      <w:r w:rsidR="00AC1172">
        <w:rPr>
          <w:rFonts w:ascii="Arial" w:hAnsi="Arial" w:cs="Arial"/>
        </w:rPr>
        <w:t xml:space="preserve"> and in regional and remote areas where markets are thin</w:t>
      </w:r>
      <w:r w:rsidR="00AC1172" w:rsidRPr="00E06238">
        <w:rPr>
          <w:rFonts w:ascii="Arial" w:hAnsi="Arial" w:cs="Arial"/>
        </w:rPr>
        <w:t xml:space="preserve">. Having little or no 'choice and control' at weekends </w:t>
      </w:r>
      <w:r w:rsidR="00AC1172">
        <w:rPr>
          <w:rFonts w:ascii="Arial" w:hAnsi="Arial" w:cs="Arial"/>
        </w:rPr>
        <w:t xml:space="preserve">or because of where you live </w:t>
      </w:r>
      <w:r w:rsidR="00AC1172" w:rsidRPr="00E06238">
        <w:rPr>
          <w:rFonts w:ascii="Arial" w:hAnsi="Arial" w:cs="Arial"/>
        </w:rPr>
        <w:t>is counter to the purpose of the NDIS.   </w:t>
      </w:r>
    </w:p>
    <w:p w14:paraId="33708A5F" w14:textId="77777777" w:rsidR="00AC1172" w:rsidRPr="00E06238" w:rsidRDefault="00AC1172" w:rsidP="00AC1172">
      <w:pPr>
        <w:pStyle w:val="ListParagraph"/>
        <w:numPr>
          <w:ilvl w:val="0"/>
          <w:numId w:val="4"/>
        </w:numPr>
        <w:spacing w:line="360" w:lineRule="auto"/>
        <w:rPr>
          <w:rFonts w:ascii="Arial" w:hAnsi="Arial" w:cs="Arial"/>
        </w:rPr>
      </w:pPr>
      <w:r w:rsidRPr="00667EBB">
        <w:rPr>
          <w:rFonts w:ascii="Arial" w:hAnsi="Arial" w:cs="Arial"/>
        </w:rPr>
        <w:t>Support planning must recognise that blindness-related supports primarily address barriers created by inaccessible environments and information and may be required on both a routine and episodic basis.</w:t>
      </w:r>
    </w:p>
    <w:p w14:paraId="7F792C95" w14:textId="77777777" w:rsidR="00AC1172" w:rsidRDefault="00AC1172" w:rsidP="00AC1172">
      <w:pPr>
        <w:pStyle w:val="ListParagraph"/>
        <w:numPr>
          <w:ilvl w:val="0"/>
          <w:numId w:val="4"/>
        </w:numPr>
        <w:spacing w:line="360" w:lineRule="auto"/>
        <w:rPr>
          <w:rFonts w:ascii="Arial" w:hAnsi="Arial" w:cs="Arial"/>
        </w:rPr>
      </w:pPr>
      <w:r w:rsidRPr="00E06238">
        <w:rPr>
          <w:rFonts w:ascii="Arial" w:hAnsi="Arial" w:cs="Arial"/>
        </w:rPr>
        <w:t>Replacing individualised supports with block-funded community alternatives will undermine participant choice and control which is a foundational principle of the NDIS.</w:t>
      </w:r>
    </w:p>
    <w:p w14:paraId="66B05AAB" w14:textId="77777777" w:rsidR="00AC1172" w:rsidRDefault="00AC1172" w:rsidP="00AC1172">
      <w:pPr>
        <w:pStyle w:val="ListParagraph"/>
        <w:numPr>
          <w:ilvl w:val="0"/>
          <w:numId w:val="4"/>
        </w:numPr>
        <w:spacing w:line="360" w:lineRule="auto"/>
        <w:rPr>
          <w:rFonts w:ascii="Arial" w:hAnsi="Arial" w:cs="Arial"/>
        </w:rPr>
      </w:pPr>
      <w:r w:rsidRPr="00667EBB">
        <w:rPr>
          <w:rFonts w:ascii="Arial" w:hAnsi="Arial" w:cs="Arial"/>
        </w:rPr>
        <w:t xml:space="preserve">Capacity building cannot eliminate many blindness-related support needs because society, information and everyday environments remain inherently visual. For people who are blind or have low vision, ongoing support is often essential for equitable participation. </w:t>
      </w:r>
    </w:p>
    <w:p w14:paraId="3ECCE11E" w14:textId="2D90656C" w:rsidR="00637B88" w:rsidRPr="00637B88" w:rsidRDefault="00637B88" w:rsidP="007F6509">
      <w:pPr>
        <w:pStyle w:val="Quote"/>
      </w:pPr>
      <w:r w:rsidRPr="00637B88">
        <w:t>“Social and community participation supports are important to enable me to live independently in the community. This is particularly for maintaining my home which is important as the way you keep your house is a measure people use to judge your competence as a person. Social and community participation is important for basic grocery shopping. This is because staff in busy supermarkets are either una</w:t>
      </w:r>
      <w:r w:rsidR="00694E4A">
        <w:t>b</w:t>
      </w:r>
      <w:r w:rsidRPr="00637B88">
        <w:t xml:space="preserve">le or unwilling to locate and help with checkouts. The online shopping websites are very difficult to use with screen reading software. Social and community support was particularly important for me in managing my home and fulfilling my caring responsibilities to my wife when she was with me.” </w:t>
      </w:r>
      <w:r w:rsidR="007F6509" w:rsidRPr="00637B88">
        <w:t>BCA Member 2026</w:t>
      </w:r>
    </w:p>
    <w:p w14:paraId="16934CC8" w14:textId="5CDBDA0A" w:rsidR="00AC1172" w:rsidRPr="00400D60" w:rsidRDefault="00AC1172" w:rsidP="002140F0">
      <w:pPr>
        <w:pStyle w:val="Heading3"/>
      </w:pPr>
      <w:bookmarkStart w:id="25" w:name="_Toc231209361"/>
      <w:r w:rsidRPr="00400D60">
        <w:lastRenderedPageBreak/>
        <w:t>Recommendation</w:t>
      </w:r>
      <w:r w:rsidR="00A7008F">
        <w:t xml:space="preserve"> 5</w:t>
      </w:r>
      <w:r w:rsidRPr="00400D60">
        <w:t>: Prioritise reform to NDIA administrative efficiency before reducing NDIS participant supports</w:t>
      </w:r>
      <w:bookmarkEnd w:id="25"/>
    </w:p>
    <w:p w14:paraId="2BF55565" w14:textId="77777777" w:rsidR="00AC1172" w:rsidRPr="00E06238" w:rsidRDefault="00AC1172" w:rsidP="00AC1172">
      <w:pPr>
        <w:pStyle w:val="ListParagraph"/>
        <w:numPr>
          <w:ilvl w:val="0"/>
          <w:numId w:val="9"/>
        </w:numPr>
        <w:spacing w:line="360" w:lineRule="auto"/>
        <w:rPr>
          <w:rFonts w:ascii="Arial" w:hAnsi="Arial" w:cs="Arial"/>
        </w:rPr>
      </w:pPr>
      <w:r w:rsidRPr="00E06238">
        <w:rPr>
          <w:rFonts w:ascii="Arial" w:hAnsi="Arial" w:cs="Arial"/>
        </w:rPr>
        <w:t>Reduce unnecessary evidence requirements for permanent disability</w:t>
      </w:r>
      <w:r>
        <w:rPr>
          <w:rFonts w:ascii="Arial" w:hAnsi="Arial" w:cs="Arial"/>
        </w:rPr>
        <w:t>.</w:t>
      </w:r>
    </w:p>
    <w:p w14:paraId="7DD9DB21" w14:textId="77777777" w:rsidR="00AC1172" w:rsidRPr="00E06238" w:rsidRDefault="00AC1172" w:rsidP="00AC1172">
      <w:pPr>
        <w:pStyle w:val="ListParagraph"/>
        <w:numPr>
          <w:ilvl w:val="0"/>
          <w:numId w:val="9"/>
        </w:numPr>
        <w:spacing w:line="360" w:lineRule="auto"/>
        <w:rPr>
          <w:rFonts w:ascii="Arial" w:hAnsi="Arial" w:cs="Arial"/>
        </w:rPr>
      </w:pPr>
      <w:r w:rsidRPr="00E06238">
        <w:rPr>
          <w:rFonts w:ascii="Arial" w:hAnsi="Arial" w:cs="Arial"/>
        </w:rPr>
        <w:t>Embed accessibility by default across all NDIA systems and communication</w:t>
      </w:r>
      <w:r>
        <w:rPr>
          <w:rFonts w:ascii="Arial" w:hAnsi="Arial" w:cs="Arial"/>
        </w:rPr>
        <w:t>.</w:t>
      </w:r>
    </w:p>
    <w:p w14:paraId="29B88038" w14:textId="77777777" w:rsidR="00AC1172" w:rsidRPr="00E06238" w:rsidRDefault="00AC1172" w:rsidP="00AC1172">
      <w:pPr>
        <w:pStyle w:val="ListParagraph"/>
        <w:numPr>
          <w:ilvl w:val="0"/>
          <w:numId w:val="9"/>
        </w:numPr>
        <w:spacing w:line="360" w:lineRule="auto"/>
        <w:rPr>
          <w:rFonts w:ascii="Arial" w:hAnsi="Arial" w:cs="Arial"/>
        </w:rPr>
      </w:pPr>
      <w:r w:rsidRPr="00E06238">
        <w:rPr>
          <w:rFonts w:ascii="Arial" w:hAnsi="Arial" w:cs="Arial"/>
        </w:rPr>
        <w:t>Establish simplified approval processes for commonly used assistive technology and supports associated with blindness and vision impairment</w:t>
      </w:r>
      <w:r>
        <w:rPr>
          <w:rFonts w:ascii="Arial" w:hAnsi="Arial" w:cs="Arial"/>
        </w:rPr>
        <w:t>.</w:t>
      </w:r>
    </w:p>
    <w:p w14:paraId="261BA84E" w14:textId="77777777" w:rsidR="00AC1172" w:rsidRPr="00E06238" w:rsidRDefault="00AC1172" w:rsidP="00AC1172">
      <w:pPr>
        <w:pStyle w:val="ListParagraph"/>
        <w:numPr>
          <w:ilvl w:val="0"/>
          <w:numId w:val="9"/>
        </w:numPr>
        <w:spacing w:line="360" w:lineRule="auto"/>
        <w:rPr>
          <w:rFonts w:ascii="Arial" w:hAnsi="Arial" w:cs="Arial"/>
        </w:rPr>
      </w:pPr>
      <w:r w:rsidRPr="00E06238">
        <w:rPr>
          <w:rFonts w:ascii="Arial" w:hAnsi="Arial" w:cs="Arial"/>
        </w:rPr>
        <w:t>Recognise the long-term cost benefits of appropriate supports and accessibility</w:t>
      </w:r>
      <w:r>
        <w:rPr>
          <w:rFonts w:ascii="Arial" w:hAnsi="Arial" w:cs="Arial"/>
        </w:rPr>
        <w:t>.</w:t>
      </w:r>
    </w:p>
    <w:p w14:paraId="0E148883" w14:textId="77777777" w:rsidR="00AC1172" w:rsidRPr="00E06238" w:rsidRDefault="00AC1172" w:rsidP="00AC1172">
      <w:pPr>
        <w:spacing w:line="360" w:lineRule="auto"/>
        <w:rPr>
          <w:rFonts w:ascii="Arial" w:hAnsi="Arial" w:cs="Arial"/>
          <w:b/>
          <w:bCs/>
        </w:rPr>
      </w:pPr>
      <w:r w:rsidRPr="00E06238">
        <w:rPr>
          <w:rFonts w:ascii="Arial" w:hAnsi="Arial" w:cs="Arial"/>
          <w:b/>
          <w:bCs/>
        </w:rPr>
        <w:t>Rationale</w:t>
      </w:r>
    </w:p>
    <w:p w14:paraId="44C5CAB4" w14:textId="77777777" w:rsidR="00AC1172" w:rsidRPr="00E06238" w:rsidRDefault="00AC1172" w:rsidP="00AC1172">
      <w:pPr>
        <w:pStyle w:val="ListParagraph"/>
        <w:numPr>
          <w:ilvl w:val="0"/>
          <w:numId w:val="8"/>
        </w:numPr>
        <w:spacing w:line="360" w:lineRule="auto"/>
        <w:rPr>
          <w:rFonts w:ascii="Arial" w:hAnsi="Arial" w:cs="Arial"/>
        </w:rPr>
      </w:pPr>
      <w:r w:rsidRPr="00E06238">
        <w:rPr>
          <w:rFonts w:ascii="Arial" w:hAnsi="Arial" w:cs="Arial"/>
        </w:rPr>
        <w:t xml:space="preserve">For people who are blind or vision impaired, significant costs are generated by </w:t>
      </w:r>
      <w:r>
        <w:rPr>
          <w:rFonts w:ascii="Arial" w:hAnsi="Arial" w:cs="Arial"/>
        </w:rPr>
        <w:t xml:space="preserve">NDIA </w:t>
      </w:r>
      <w:r w:rsidRPr="00E06238">
        <w:rPr>
          <w:rFonts w:ascii="Arial" w:hAnsi="Arial" w:cs="Arial"/>
        </w:rPr>
        <w:t xml:space="preserve">processes that require repeated justification for supports that are clearly reasonable, necessary and linked to permanent disability. </w:t>
      </w:r>
    </w:p>
    <w:p w14:paraId="72FE2F4F" w14:textId="77777777" w:rsidR="00AC1172" w:rsidRPr="00E06238" w:rsidRDefault="00AC1172" w:rsidP="00AC1172">
      <w:pPr>
        <w:pStyle w:val="ListParagraph"/>
        <w:numPr>
          <w:ilvl w:val="0"/>
          <w:numId w:val="8"/>
        </w:numPr>
        <w:spacing w:line="360" w:lineRule="auto"/>
        <w:rPr>
          <w:rFonts w:ascii="Arial" w:hAnsi="Arial" w:cs="Arial"/>
        </w:rPr>
      </w:pPr>
      <w:r w:rsidRPr="00E06238">
        <w:rPr>
          <w:rFonts w:ascii="Arial" w:hAnsi="Arial" w:cs="Arial"/>
        </w:rPr>
        <w:t xml:space="preserve">Participants are frequently required to obtain expensive specialist reports to justify relatively low-risk purchases such as assistive technology, despite blindness and vision impairment being lifelong conditions with well-established support needs. </w:t>
      </w:r>
    </w:p>
    <w:p w14:paraId="1C69D453" w14:textId="77777777" w:rsidR="00AC1172" w:rsidRPr="00E06238" w:rsidRDefault="00AC1172" w:rsidP="00AC1172">
      <w:pPr>
        <w:pStyle w:val="ListParagraph"/>
        <w:numPr>
          <w:ilvl w:val="0"/>
          <w:numId w:val="8"/>
        </w:numPr>
        <w:spacing w:line="360" w:lineRule="auto"/>
        <w:rPr>
          <w:rFonts w:ascii="Arial" w:hAnsi="Arial" w:cs="Arial"/>
        </w:rPr>
      </w:pPr>
      <w:r w:rsidRPr="00E06238">
        <w:rPr>
          <w:rFonts w:ascii="Arial" w:hAnsi="Arial" w:cs="Arial"/>
        </w:rPr>
        <w:t>Requiring repeated assessments and reassessments in these circumstances creates unnecessary expense for participants, providers and the NDIA, without improving outcomes.</w:t>
      </w:r>
    </w:p>
    <w:p w14:paraId="230339EA" w14:textId="6C4B7C0F" w:rsidR="00AC1172" w:rsidRDefault="00AC1172" w:rsidP="00AC1172">
      <w:pPr>
        <w:pStyle w:val="ListParagraph"/>
        <w:numPr>
          <w:ilvl w:val="0"/>
          <w:numId w:val="8"/>
        </w:numPr>
        <w:spacing w:line="360" w:lineRule="auto"/>
        <w:rPr>
          <w:rFonts w:ascii="Arial" w:hAnsi="Arial" w:cs="Arial"/>
        </w:rPr>
      </w:pPr>
      <w:r w:rsidRPr="00E06238">
        <w:rPr>
          <w:rFonts w:ascii="Arial" w:hAnsi="Arial" w:cs="Arial"/>
        </w:rPr>
        <w:t>Substantial inefficiencies arise when information, communication and documentation are not provided</w:t>
      </w:r>
      <w:r w:rsidR="0027224F">
        <w:rPr>
          <w:rFonts w:ascii="Arial" w:hAnsi="Arial" w:cs="Arial"/>
        </w:rPr>
        <w:t xml:space="preserve"> by the NDIA</w:t>
      </w:r>
      <w:r w:rsidRPr="00E06238">
        <w:rPr>
          <w:rFonts w:ascii="Arial" w:hAnsi="Arial" w:cs="Arial"/>
        </w:rPr>
        <w:t xml:space="preserve"> in accessible formats from the outset. Delays caused by inaccessible letters, portals, forms and planning processes often require additional follow-up, advocacy, complaints and administrative intervention, increasing costs across the system while undermining participant independence and informed decision-making.</w:t>
      </w:r>
    </w:p>
    <w:p w14:paraId="4A27E086" w14:textId="77777777" w:rsidR="00600B05" w:rsidRPr="00EB3277" w:rsidRDefault="00600B05" w:rsidP="00600B05">
      <w:pPr>
        <w:pStyle w:val="Quote"/>
        <w:ind w:left="360"/>
      </w:pPr>
      <w:r w:rsidRPr="00FC22BB">
        <w:t xml:space="preserve">“As people who are blind or vision impaired our needs around assistance with daily living are different from other NDIS participants. We don’t specifically need support around toileting, showering and feeding but we do need support such as shopping for clothes, colour matching, cleaning stains, household cleaning, servicing air conditioning units, cleaning windows, grocery shopping, getting around the community such as for medical appointments. </w:t>
      </w:r>
      <w:proofErr w:type="gramStart"/>
      <w:r w:rsidRPr="00FC22BB">
        <w:t>Generally</w:t>
      </w:r>
      <w:proofErr w:type="gramEnd"/>
      <w:r w:rsidRPr="00FC22BB">
        <w:t xml:space="preserve"> Ubers and taxis don’t take us all the way into a building to find a specific office, apartment number, accessing local cafés by orienting us to the entrance and interior.”</w:t>
      </w:r>
      <w:r>
        <w:t xml:space="preserve"> BCA Member 2026</w:t>
      </w:r>
    </w:p>
    <w:p w14:paraId="3C0F0A5C" w14:textId="78656F2E" w:rsidR="00266F78" w:rsidRPr="00F168E5" w:rsidRDefault="00E97E7C" w:rsidP="00AA5CB4">
      <w:pPr>
        <w:pStyle w:val="Heading3"/>
      </w:pPr>
      <w:bookmarkStart w:id="26" w:name="_Toc231209362"/>
      <w:r>
        <w:lastRenderedPageBreak/>
        <w:t>Recommendation</w:t>
      </w:r>
      <w:r w:rsidR="003B3468">
        <w:t xml:space="preserve"> 6</w:t>
      </w:r>
      <w:r>
        <w:t xml:space="preserve">: </w:t>
      </w:r>
      <w:r w:rsidR="00266F78" w:rsidRPr="00F168E5">
        <w:t>Decisions affecting participant rights and entitlements must remain subject to strong safeguards, transparency and co-design with people with disability.</w:t>
      </w:r>
      <w:bookmarkEnd w:id="26"/>
      <w:r w:rsidR="00266F78" w:rsidRPr="00F168E5">
        <w:t xml:space="preserve"> </w:t>
      </w:r>
    </w:p>
    <w:p w14:paraId="4F425C5E" w14:textId="3FDE6B0C" w:rsidR="00E46FBF" w:rsidRPr="00DE14DE" w:rsidRDefault="00E46FBF" w:rsidP="00DE14DE">
      <w:pPr>
        <w:pStyle w:val="ListParagraph"/>
        <w:numPr>
          <w:ilvl w:val="0"/>
          <w:numId w:val="33"/>
        </w:numPr>
        <w:spacing w:line="360" w:lineRule="auto"/>
        <w:rPr>
          <w:rFonts w:ascii="Arial" w:eastAsia="Times New Roman" w:hAnsi="Arial" w:cs="Arial"/>
          <w:kern w:val="0"/>
          <w:lang w:eastAsia="en-AU"/>
          <w14:ligatures w14:val="none"/>
        </w:rPr>
      </w:pPr>
      <w:r w:rsidRPr="00DE14DE">
        <w:rPr>
          <w:rFonts w:ascii="Arial" w:hAnsi="Arial" w:cs="Arial"/>
        </w:rPr>
        <w:t>Ensure any expansion of ministerial powers under the NDIS framework be subject to strong parliamentary oversight, public transparency and mandatory consultation with people with disability and representative organisations.</w:t>
      </w:r>
    </w:p>
    <w:p w14:paraId="5D6D3D06" w14:textId="1487277C" w:rsidR="00F749BF" w:rsidRPr="000835AD" w:rsidRDefault="00D92EAB" w:rsidP="000835AD">
      <w:pPr>
        <w:spacing w:before="100" w:beforeAutospacing="1" w:after="100" w:afterAutospacing="1" w:line="360" w:lineRule="auto"/>
        <w:ind w:left="360"/>
        <w:rPr>
          <w:rFonts w:ascii="Arial" w:eastAsia="Times New Roman" w:hAnsi="Arial" w:cs="Arial"/>
          <w:kern w:val="0"/>
          <w:lang w:eastAsia="en-AU"/>
          <w14:ligatures w14:val="none"/>
        </w:rPr>
      </w:pPr>
      <w:r w:rsidRPr="000835AD">
        <w:rPr>
          <w:rFonts w:ascii="Arial" w:eastAsia="Times New Roman" w:hAnsi="Arial" w:cs="Arial"/>
          <w:kern w:val="0"/>
          <w:lang w:eastAsia="en-AU"/>
          <w14:ligatures w14:val="none"/>
        </w:rPr>
        <w:t>Rationale</w:t>
      </w:r>
    </w:p>
    <w:p w14:paraId="0A861242" w14:textId="77777777" w:rsidR="00266F78" w:rsidRPr="000835AD" w:rsidRDefault="00266F78" w:rsidP="000835AD">
      <w:pPr>
        <w:pStyle w:val="ListParagraph"/>
        <w:numPr>
          <w:ilvl w:val="0"/>
          <w:numId w:val="33"/>
        </w:numPr>
        <w:spacing w:before="100" w:beforeAutospacing="1" w:after="100" w:afterAutospacing="1" w:line="360" w:lineRule="auto"/>
        <w:rPr>
          <w:rFonts w:ascii="Arial" w:eastAsia="Times New Roman" w:hAnsi="Arial" w:cs="Arial"/>
          <w:kern w:val="0"/>
          <w:lang w:eastAsia="en-AU"/>
          <w14:ligatures w14:val="none"/>
        </w:rPr>
      </w:pPr>
      <w:r w:rsidRPr="000835AD">
        <w:rPr>
          <w:rFonts w:ascii="Arial" w:eastAsia="Times New Roman" w:hAnsi="Arial" w:cs="Arial"/>
          <w:kern w:val="0"/>
          <w:lang w:eastAsia="en-AU"/>
          <w14:ligatures w14:val="none"/>
        </w:rPr>
        <w:t>I</w:t>
      </w:r>
      <w:r w:rsidR="00D92EAB" w:rsidRPr="000835AD">
        <w:rPr>
          <w:rFonts w:ascii="Arial" w:eastAsia="Times New Roman" w:hAnsi="Arial" w:cs="Arial"/>
          <w:kern w:val="0"/>
          <w:lang w:eastAsia="en-AU"/>
          <w14:ligatures w14:val="none"/>
        </w:rPr>
        <w:t xml:space="preserve">ncreased ministerial discretion creates uncertainty for participants, particularly where powers may be used to narrow access to supports, redefine eligibility, or limit what is considered “reasonable and necessary” without adequate consultation with people with disability. </w:t>
      </w:r>
    </w:p>
    <w:p w14:paraId="18505647" w14:textId="21A32318" w:rsidR="00D92EAB" w:rsidRPr="000835AD" w:rsidRDefault="00D92EAB" w:rsidP="000835AD">
      <w:pPr>
        <w:pStyle w:val="ListParagraph"/>
        <w:numPr>
          <w:ilvl w:val="0"/>
          <w:numId w:val="33"/>
        </w:numPr>
        <w:spacing w:before="100" w:beforeAutospacing="1" w:after="100" w:afterAutospacing="1" w:line="360" w:lineRule="auto"/>
        <w:rPr>
          <w:rFonts w:ascii="Arial" w:eastAsia="Times New Roman" w:hAnsi="Arial" w:cs="Arial"/>
          <w:kern w:val="0"/>
          <w:lang w:eastAsia="en-AU"/>
          <w14:ligatures w14:val="none"/>
        </w:rPr>
      </w:pPr>
      <w:r w:rsidRPr="000835AD">
        <w:rPr>
          <w:rFonts w:ascii="Arial" w:eastAsia="Times New Roman" w:hAnsi="Arial" w:cs="Arial"/>
          <w:kern w:val="0"/>
          <w:lang w:eastAsia="en-AU"/>
          <w14:ligatures w14:val="none"/>
        </w:rPr>
        <w:t>For people who are blind or vision impaired, uncertainty around support access can have immediate consequences for safety, independence, communication, mobility and community participation.</w:t>
      </w:r>
    </w:p>
    <w:p w14:paraId="4BBBC39B" w14:textId="7EC295A7" w:rsidR="002B21D7" w:rsidRDefault="00214185" w:rsidP="000835AD">
      <w:pPr>
        <w:pStyle w:val="ListParagraph"/>
        <w:numPr>
          <w:ilvl w:val="0"/>
          <w:numId w:val="33"/>
        </w:numPr>
        <w:spacing w:line="360" w:lineRule="auto"/>
        <w:rPr>
          <w:rFonts w:ascii="Arial" w:hAnsi="Arial" w:cs="Arial"/>
        </w:rPr>
      </w:pPr>
      <w:r w:rsidRPr="000835AD">
        <w:rPr>
          <w:rFonts w:ascii="Arial" w:hAnsi="Arial" w:cs="Arial"/>
        </w:rPr>
        <w:t>Powers that allow rapid or broad changes to operational rules should not be used to introduce cost-cutting measures that undermine the rights-based intent of the NDIS or reduce access to essential supports.</w:t>
      </w:r>
    </w:p>
    <w:p w14:paraId="43A170A0" w14:textId="454075BA" w:rsidR="00CA23FA" w:rsidRPr="00CA23FA" w:rsidRDefault="00CA23FA" w:rsidP="00310674">
      <w:pPr>
        <w:pStyle w:val="Quote"/>
      </w:pPr>
      <w:r>
        <w:t>“</w:t>
      </w:r>
      <w:r w:rsidR="00BF1DBF">
        <w:t xml:space="preserve">As a legally blind person I need assistance to attend health care appointments because our health system continues to be inaccessible to me. I can’t read the forms or fill out the paperwork. I can’t </w:t>
      </w:r>
      <w:r w:rsidR="00F021D9">
        <w:t xml:space="preserve">find the consulting rooms because the </w:t>
      </w:r>
      <w:r w:rsidR="005F6F56">
        <w:t xml:space="preserve">signage is poor and the lifts don’t announce what floor I am on. </w:t>
      </w:r>
      <w:r w:rsidR="006B1BBA">
        <w:t>I can’t read the instructions for</w:t>
      </w:r>
      <w:r w:rsidR="00E45B33">
        <w:t xml:space="preserve"> aftercare or </w:t>
      </w:r>
      <w:r w:rsidR="006B1BBA">
        <w:t>medication</w:t>
      </w:r>
      <w:r w:rsidR="00FF173E">
        <w:t xml:space="preserve"> management</w:t>
      </w:r>
      <w:r w:rsidR="00E45B33">
        <w:t xml:space="preserve"> because the print is inaccessible</w:t>
      </w:r>
      <w:r w:rsidR="00860478">
        <w:t xml:space="preserve"> to me</w:t>
      </w:r>
      <w:r w:rsidR="00E45B33">
        <w:t>.</w:t>
      </w:r>
      <w:r w:rsidR="00362AA8">
        <w:t xml:space="preserve"> I need support to find my way</w:t>
      </w:r>
      <w:r w:rsidR="006D1B02">
        <w:t xml:space="preserve"> and keep myself safe.</w:t>
      </w:r>
      <w:r w:rsidR="009A4AA6">
        <w:t xml:space="preserve"> I can’t rely on friends and family t</w:t>
      </w:r>
      <w:r w:rsidR="00FE6DCD">
        <w:t>o always be available to do this</w:t>
      </w:r>
      <w:r w:rsidR="007F43B1">
        <w:t xml:space="preserve"> as they have their own lives to lead</w:t>
      </w:r>
      <w:r w:rsidR="00132789">
        <w:t>.</w:t>
      </w:r>
      <w:r w:rsidR="007F43B1">
        <w:t xml:space="preserve"> I want to be independent</w:t>
      </w:r>
      <w:r w:rsidR="00132789">
        <w:t xml:space="preserve"> and maintain my </w:t>
      </w:r>
      <w:r w:rsidR="001F0769">
        <w:t>privacy just like everybody else</w:t>
      </w:r>
      <w:r w:rsidR="007F43B1">
        <w:t>.</w:t>
      </w:r>
      <w:r w:rsidR="006D1B02">
        <w:t>”</w:t>
      </w:r>
      <w:r w:rsidR="00310674">
        <w:t xml:space="preserve"> BCA Member 2026</w:t>
      </w:r>
      <w:r w:rsidR="00E45B33">
        <w:t xml:space="preserve"> </w:t>
      </w:r>
    </w:p>
    <w:p w14:paraId="3413D6AB" w14:textId="6F4511AE" w:rsidR="00A1548E" w:rsidRDefault="00A1548E" w:rsidP="007941ED">
      <w:pPr>
        <w:pStyle w:val="Heading2"/>
      </w:pPr>
      <w:bookmarkStart w:id="27" w:name="_Toc231209363"/>
      <w:r w:rsidRPr="00A1548E">
        <w:lastRenderedPageBreak/>
        <w:t>Part 7 - Plan suspensions</w:t>
      </w:r>
      <w:bookmarkEnd w:id="27"/>
    </w:p>
    <w:p w14:paraId="57CF786A" w14:textId="20047046" w:rsidR="004C32D7" w:rsidRPr="00CE316B" w:rsidRDefault="004C32D7" w:rsidP="00CE316B">
      <w:pPr>
        <w:pStyle w:val="Heading3"/>
      </w:pPr>
      <w:bookmarkStart w:id="28" w:name="_Toc231209364"/>
      <w:r w:rsidRPr="00CE316B">
        <w:t>Recommendation</w:t>
      </w:r>
      <w:r w:rsidR="00A7008F">
        <w:t xml:space="preserve"> </w:t>
      </w:r>
      <w:r w:rsidR="0066014E">
        <w:t>7</w:t>
      </w:r>
      <w:r w:rsidRPr="00CE316B">
        <w:t xml:space="preserve">: </w:t>
      </w:r>
      <w:r w:rsidR="00A32536" w:rsidRPr="00A32536">
        <w:t>Prohibit suspension of participant plans for non-response unless the</w:t>
      </w:r>
      <w:r w:rsidR="00831C40">
        <w:t>re is evidence that the</w:t>
      </w:r>
      <w:r w:rsidR="00A32536" w:rsidRPr="00A32536">
        <w:t xml:space="preserve"> NDIA has provided information in the participant’s preferred accessible format, undertaken accessible follow-up processes, and confirmed that accessibility barriers are not preventing engagement.</w:t>
      </w:r>
      <w:bookmarkEnd w:id="28"/>
    </w:p>
    <w:p w14:paraId="5E6586B3" w14:textId="5E323421" w:rsidR="004C32D7" w:rsidRPr="00E06238" w:rsidRDefault="004C32D7" w:rsidP="004C32D7">
      <w:pPr>
        <w:spacing w:line="360" w:lineRule="auto"/>
        <w:rPr>
          <w:rFonts w:ascii="Arial" w:hAnsi="Arial" w:cs="Arial"/>
        </w:rPr>
      </w:pPr>
      <w:r w:rsidRPr="00E06238">
        <w:rPr>
          <w:rFonts w:ascii="Arial" w:hAnsi="Arial" w:cs="Arial"/>
        </w:rPr>
        <w:t>Power to suspend NDIS participant plans where participants can</w:t>
      </w:r>
      <w:r>
        <w:rPr>
          <w:rFonts w:ascii="Arial" w:hAnsi="Arial" w:cs="Arial"/>
        </w:rPr>
        <w:t>’</w:t>
      </w:r>
      <w:r w:rsidRPr="00E06238">
        <w:rPr>
          <w:rFonts w:ascii="Arial" w:hAnsi="Arial" w:cs="Arial"/>
        </w:rPr>
        <w:t>t be contacted will disproportionately impact people with disability who do</w:t>
      </w:r>
      <w:r>
        <w:rPr>
          <w:rFonts w:ascii="Arial" w:hAnsi="Arial" w:cs="Arial"/>
        </w:rPr>
        <w:t>n’t</w:t>
      </w:r>
      <w:r w:rsidRPr="00E06238">
        <w:rPr>
          <w:rFonts w:ascii="Arial" w:hAnsi="Arial" w:cs="Arial"/>
        </w:rPr>
        <w:t xml:space="preserve"> consistently receive information in accessible, appropriate or usable formats.</w:t>
      </w:r>
      <w:r>
        <w:rPr>
          <w:rFonts w:ascii="Arial" w:hAnsi="Arial" w:cs="Arial"/>
        </w:rPr>
        <w:t xml:space="preserve"> </w:t>
      </w:r>
      <w:r w:rsidRPr="00E06238">
        <w:rPr>
          <w:rFonts w:ascii="Arial" w:hAnsi="Arial" w:cs="Arial"/>
        </w:rPr>
        <w:t xml:space="preserve">Ensure participant plans cannot be suspended </w:t>
      </w:r>
      <w:r w:rsidR="0053568C" w:rsidRPr="00E06238">
        <w:rPr>
          <w:rFonts w:ascii="Arial" w:hAnsi="Arial" w:cs="Arial"/>
        </w:rPr>
        <w:t>based on</w:t>
      </w:r>
      <w:r w:rsidRPr="00E06238">
        <w:rPr>
          <w:rFonts w:ascii="Arial" w:hAnsi="Arial" w:cs="Arial"/>
        </w:rPr>
        <w:t xml:space="preserve"> non-contact unless the NDIA has first:</w:t>
      </w:r>
    </w:p>
    <w:p w14:paraId="77ED7144" w14:textId="77777777" w:rsidR="004C32D7" w:rsidRPr="00E06238" w:rsidRDefault="004C32D7" w:rsidP="004C32D7">
      <w:pPr>
        <w:numPr>
          <w:ilvl w:val="0"/>
          <w:numId w:val="18"/>
        </w:numPr>
        <w:spacing w:line="360" w:lineRule="auto"/>
        <w:rPr>
          <w:rFonts w:ascii="Arial" w:hAnsi="Arial" w:cs="Arial"/>
        </w:rPr>
      </w:pPr>
      <w:r w:rsidRPr="00E06238">
        <w:rPr>
          <w:rFonts w:ascii="Arial" w:hAnsi="Arial" w:cs="Arial"/>
        </w:rPr>
        <w:t xml:space="preserve">demonstrated that all communication has been provided in the participant’s preferred and accessible format; </w:t>
      </w:r>
    </w:p>
    <w:p w14:paraId="6B1F41A6" w14:textId="77777777" w:rsidR="004C32D7" w:rsidRPr="00E06238" w:rsidRDefault="004C32D7" w:rsidP="004C32D7">
      <w:pPr>
        <w:numPr>
          <w:ilvl w:val="0"/>
          <w:numId w:val="18"/>
        </w:numPr>
        <w:spacing w:line="360" w:lineRule="auto"/>
        <w:rPr>
          <w:rFonts w:ascii="Arial" w:hAnsi="Arial" w:cs="Arial"/>
        </w:rPr>
      </w:pPr>
      <w:r w:rsidRPr="00E06238">
        <w:rPr>
          <w:rFonts w:ascii="Arial" w:hAnsi="Arial" w:cs="Arial"/>
        </w:rPr>
        <w:t xml:space="preserve">used multiple accessible communication methods and reasonable follow-up attempts; </w:t>
      </w:r>
    </w:p>
    <w:p w14:paraId="29267890" w14:textId="77777777" w:rsidR="004C32D7" w:rsidRPr="00E06238" w:rsidRDefault="004C32D7" w:rsidP="004C32D7">
      <w:pPr>
        <w:numPr>
          <w:ilvl w:val="0"/>
          <w:numId w:val="18"/>
        </w:numPr>
        <w:spacing w:line="360" w:lineRule="auto"/>
        <w:rPr>
          <w:rFonts w:ascii="Arial" w:hAnsi="Arial" w:cs="Arial"/>
        </w:rPr>
      </w:pPr>
      <w:r w:rsidRPr="00E06238">
        <w:rPr>
          <w:rFonts w:ascii="Arial" w:hAnsi="Arial" w:cs="Arial"/>
        </w:rPr>
        <w:t xml:space="preserve">confirmed that accessibility barriers are not contributing to the lack of response; </w:t>
      </w:r>
    </w:p>
    <w:p w14:paraId="43EBFE82" w14:textId="77777777" w:rsidR="004C32D7" w:rsidRPr="00E06238" w:rsidRDefault="004C32D7" w:rsidP="004C32D7">
      <w:pPr>
        <w:numPr>
          <w:ilvl w:val="0"/>
          <w:numId w:val="18"/>
        </w:numPr>
        <w:spacing w:line="360" w:lineRule="auto"/>
        <w:rPr>
          <w:rFonts w:ascii="Arial" w:hAnsi="Arial" w:cs="Arial"/>
        </w:rPr>
      </w:pPr>
      <w:r w:rsidRPr="00E06238">
        <w:rPr>
          <w:rFonts w:ascii="Arial" w:hAnsi="Arial" w:cs="Arial"/>
        </w:rPr>
        <w:t xml:space="preserve">engaged nominees, advocates, support coordinators or other authorised contacts where appropriate; and </w:t>
      </w:r>
    </w:p>
    <w:p w14:paraId="4F8FA508" w14:textId="77777777" w:rsidR="004C32D7" w:rsidRPr="00E06238" w:rsidRDefault="004C32D7" w:rsidP="004C32D7">
      <w:pPr>
        <w:numPr>
          <w:ilvl w:val="0"/>
          <w:numId w:val="18"/>
        </w:numPr>
        <w:spacing w:line="360" w:lineRule="auto"/>
        <w:rPr>
          <w:rFonts w:ascii="Arial" w:hAnsi="Arial" w:cs="Arial"/>
        </w:rPr>
      </w:pPr>
      <w:r w:rsidRPr="00E06238">
        <w:rPr>
          <w:rFonts w:ascii="Arial" w:hAnsi="Arial" w:cs="Arial"/>
        </w:rPr>
        <w:t xml:space="preserve">provided accessible warnings and review mechanisms prior to any suspension decision. </w:t>
      </w:r>
    </w:p>
    <w:p w14:paraId="54BAFBA5" w14:textId="77777777" w:rsidR="004C32D7" w:rsidRPr="00E06238" w:rsidRDefault="004C32D7" w:rsidP="004C32D7">
      <w:pPr>
        <w:spacing w:line="360" w:lineRule="auto"/>
        <w:rPr>
          <w:rFonts w:ascii="Arial" w:hAnsi="Arial" w:cs="Arial"/>
          <w:b/>
          <w:bCs/>
        </w:rPr>
      </w:pPr>
      <w:r w:rsidRPr="00E06238">
        <w:rPr>
          <w:rFonts w:ascii="Arial" w:hAnsi="Arial" w:cs="Arial"/>
          <w:b/>
          <w:bCs/>
        </w:rPr>
        <w:t>Rationale</w:t>
      </w:r>
    </w:p>
    <w:p w14:paraId="2454DDAF" w14:textId="2B75F8F9" w:rsidR="004C32D7" w:rsidRPr="00E06238" w:rsidRDefault="004C32D7" w:rsidP="004C32D7">
      <w:pPr>
        <w:pStyle w:val="ListParagraph"/>
        <w:numPr>
          <w:ilvl w:val="0"/>
          <w:numId w:val="19"/>
        </w:numPr>
        <w:spacing w:line="360" w:lineRule="auto"/>
        <w:rPr>
          <w:rFonts w:ascii="Arial" w:hAnsi="Arial" w:cs="Arial"/>
        </w:rPr>
      </w:pPr>
      <w:r w:rsidRPr="00E06238">
        <w:rPr>
          <w:rFonts w:ascii="Arial" w:hAnsi="Arial" w:cs="Arial"/>
        </w:rPr>
        <w:t>For people who are blind or vision impaired, inaccessible communication remains a persistent and systemic barrier across government and service systems, including inaccessible letters, PDFs, online portals, forms and digital notifications and is a consistent complaint</w:t>
      </w:r>
      <w:r w:rsidR="00616DF6">
        <w:rPr>
          <w:rFonts w:ascii="Arial" w:hAnsi="Arial" w:cs="Arial"/>
        </w:rPr>
        <w:t xml:space="preserve"> received by BCA</w:t>
      </w:r>
      <w:r w:rsidRPr="00E06238">
        <w:rPr>
          <w:rFonts w:ascii="Arial" w:hAnsi="Arial" w:cs="Arial"/>
        </w:rPr>
        <w:t xml:space="preserve"> in relation to the NDIS.</w:t>
      </w:r>
    </w:p>
    <w:p w14:paraId="66C935E6" w14:textId="77777777" w:rsidR="004C32D7" w:rsidRPr="00E06238" w:rsidRDefault="004C32D7" w:rsidP="004C32D7">
      <w:pPr>
        <w:pStyle w:val="ListParagraph"/>
        <w:numPr>
          <w:ilvl w:val="0"/>
          <w:numId w:val="19"/>
        </w:numPr>
        <w:spacing w:line="360" w:lineRule="auto"/>
        <w:rPr>
          <w:rFonts w:ascii="Arial" w:hAnsi="Arial" w:cs="Arial"/>
        </w:rPr>
      </w:pPr>
      <w:r w:rsidRPr="00E06238">
        <w:rPr>
          <w:rFonts w:ascii="Arial" w:hAnsi="Arial" w:cs="Arial"/>
        </w:rPr>
        <w:t xml:space="preserve">Participants may be incorrectly classified as “uncontactable” not because they are disengaged from the NDIS, but because communications have not been provided in formats they can independently access or respond to. </w:t>
      </w:r>
    </w:p>
    <w:p w14:paraId="5025A2A7" w14:textId="77777777" w:rsidR="004C32D7" w:rsidRDefault="004C32D7" w:rsidP="004C32D7">
      <w:pPr>
        <w:pStyle w:val="ListParagraph"/>
        <w:numPr>
          <w:ilvl w:val="0"/>
          <w:numId w:val="19"/>
        </w:numPr>
        <w:spacing w:line="360" w:lineRule="auto"/>
        <w:rPr>
          <w:rFonts w:ascii="Arial" w:hAnsi="Arial" w:cs="Arial"/>
        </w:rPr>
      </w:pPr>
      <w:r w:rsidRPr="00E06238">
        <w:rPr>
          <w:rFonts w:ascii="Arial" w:hAnsi="Arial" w:cs="Arial"/>
        </w:rPr>
        <w:lastRenderedPageBreak/>
        <w:t>Delays in receiving accessible information can be compounded by reliance on third parties, inaccessible digital systems, communication preferences not being followed, changes in support arrangements, or limited access to advocacy and administrative assistance.</w:t>
      </w:r>
    </w:p>
    <w:p w14:paraId="44F82F98" w14:textId="3AF851EC" w:rsidR="00061B42" w:rsidRPr="000336F3" w:rsidRDefault="00061B42" w:rsidP="00B15E3A">
      <w:pPr>
        <w:pStyle w:val="Quote"/>
      </w:pPr>
      <w:r w:rsidRPr="000336F3">
        <w:t xml:space="preserve">“The NDIA kept sending me printed copies </w:t>
      </w:r>
      <w:r w:rsidR="00E2313C" w:rsidRPr="000336F3">
        <w:t>of communication</w:t>
      </w:r>
      <w:r w:rsidR="008A0F33">
        <w:t xml:space="preserve"> </w:t>
      </w:r>
      <w:r w:rsidR="008A0F33" w:rsidRPr="000336F3">
        <w:t xml:space="preserve">even though I repeatedly told them I couldn’t read it. </w:t>
      </w:r>
      <w:r w:rsidR="008A0F33">
        <w:t>It</w:t>
      </w:r>
      <w:r w:rsidR="006E6FD8" w:rsidRPr="000336F3">
        <w:t xml:space="preserve"> was too large for my letterbox so had to be collected from the post </w:t>
      </w:r>
      <w:r w:rsidR="000336F3" w:rsidRPr="000336F3">
        <w:t xml:space="preserve">office </w:t>
      </w:r>
      <w:r w:rsidR="008A0F33">
        <w:t>which was</w:t>
      </w:r>
      <w:r w:rsidR="000336F3" w:rsidRPr="000336F3">
        <w:t xml:space="preserve"> such a waste of time and money.</w:t>
      </w:r>
      <w:r w:rsidR="00E2313C" w:rsidRPr="000336F3">
        <w:t>”</w:t>
      </w:r>
      <w:r w:rsidR="000336F3" w:rsidRPr="000336F3">
        <w:t xml:space="preserve"> BCA Member 2026</w:t>
      </w:r>
    </w:p>
    <w:p w14:paraId="674A259B" w14:textId="2A08A228" w:rsidR="00A1548E" w:rsidRPr="00300035" w:rsidRDefault="00A1548E" w:rsidP="00300035">
      <w:pPr>
        <w:pStyle w:val="Heading2"/>
      </w:pPr>
      <w:bookmarkStart w:id="29" w:name="_Toc231209365"/>
      <w:r w:rsidRPr="00300035">
        <w:t>Part 8 - Tightening meaning of permanence to reduce access where an impairment can be treated</w:t>
      </w:r>
      <w:bookmarkEnd w:id="29"/>
    </w:p>
    <w:p w14:paraId="6DFF3BB8" w14:textId="61FE46E0" w:rsidR="00924119" w:rsidRPr="00E06238" w:rsidRDefault="00924119" w:rsidP="00DC3360">
      <w:pPr>
        <w:pStyle w:val="Heading3"/>
      </w:pPr>
      <w:bookmarkStart w:id="30" w:name="_Toc231209366"/>
      <w:r w:rsidRPr="00E06238">
        <w:t>Recommendation</w:t>
      </w:r>
      <w:r w:rsidR="00A7008F">
        <w:t xml:space="preserve"> </w:t>
      </w:r>
      <w:r w:rsidR="0066014E">
        <w:t>8</w:t>
      </w:r>
      <w:r>
        <w:t xml:space="preserve">: </w:t>
      </w:r>
      <w:r w:rsidRPr="00FE4937">
        <w:t>Expressly preserve specialist-certified access for bilateral permanent vision loss</w:t>
      </w:r>
      <w:bookmarkEnd w:id="30"/>
    </w:p>
    <w:p w14:paraId="5A9AFF7A" w14:textId="210409E1" w:rsidR="00924119" w:rsidRDefault="0042055F" w:rsidP="0042055F">
      <w:pPr>
        <w:pStyle w:val="ListParagraph"/>
        <w:numPr>
          <w:ilvl w:val="0"/>
          <w:numId w:val="15"/>
        </w:numPr>
        <w:spacing w:line="360" w:lineRule="auto"/>
        <w:rPr>
          <w:rFonts w:ascii="Arial" w:hAnsi="Arial" w:cs="Arial"/>
        </w:rPr>
      </w:pPr>
      <w:r>
        <w:rPr>
          <w:rFonts w:ascii="Arial" w:hAnsi="Arial" w:cs="Arial"/>
        </w:rPr>
        <w:t>E</w:t>
      </w:r>
      <w:r w:rsidRPr="0042055F">
        <w:rPr>
          <w:rFonts w:ascii="Arial" w:hAnsi="Arial" w:cs="Arial"/>
        </w:rPr>
        <w:t>xpressly preserve streamlined NDIS access for people with permanent bilateral vision loss, either through a dedicated preservation clause in proposed section 9</w:t>
      </w:r>
      <w:proofErr w:type="gramStart"/>
      <w:r w:rsidRPr="0042055F">
        <w:rPr>
          <w:rFonts w:ascii="Arial" w:hAnsi="Arial" w:cs="Arial"/>
        </w:rPr>
        <w:t>B(</w:t>
      </w:r>
      <w:proofErr w:type="gramEnd"/>
      <w:r w:rsidRPr="0042055F">
        <w:rPr>
          <w:rFonts w:ascii="Arial" w:hAnsi="Arial" w:cs="Arial"/>
        </w:rPr>
        <w:t>4) or through a binding commitment that Category A NDIS Rules will continue to recognise specialist-certified permanent blindness as sufficient evidence of disability access eligibility.</w:t>
      </w:r>
      <w:r w:rsidR="00924119" w:rsidRPr="00E06238">
        <w:rPr>
          <w:rFonts w:ascii="Arial" w:hAnsi="Arial" w:cs="Arial"/>
        </w:rPr>
        <w:t xml:space="preserve"> </w:t>
      </w:r>
    </w:p>
    <w:p w14:paraId="49085A0D" w14:textId="77777777" w:rsidR="00A23A32" w:rsidRPr="00407A95" w:rsidRDefault="00A23A32" w:rsidP="00A23A32">
      <w:pPr>
        <w:numPr>
          <w:ilvl w:val="0"/>
          <w:numId w:val="15"/>
        </w:numPr>
        <w:spacing w:line="360" w:lineRule="auto"/>
        <w:rPr>
          <w:rFonts w:ascii="Arial" w:hAnsi="Arial" w:cs="Arial"/>
        </w:rPr>
      </w:pPr>
      <w:r w:rsidRPr="00407A95">
        <w:rPr>
          <w:rFonts w:ascii="Arial" w:hAnsi="Arial" w:cs="Arial"/>
        </w:rPr>
        <w:t xml:space="preserve">Oppose any requirement that participants must exhaust “all appropriate treatment” before accessing the NDIS where treatment cannot restore functional vision or eliminate disability-related barriers. </w:t>
      </w:r>
    </w:p>
    <w:p w14:paraId="089AE519" w14:textId="77777777" w:rsidR="007F147B" w:rsidRDefault="007F147B" w:rsidP="007F147B">
      <w:pPr>
        <w:numPr>
          <w:ilvl w:val="0"/>
          <w:numId w:val="15"/>
        </w:numPr>
        <w:spacing w:line="360" w:lineRule="auto"/>
        <w:rPr>
          <w:rFonts w:ascii="Arial" w:hAnsi="Arial" w:cs="Arial"/>
        </w:rPr>
      </w:pPr>
      <w:r w:rsidRPr="00407A95">
        <w:rPr>
          <w:rFonts w:ascii="Arial" w:hAnsi="Arial" w:cs="Arial"/>
        </w:rPr>
        <w:t xml:space="preserve">Ensure inability to access treatment due to cost, geography, service availability or accessibility does not prevent access to the NDIS. </w:t>
      </w:r>
    </w:p>
    <w:p w14:paraId="62BD7874" w14:textId="359835B1" w:rsidR="00C81C24" w:rsidRPr="00407A95" w:rsidRDefault="00C81C24" w:rsidP="00EA5B4D">
      <w:pPr>
        <w:numPr>
          <w:ilvl w:val="0"/>
          <w:numId w:val="15"/>
        </w:numPr>
        <w:spacing w:line="360" w:lineRule="auto"/>
        <w:rPr>
          <w:rFonts w:ascii="Arial" w:hAnsi="Arial" w:cs="Arial"/>
        </w:rPr>
      </w:pPr>
      <w:r w:rsidRPr="00407A95">
        <w:rPr>
          <w:rFonts w:ascii="Arial" w:hAnsi="Arial" w:cs="Arial"/>
        </w:rPr>
        <w:t>Ensure lived experience and treating practitioner evidence are given significant weight when determining whether supports are effective and beneficial, particularly where peer-reviewed evidence is limited for low-incidence disability cohorts</w:t>
      </w:r>
      <w:r w:rsidR="00EA5B4D">
        <w:rPr>
          <w:rFonts w:ascii="Arial" w:hAnsi="Arial" w:cs="Arial"/>
        </w:rPr>
        <w:t xml:space="preserve"> such as blindness and vision impairment</w:t>
      </w:r>
      <w:r w:rsidRPr="00407A95">
        <w:rPr>
          <w:rFonts w:ascii="Arial" w:hAnsi="Arial" w:cs="Arial"/>
        </w:rPr>
        <w:t xml:space="preserve">. </w:t>
      </w:r>
    </w:p>
    <w:p w14:paraId="49C21805" w14:textId="46C49949" w:rsidR="0000798E" w:rsidRPr="00901E75" w:rsidRDefault="0000798E" w:rsidP="0000798E">
      <w:pPr>
        <w:spacing w:line="360" w:lineRule="auto"/>
        <w:ind w:left="360"/>
        <w:rPr>
          <w:rFonts w:ascii="Arial" w:hAnsi="Arial" w:cs="Arial"/>
          <w:b/>
          <w:bCs/>
        </w:rPr>
      </w:pPr>
      <w:r w:rsidRPr="00901E75">
        <w:rPr>
          <w:rFonts w:ascii="Arial" w:hAnsi="Arial" w:cs="Arial"/>
          <w:b/>
          <w:bCs/>
        </w:rPr>
        <w:t>Rationale</w:t>
      </w:r>
    </w:p>
    <w:p w14:paraId="542345D9" w14:textId="06501855" w:rsidR="00744348" w:rsidRDefault="00744348" w:rsidP="0042055F">
      <w:pPr>
        <w:pStyle w:val="ListParagraph"/>
        <w:numPr>
          <w:ilvl w:val="0"/>
          <w:numId w:val="15"/>
        </w:numPr>
        <w:spacing w:line="360" w:lineRule="auto"/>
        <w:rPr>
          <w:rFonts w:ascii="Arial" w:hAnsi="Arial" w:cs="Arial"/>
        </w:rPr>
      </w:pPr>
      <w:r w:rsidRPr="00744348">
        <w:rPr>
          <w:rFonts w:ascii="Arial" w:hAnsi="Arial" w:cs="Arial"/>
        </w:rPr>
        <w:t xml:space="preserve">Currently, certification by an ophthalmologist of permanent blindness in both eyes provides a recognised streamlined pathway to NDIS access under List A of the Operational Guidelines. The Bill does not expressly preserve this pathway. Instead, the new functional capacity framework commencing on 1 </w:t>
      </w:r>
      <w:r w:rsidRPr="00744348">
        <w:rPr>
          <w:rFonts w:ascii="Arial" w:hAnsi="Arial" w:cs="Arial"/>
        </w:rPr>
        <w:lastRenderedPageBreak/>
        <w:t>January 2028 defers key eligibility settings to Category A NDIS Rules, which have not yet been released and are not subject to merits review. This creates significant uncertainty for people who are blind or vision impaired, as existing streamlined access arrangements could be amended, narrowed or removed administratively in the future.</w:t>
      </w:r>
    </w:p>
    <w:p w14:paraId="78425341" w14:textId="483FE9F0" w:rsidR="007F18FA" w:rsidRDefault="007F18FA" w:rsidP="007F18FA">
      <w:pPr>
        <w:pStyle w:val="Heading3"/>
      </w:pPr>
      <w:bookmarkStart w:id="31" w:name="_Toc231209367"/>
      <w:r w:rsidRPr="00A7008F">
        <w:t>Recommendation</w:t>
      </w:r>
      <w:r w:rsidR="00A7008F" w:rsidRPr="00A7008F">
        <w:t xml:space="preserve"> </w:t>
      </w:r>
      <w:r w:rsidR="0066014E">
        <w:t>9</w:t>
      </w:r>
      <w:r w:rsidRPr="00A7008F">
        <w:t>:</w:t>
      </w:r>
      <w:r>
        <w:rPr>
          <w:b/>
          <w:bCs/>
        </w:rPr>
        <w:t xml:space="preserve"> </w:t>
      </w:r>
      <w:r w:rsidRPr="00E06238">
        <w:t>Explicitly recognise blindness and permanent vision impairment as lifelong conditions that do not require repeated proof of permanence or ongoing reassessment where diagnosis is confirmed by an appropriately qualified ophthalmologist or specialist.</w:t>
      </w:r>
      <w:bookmarkEnd w:id="31"/>
    </w:p>
    <w:p w14:paraId="5E27C901" w14:textId="77777777" w:rsidR="0000762D" w:rsidRDefault="007F18FA" w:rsidP="007F18FA">
      <w:pPr>
        <w:rPr>
          <w:rFonts w:ascii="Arial" w:hAnsi="Arial" w:cs="Arial"/>
        </w:rPr>
      </w:pPr>
      <w:r w:rsidRPr="000A0524">
        <w:rPr>
          <w:rFonts w:ascii="Arial" w:hAnsi="Arial" w:cs="Arial"/>
        </w:rPr>
        <w:t>Repeated reassessment processes are inefficient and burdensome for people with disability</w:t>
      </w:r>
      <w:r w:rsidR="0000762D">
        <w:rPr>
          <w:rFonts w:ascii="Arial" w:hAnsi="Arial" w:cs="Arial"/>
        </w:rPr>
        <w:t>.</w:t>
      </w:r>
    </w:p>
    <w:p w14:paraId="242D085C" w14:textId="77777777" w:rsidR="007F18FA" w:rsidRPr="00E06238" w:rsidRDefault="007F18FA" w:rsidP="007F18FA">
      <w:pPr>
        <w:spacing w:line="360" w:lineRule="auto"/>
        <w:rPr>
          <w:rFonts w:ascii="Arial" w:hAnsi="Arial" w:cs="Arial"/>
          <w:b/>
          <w:bCs/>
        </w:rPr>
      </w:pPr>
      <w:r w:rsidRPr="00E06238">
        <w:rPr>
          <w:rFonts w:ascii="Arial" w:hAnsi="Arial" w:cs="Arial"/>
          <w:b/>
          <w:bCs/>
        </w:rPr>
        <w:t>Rationale</w:t>
      </w:r>
    </w:p>
    <w:p w14:paraId="6EA67AB3" w14:textId="58E493A2" w:rsidR="007F18FA" w:rsidRDefault="007F18FA" w:rsidP="007F18FA">
      <w:pPr>
        <w:pStyle w:val="ListParagraph"/>
        <w:numPr>
          <w:ilvl w:val="0"/>
          <w:numId w:val="11"/>
        </w:numPr>
        <w:spacing w:line="360" w:lineRule="auto"/>
        <w:rPr>
          <w:rFonts w:ascii="Arial" w:hAnsi="Arial" w:cs="Arial"/>
        </w:rPr>
      </w:pPr>
      <w:r w:rsidRPr="00E06238">
        <w:rPr>
          <w:rFonts w:ascii="Arial" w:hAnsi="Arial" w:cs="Arial"/>
        </w:rPr>
        <w:t xml:space="preserve">For many people who are blind or vision impaired, impairment is permanent, non-recoverable and </w:t>
      </w:r>
      <w:r w:rsidR="00F27C3B" w:rsidRPr="00BE34A5">
        <w:rPr>
          <w:rFonts w:ascii="Arial" w:hAnsi="Arial" w:cs="Arial"/>
        </w:rPr>
        <w:t>clinically verifiable with well-established functional impacts</w:t>
      </w:r>
      <w:r w:rsidRPr="00E06238">
        <w:rPr>
          <w:rFonts w:ascii="Arial" w:hAnsi="Arial" w:cs="Arial"/>
        </w:rPr>
        <w:t xml:space="preserve">. </w:t>
      </w:r>
    </w:p>
    <w:p w14:paraId="03BE1799" w14:textId="77777777" w:rsidR="007F18FA" w:rsidRDefault="007F18FA" w:rsidP="007F18FA">
      <w:pPr>
        <w:pStyle w:val="ListParagraph"/>
        <w:numPr>
          <w:ilvl w:val="0"/>
          <w:numId w:val="11"/>
        </w:numPr>
        <w:spacing w:line="360" w:lineRule="auto"/>
        <w:rPr>
          <w:rFonts w:ascii="Arial" w:hAnsi="Arial" w:cs="Arial"/>
        </w:rPr>
      </w:pPr>
      <w:r w:rsidRPr="00E06238">
        <w:rPr>
          <w:rFonts w:ascii="Arial" w:hAnsi="Arial" w:cs="Arial"/>
        </w:rPr>
        <w:t>Requiring repeated reassessment creates unnecessary administrative burden, distress and cost, without improving scheme integrity.</w:t>
      </w:r>
    </w:p>
    <w:p w14:paraId="1FF8C09B" w14:textId="77777777" w:rsidR="00774EEE" w:rsidRPr="00D8617C" w:rsidRDefault="00774EEE" w:rsidP="00774EEE">
      <w:pPr>
        <w:pStyle w:val="ListParagraph"/>
        <w:numPr>
          <w:ilvl w:val="0"/>
          <w:numId w:val="11"/>
        </w:numPr>
        <w:spacing w:before="100" w:beforeAutospacing="1" w:after="100" w:afterAutospacing="1" w:line="360" w:lineRule="auto"/>
        <w:rPr>
          <w:rFonts w:ascii="Arial" w:eastAsia="Times New Roman" w:hAnsi="Arial" w:cs="Arial"/>
          <w:color w:val="000000"/>
          <w:kern w:val="0"/>
          <w:lang w:eastAsia="en-AU"/>
          <w14:ligatures w14:val="none"/>
        </w:rPr>
      </w:pPr>
      <w:r w:rsidRPr="00D8617C">
        <w:rPr>
          <w:rFonts w:ascii="Arial" w:eastAsia="Times New Roman" w:hAnsi="Arial" w:cs="Arial"/>
          <w:color w:val="000000"/>
          <w:kern w:val="0"/>
          <w:lang w:eastAsia="en-AU"/>
          <w14:ligatures w14:val="none"/>
        </w:rPr>
        <w:t xml:space="preserve">Tougher proof of “permanent disability” will exclude people unable to access specialists and disadvantage those in rural areas or with fewer resources. </w:t>
      </w:r>
      <w:r>
        <w:rPr>
          <w:rFonts w:ascii="Arial" w:eastAsia="Times New Roman" w:hAnsi="Arial" w:cs="Arial"/>
          <w:color w:val="000000"/>
          <w:kern w:val="0"/>
          <w:lang w:eastAsia="en-AU"/>
          <w14:ligatures w14:val="none"/>
        </w:rPr>
        <w:t xml:space="preserve">This will </w:t>
      </w:r>
      <w:r w:rsidRPr="00D8617C">
        <w:rPr>
          <w:rFonts w:ascii="Arial" w:eastAsia="Times New Roman" w:hAnsi="Arial" w:cs="Arial"/>
          <w:color w:val="000000"/>
          <w:kern w:val="0"/>
          <w:lang w:eastAsia="en-AU"/>
          <w14:ligatures w14:val="none"/>
        </w:rPr>
        <w:t>worsen inequality and delay access to support.</w:t>
      </w:r>
    </w:p>
    <w:p w14:paraId="21AE8533" w14:textId="7ACF3EE8" w:rsidR="000F0BC5" w:rsidRDefault="000F0BC5" w:rsidP="00300035">
      <w:pPr>
        <w:pStyle w:val="Heading2"/>
      </w:pPr>
      <w:bookmarkStart w:id="32" w:name="_Toc231209368"/>
      <w:r w:rsidRPr="00300035">
        <w:t>Part 9 - Eligibility based on access to other services</w:t>
      </w:r>
      <w:bookmarkEnd w:id="32"/>
    </w:p>
    <w:p w14:paraId="62C11AD5" w14:textId="533FE1D1" w:rsidR="00AA7DB5" w:rsidRPr="000251B9" w:rsidRDefault="00AA7DB5" w:rsidP="000251B9">
      <w:pPr>
        <w:pStyle w:val="Heading3"/>
      </w:pPr>
      <w:bookmarkStart w:id="33" w:name="_Toc231209369"/>
      <w:r w:rsidRPr="000251B9">
        <w:t>Recommendation</w:t>
      </w:r>
      <w:r w:rsidR="00A7008F" w:rsidRPr="000251B9">
        <w:t xml:space="preserve"> </w:t>
      </w:r>
      <w:r w:rsidR="0066014E">
        <w:t>10</w:t>
      </w:r>
      <w:r w:rsidRPr="000251B9">
        <w:t xml:space="preserve">: </w:t>
      </w:r>
      <w:r w:rsidR="007047C8" w:rsidRPr="000251B9">
        <w:t xml:space="preserve">Ensure people who are </w:t>
      </w:r>
      <w:r w:rsidR="006C2298">
        <w:t xml:space="preserve">blind or </w:t>
      </w:r>
      <w:r w:rsidR="007047C8" w:rsidRPr="000251B9">
        <w:t>vision impaired are not excluded from the NDIS unless accessible, adequate and equivalent supports are genuinely available through mainstream or alternative service systems and ensure reforms do not shift disability support responsibilities onto families, carers or inaccessible community systems.</w:t>
      </w:r>
      <w:bookmarkEnd w:id="33"/>
    </w:p>
    <w:p w14:paraId="488BA6A2" w14:textId="77777777" w:rsidR="00613882" w:rsidRDefault="00613882" w:rsidP="0093695E">
      <w:pPr>
        <w:numPr>
          <w:ilvl w:val="0"/>
          <w:numId w:val="27"/>
        </w:numPr>
        <w:spacing w:line="360" w:lineRule="auto"/>
        <w:rPr>
          <w:rFonts w:ascii="Arial" w:hAnsi="Arial" w:cs="Arial"/>
        </w:rPr>
      </w:pPr>
      <w:r w:rsidRPr="00407A95">
        <w:rPr>
          <w:rFonts w:ascii="Arial" w:hAnsi="Arial" w:cs="Arial"/>
        </w:rPr>
        <w:t xml:space="preserve">Reject eligibility settings that exclude people from the NDIS because they receive support through aged care, compensation or other mainstream systems where those systems do not provide equivalent disability-specific supports. </w:t>
      </w:r>
    </w:p>
    <w:p w14:paraId="69E973BD" w14:textId="77777777" w:rsidR="0093695E" w:rsidRDefault="0093695E" w:rsidP="0093695E">
      <w:pPr>
        <w:numPr>
          <w:ilvl w:val="0"/>
          <w:numId w:val="27"/>
        </w:numPr>
        <w:spacing w:line="360" w:lineRule="auto"/>
        <w:rPr>
          <w:rFonts w:ascii="Arial" w:hAnsi="Arial" w:cs="Arial"/>
        </w:rPr>
      </w:pPr>
      <w:r w:rsidRPr="00407A95">
        <w:rPr>
          <w:rFonts w:ascii="Arial" w:hAnsi="Arial" w:cs="Arial"/>
        </w:rPr>
        <w:lastRenderedPageBreak/>
        <w:t xml:space="preserve">Recognise that inaccessible mainstream systems increase, rather than reduce, reliance on disability supports for people who are blind or vision impaired. </w:t>
      </w:r>
    </w:p>
    <w:p w14:paraId="4740F862" w14:textId="0F97EDE3" w:rsidR="00876507" w:rsidRPr="00407A95" w:rsidRDefault="00876507" w:rsidP="001A0F2C">
      <w:pPr>
        <w:numPr>
          <w:ilvl w:val="0"/>
          <w:numId w:val="27"/>
        </w:numPr>
        <w:spacing w:line="360" w:lineRule="auto"/>
        <w:rPr>
          <w:rFonts w:ascii="Arial" w:hAnsi="Arial" w:cs="Arial"/>
        </w:rPr>
      </w:pPr>
      <w:r w:rsidRPr="00407A95">
        <w:rPr>
          <w:rFonts w:ascii="Arial" w:hAnsi="Arial" w:cs="Arial"/>
        </w:rPr>
        <w:t xml:space="preserve">Reject </w:t>
      </w:r>
      <w:r>
        <w:rPr>
          <w:rFonts w:ascii="Arial" w:hAnsi="Arial" w:cs="Arial"/>
        </w:rPr>
        <w:t xml:space="preserve">the assumption that </w:t>
      </w:r>
      <w:r w:rsidRPr="00407A95">
        <w:rPr>
          <w:rFonts w:ascii="Arial" w:hAnsi="Arial" w:cs="Arial"/>
        </w:rPr>
        <w:t xml:space="preserve">families, carers or informal supports can substitute for funded disability supports for people who are blind or vision impaired. </w:t>
      </w:r>
    </w:p>
    <w:p w14:paraId="2285A1D1" w14:textId="77777777" w:rsidR="00876507" w:rsidRPr="00407A95" w:rsidRDefault="00876507" w:rsidP="001A0F2C">
      <w:pPr>
        <w:numPr>
          <w:ilvl w:val="0"/>
          <w:numId w:val="27"/>
        </w:numPr>
        <w:spacing w:line="360" w:lineRule="auto"/>
        <w:rPr>
          <w:rFonts w:ascii="Arial" w:hAnsi="Arial" w:cs="Arial"/>
        </w:rPr>
      </w:pPr>
      <w:r w:rsidRPr="00407A95">
        <w:rPr>
          <w:rFonts w:ascii="Arial" w:hAnsi="Arial" w:cs="Arial"/>
        </w:rPr>
        <w:t xml:space="preserve">Ensure the NDIS does not shift unreasonable caring responsibilities onto families due to funding caps or restrictive planning practices. </w:t>
      </w:r>
    </w:p>
    <w:p w14:paraId="2165D9FF" w14:textId="14FDDBA3" w:rsidR="00AA7DB5" w:rsidRPr="00E06238" w:rsidRDefault="00AA7DB5" w:rsidP="00AA7DB5">
      <w:pPr>
        <w:spacing w:line="360" w:lineRule="auto"/>
        <w:rPr>
          <w:rFonts w:ascii="Arial" w:hAnsi="Arial" w:cs="Arial"/>
          <w:b/>
          <w:bCs/>
        </w:rPr>
      </w:pPr>
      <w:r w:rsidRPr="00E06238">
        <w:rPr>
          <w:rFonts w:ascii="Arial" w:hAnsi="Arial" w:cs="Arial"/>
          <w:b/>
          <w:bCs/>
        </w:rPr>
        <w:t>Rationale</w:t>
      </w:r>
    </w:p>
    <w:p w14:paraId="5B68E061" w14:textId="22B69455" w:rsidR="00AA7DB5" w:rsidRPr="00E06238" w:rsidRDefault="00AA7DB5" w:rsidP="00AA7DB5">
      <w:pPr>
        <w:pStyle w:val="ListParagraph"/>
        <w:numPr>
          <w:ilvl w:val="0"/>
          <w:numId w:val="11"/>
        </w:numPr>
        <w:spacing w:line="360" w:lineRule="auto"/>
        <w:rPr>
          <w:rFonts w:ascii="Arial" w:hAnsi="Arial" w:cs="Arial"/>
        </w:rPr>
      </w:pPr>
      <w:r w:rsidRPr="00E06238">
        <w:rPr>
          <w:rFonts w:ascii="Arial" w:hAnsi="Arial" w:cs="Arial"/>
        </w:rPr>
        <w:t xml:space="preserve">Without strong foundational supports, tighter eligibility settings and plan reductions </w:t>
      </w:r>
      <w:r w:rsidR="00DC7E86">
        <w:rPr>
          <w:rFonts w:ascii="Arial" w:hAnsi="Arial" w:cs="Arial"/>
        </w:rPr>
        <w:t>could</w:t>
      </w:r>
      <w:r w:rsidRPr="00E06238">
        <w:rPr>
          <w:rFonts w:ascii="Arial" w:hAnsi="Arial" w:cs="Arial"/>
        </w:rPr>
        <w:t xml:space="preserve"> leave blind and vision impaired people without access to essential assistive technology, orientation and mobility training, daily living supports</w:t>
      </w:r>
      <w:r w:rsidR="007416AD">
        <w:rPr>
          <w:rFonts w:ascii="Arial" w:hAnsi="Arial" w:cs="Arial"/>
        </w:rPr>
        <w:t>,</w:t>
      </w:r>
      <w:r w:rsidRPr="00E06238">
        <w:rPr>
          <w:rFonts w:ascii="Arial" w:hAnsi="Arial" w:cs="Arial"/>
        </w:rPr>
        <w:t xml:space="preserve"> obtain accessible information</w:t>
      </w:r>
      <w:r w:rsidR="007416AD">
        <w:rPr>
          <w:rFonts w:ascii="Arial" w:hAnsi="Arial" w:cs="Arial"/>
        </w:rPr>
        <w:t xml:space="preserve"> and </w:t>
      </w:r>
      <w:r w:rsidR="00AC52EC">
        <w:rPr>
          <w:rFonts w:ascii="Arial" w:hAnsi="Arial" w:cs="Arial"/>
        </w:rPr>
        <w:t>maintain</w:t>
      </w:r>
      <w:r w:rsidR="007416AD">
        <w:rPr>
          <w:rFonts w:ascii="Arial" w:hAnsi="Arial" w:cs="Arial"/>
        </w:rPr>
        <w:t xml:space="preserve"> health and safety</w:t>
      </w:r>
      <w:r w:rsidRPr="00E06238">
        <w:rPr>
          <w:rFonts w:ascii="Arial" w:hAnsi="Arial" w:cs="Arial"/>
        </w:rPr>
        <w:t>.</w:t>
      </w:r>
    </w:p>
    <w:p w14:paraId="682A66B7" w14:textId="77777777" w:rsidR="00306EDC" w:rsidRDefault="00AA7DB5" w:rsidP="00AA7DB5">
      <w:pPr>
        <w:pStyle w:val="ListParagraph"/>
        <w:numPr>
          <w:ilvl w:val="0"/>
          <w:numId w:val="11"/>
        </w:numPr>
        <w:spacing w:line="360" w:lineRule="auto"/>
        <w:rPr>
          <w:rFonts w:ascii="Arial" w:hAnsi="Arial" w:cs="Arial"/>
        </w:rPr>
      </w:pPr>
      <w:r w:rsidRPr="00E06238">
        <w:rPr>
          <w:rFonts w:ascii="Arial" w:hAnsi="Arial" w:cs="Arial"/>
        </w:rPr>
        <w:t xml:space="preserve">Efforts to reduce NDIS costs must acknowledge that these costs do not disappear when removed from the </w:t>
      </w:r>
      <w:r w:rsidR="00306EDC">
        <w:rPr>
          <w:rFonts w:ascii="Arial" w:hAnsi="Arial" w:cs="Arial"/>
        </w:rPr>
        <w:t>NDIS</w:t>
      </w:r>
      <w:r w:rsidRPr="00E06238">
        <w:rPr>
          <w:rFonts w:ascii="Arial" w:hAnsi="Arial" w:cs="Arial"/>
        </w:rPr>
        <w:t xml:space="preserve"> - they simply shift elsewhere. </w:t>
      </w:r>
    </w:p>
    <w:p w14:paraId="6174D3C9" w14:textId="35325D19" w:rsidR="00AA7DB5" w:rsidRPr="00E06238" w:rsidRDefault="00AA7DB5" w:rsidP="00AA7DB5">
      <w:pPr>
        <w:pStyle w:val="ListParagraph"/>
        <w:numPr>
          <w:ilvl w:val="0"/>
          <w:numId w:val="11"/>
        </w:numPr>
        <w:spacing w:line="360" w:lineRule="auto"/>
        <w:rPr>
          <w:rFonts w:ascii="Arial" w:hAnsi="Arial" w:cs="Arial"/>
        </w:rPr>
      </w:pPr>
      <w:r w:rsidRPr="00E06238">
        <w:rPr>
          <w:rFonts w:ascii="Arial" w:hAnsi="Arial" w:cs="Arial"/>
        </w:rPr>
        <w:t xml:space="preserve">In the absence of adequate supports, the burden falls on other service systems, or more commonly, on the participant and their informal networks. </w:t>
      </w:r>
    </w:p>
    <w:p w14:paraId="76DC261B" w14:textId="77777777" w:rsidR="00D36D55" w:rsidRDefault="00AA7DB5" w:rsidP="00AA7DB5">
      <w:pPr>
        <w:pStyle w:val="ListParagraph"/>
        <w:numPr>
          <w:ilvl w:val="0"/>
          <w:numId w:val="11"/>
        </w:numPr>
        <w:spacing w:line="360" w:lineRule="auto"/>
        <w:rPr>
          <w:rFonts w:ascii="Arial" w:hAnsi="Arial" w:cs="Arial"/>
        </w:rPr>
      </w:pPr>
      <w:r w:rsidRPr="00E06238">
        <w:rPr>
          <w:rFonts w:ascii="Arial" w:hAnsi="Arial" w:cs="Arial"/>
        </w:rPr>
        <w:t>The existence of natural supports cannot be assumed, nor should reliance on them be treated as an obligation. Over</w:t>
      </w:r>
      <w:r w:rsidRPr="00E06238">
        <w:rPr>
          <w:rFonts w:ascii="Arial" w:hAnsi="Arial" w:cs="Arial"/>
        </w:rPr>
        <w:noBreakHyphen/>
        <w:t xml:space="preserve">reliance risks reinforcing power imbalances, straining relationships, and ultimately diminishing a participant’s wellbeing. </w:t>
      </w:r>
    </w:p>
    <w:p w14:paraId="59EDAB19" w14:textId="60D2A6AB" w:rsidR="00AA7DB5" w:rsidRDefault="00AA7DB5" w:rsidP="00AA7DB5">
      <w:pPr>
        <w:pStyle w:val="ListParagraph"/>
        <w:numPr>
          <w:ilvl w:val="0"/>
          <w:numId w:val="11"/>
        </w:numPr>
        <w:spacing w:line="360" w:lineRule="auto"/>
        <w:rPr>
          <w:rFonts w:ascii="Arial" w:hAnsi="Arial" w:cs="Arial"/>
        </w:rPr>
      </w:pPr>
      <w:r w:rsidRPr="00E06238">
        <w:rPr>
          <w:rFonts w:ascii="Arial" w:hAnsi="Arial" w:cs="Arial"/>
        </w:rPr>
        <w:t>When supports are withdrawn or restricted, the cost to the participant can manifest as increased stress, reduced independence, and poorer mental health, placing further pressure on already stretched health systems.</w:t>
      </w:r>
    </w:p>
    <w:p w14:paraId="16CBAECF" w14:textId="5601E8CC" w:rsidR="008F5529" w:rsidRDefault="008F5529" w:rsidP="00AC1172">
      <w:pPr>
        <w:pStyle w:val="Heading2"/>
      </w:pPr>
      <w:bookmarkStart w:id="34" w:name="_Toc231209370"/>
      <w:r w:rsidRPr="008B2D16">
        <w:lastRenderedPageBreak/>
        <w:t>Schedule 2 – Fraud measures</w:t>
      </w:r>
      <w:bookmarkEnd w:id="34"/>
      <w:r w:rsidR="00A40FF1">
        <w:t xml:space="preserve"> </w:t>
      </w:r>
    </w:p>
    <w:p w14:paraId="1405E065" w14:textId="76F32E19" w:rsidR="0015795E" w:rsidRPr="00D36D55" w:rsidRDefault="0015795E" w:rsidP="00D36D55">
      <w:pPr>
        <w:pStyle w:val="Heading2"/>
      </w:pPr>
      <w:bookmarkStart w:id="35" w:name="_Toc231209371"/>
      <w:r w:rsidRPr="00D36D55">
        <w:t xml:space="preserve">Part 1 - Registration of NDIS providers &amp; </w:t>
      </w:r>
      <w:r w:rsidR="000922B9" w:rsidRPr="00D36D55">
        <w:t>Part 2 - Civil penalties and regulatory powers</w:t>
      </w:r>
      <w:bookmarkEnd w:id="35"/>
    </w:p>
    <w:p w14:paraId="0E109C27" w14:textId="5A5094AF" w:rsidR="008F5529" w:rsidRPr="0011274E" w:rsidRDefault="008F5529" w:rsidP="0011274E">
      <w:pPr>
        <w:pStyle w:val="Heading3"/>
      </w:pPr>
      <w:bookmarkStart w:id="36" w:name="_Toc231209372"/>
      <w:r w:rsidRPr="0011274E">
        <w:t>Recommendation</w:t>
      </w:r>
      <w:r w:rsidR="00A7008F">
        <w:t xml:space="preserve"> 1</w:t>
      </w:r>
      <w:r w:rsidR="0066014E">
        <w:t>1</w:t>
      </w:r>
      <w:r w:rsidR="008B705E" w:rsidRPr="0011274E">
        <w:t>: Implement a proportionate, risk-based provider regulation framework that preserves participant choice and workforce sustainability for blindness-specific supports</w:t>
      </w:r>
      <w:bookmarkEnd w:id="36"/>
    </w:p>
    <w:p w14:paraId="3F7CF6D4" w14:textId="77777777" w:rsidR="008B705E" w:rsidRPr="000A0524" w:rsidRDefault="008B705E" w:rsidP="00D94A0F">
      <w:pPr>
        <w:spacing w:line="360" w:lineRule="auto"/>
        <w:rPr>
          <w:rFonts w:ascii="Arial" w:hAnsi="Arial" w:cs="Arial"/>
        </w:rPr>
      </w:pPr>
      <w:r w:rsidRPr="000A0524">
        <w:rPr>
          <w:rFonts w:ascii="Arial" w:hAnsi="Arial" w:cs="Arial"/>
        </w:rPr>
        <w:t>Proposed expansion of provider regulation and penalty provisions risks creating significant unintended consequences for the specialist blindness service workforce.</w:t>
      </w:r>
    </w:p>
    <w:p w14:paraId="2E434428" w14:textId="281F9B86" w:rsidR="008F5529" w:rsidRPr="00E2766E" w:rsidRDefault="008F5529" w:rsidP="008F5529">
      <w:pPr>
        <w:pStyle w:val="ListParagraph"/>
        <w:numPr>
          <w:ilvl w:val="0"/>
          <w:numId w:val="14"/>
        </w:numPr>
        <w:spacing w:line="360" w:lineRule="auto"/>
        <w:rPr>
          <w:rFonts w:ascii="Arial" w:hAnsi="Arial" w:cs="Arial"/>
        </w:rPr>
      </w:pPr>
      <w:r w:rsidRPr="00E2766E">
        <w:rPr>
          <w:rFonts w:ascii="Arial" w:hAnsi="Arial" w:cs="Arial"/>
        </w:rPr>
        <w:t>Ensure any new provider registration preserve participant choice and control, particularly for blindness-specific supports delivered by small or specialised providers.</w:t>
      </w:r>
    </w:p>
    <w:p w14:paraId="659A9104" w14:textId="77777777" w:rsidR="008F5529" w:rsidRDefault="008F5529" w:rsidP="008F5529">
      <w:pPr>
        <w:pStyle w:val="ListParagraph"/>
        <w:numPr>
          <w:ilvl w:val="0"/>
          <w:numId w:val="14"/>
        </w:numPr>
        <w:spacing w:line="360" w:lineRule="auto"/>
        <w:rPr>
          <w:rFonts w:ascii="Arial" w:hAnsi="Arial" w:cs="Arial"/>
        </w:rPr>
      </w:pPr>
      <w:r w:rsidRPr="00E2766E">
        <w:rPr>
          <w:rFonts w:ascii="Arial" w:hAnsi="Arial" w:cs="Arial"/>
        </w:rPr>
        <w:t xml:space="preserve">Adopt a tiered, risk-proportionate registration framework that imposes higher regulatory obligations only where supports involve significant safeguarding risks. </w:t>
      </w:r>
    </w:p>
    <w:p w14:paraId="75BA222A" w14:textId="77777777" w:rsidR="008F5529" w:rsidRPr="00E2766E" w:rsidRDefault="008F5529" w:rsidP="008F5529">
      <w:pPr>
        <w:pStyle w:val="ListParagraph"/>
        <w:numPr>
          <w:ilvl w:val="0"/>
          <w:numId w:val="14"/>
        </w:numPr>
        <w:spacing w:line="360" w:lineRule="auto"/>
        <w:rPr>
          <w:rFonts w:ascii="Arial" w:hAnsi="Arial" w:cs="Arial"/>
        </w:rPr>
      </w:pPr>
      <w:r w:rsidRPr="00E2766E">
        <w:rPr>
          <w:rFonts w:ascii="Arial" w:hAnsi="Arial" w:cs="Arial"/>
        </w:rPr>
        <w:t>Streamline registration for sole practitioners and small providers (under $500,000 NDIS-derived turnover)</w:t>
      </w:r>
      <w:r>
        <w:rPr>
          <w:rFonts w:ascii="Arial" w:hAnsi="Arial" w:cs="Arial"/>
        </w:rPr>
        <w:t xml:space="preserve">. </w:t>
      </w:r>
    </w:p>
    <w:p w14:paraId="00BD8BB0" w14:textId="77777777" w:rsidR="008F5529" w:rsidRPr="00E2766E" w:rsidRDefault="008F5529" w:rsidP="008F5529">
      <w:pPr>
        <w:pStyle w:val="ListParagraph"/>
        <w:numPr>
          <w:ilvl w:val="0"/>
          <w:numId w:val="14"/>
        </w:numPr>
        <w:spacing w:line="360" w:lineRule="auto"/>
        <w:rPr>
          <w:rFonts w:ascii="Arial" w:hAnsi="Arial" w:cs="Arial"/>
        </w:rPr>
      </w:pPr>
      <w:r w:rsidRPr="00E2766E">
        <w:rPr>
          <w:rFonts w:ascii="Arial" w:hAnsi="Arial" w:cs="Arial"/>
        </w:rPr>
        <w:t>Recognise that many participants safely and effectively use unregistered providers and preserve participants’ ability to choose providers outside the registration system where appropriate safeguards exist.</w:t>
      </w:r>
    </w:p>
    <w:p w14:paraId="02A49E1B" w14:textId="77777777" w:rsidR="008F5529" w:rsidRPr="00E2766E" w:rsidRDefault="008F5529" w:rsidP="008F5529">
      <w:pPr>
        <w:pStyle w:val="ListParagraph"/>
        <w:numPr>
          <w:ilvl w:val="0"/>
          <w:numId w:val="14"/>
        </w:numPr>
        <w:spacing w:line="360" w:lineRule="auto"/>
        <w:rPr>
          <w:rFonts w:ascii="Arial" w:hAnsi="Arial" w:cs="Arial"/>
        </w:rPr>
      </w:pPr>
      <w:r w:rsidRPr="00E2766E">
        <w:rPr>
          <w:rFonts w:ascii="Arial" w:hAnsi="Arial" w:cs="Arial"/>
        </w:rPr>
        <w:t>Provide transitional funding, administrative support and streamlined compliance pathways for small, community-based and blindness-specialist providers to meet registration requirements.</w:t>
      </w:r>
    </w:p>
    <w:p w14:paraId="00522A03" w14:textId="77777777" w:rsidR="008F5529" w:rsidRDefault="008F5529" w:rsidP="008F5529">
      <w:pPr>
        <w:pStyle w:val="ListParagraph"/>
        <w:numPr>
          <w:ilvl w:val="0"/>
          <w:numId w:val="14"/>
        </w:numPr>
        <w:spacing w:line="360" w:lineRule="auto"/>
        <w:rPr>
          <w:rFonts w:ascii="Arial" w:hAnsi="Arial" w:cs="Arial"/>
        </w:rPr>
      </w:pPr>
      <w:r w:rsidRPr="00E2766E">
        <w:rPr>
          <w:rFonts w:ascii="Arial" w:hAnsi="Arial" w:cs="Arial"/>
        </w:rPr>
        <w:t>Require all registered providers to demonstrate compliance with recognised accessibility standards in communication, digital systems, information provision and participant engagement. Ensure provider quality includes accessibility, not only clinical or administrative compliance.</w:t>
      </w:r>
    </w:p>
    <w:p w14:paraId="6B22568A" w14:textId="77777777" w:rsidR="008F5529" w:rsidRPr="00E2766E" w:rsidRDefault="008F5529" w:rsidP="008F5529">
      <w:pPr>
        <w:pStyle w:val="ListParagraph"/>
        <w:numPr>
          <w:ilvl w:val="0"/>
          <w:numId w:val="14"/>
        </w:numPr>
        <w:spacing w:line="360" w:lineRule="auto"/>
        <w:rPr>
          <w:rFonts w:ascii="Arial" w:hAnsi="Arial" w:cs="Arial"/>
        </w:rPr>
      </w:pPr>
      <w:r w:rsidRPr="00E2766E">
        <w:rPr>
          <w:rFonts w:ascii="Arial" w:hAnsi="Arial" w:cs="Arial"/>
        </w:rPr>
        <w:t xml:space="preserve">Automatically recognise established </w:t>
      </w:r>
      <w:r>
        <w:rPr>
          <w:rFonts w:ascii="Arial" w:hAnsi="Arial" w:cs="Arial"/>
        </w:rPr>
        <w:t xml:space="preserve">vision </w:t>
      </w:r>
      <w:r w:rsidRPr="00E2766E">
        <w:rPr>
          <w:rFonts w:ascii="Arial" w:hAnsi="Arial" w:cs="Arial"/>
        </w:rPr>
        <w:t xml:space="preserve">specialist training pathways. For Assistive Technology, where no national credential exists, </w:t>
      </w:r>
      <w:r>
        <w:rPr>
          <w:rFonts w:ascii="Arial" w:hAnsi="Arial" w:cs="Arial"/>
        </w:rPr>
        <w:t xml:space="preserve">extend </w:t>
      </w:r>
      <w:r w:rsidRPr="00E2766E">
        <w:rPr>
          <w:rFonts w:ascii="Arial" w:hAnsi="Arial" w:cs="Arial"/>
        </w:rPr>
        <w:t xml:space="preserve">recognition to employer-delivered training by vision specialist organisations. </w:t>
      </w:r>
    </w:p>
    <w:p w14:paraId="1F5EEC75" w14:textId="64D5184A" w:rsidR="008F5529" w:rsidRPr="00E2766E" w:rsidRDefault="008F5529" w:rsidP="008F5529">
      <w:pPr>
        <w:pStyle w:val="ListParagraph"/>
        <w:numPr>
          <w:ilvl w:val="0"/>
          <w:numId w:val="14"/>
        </w:numPr>
        <w:spacing w:line="360" w:lineRule="auto"/>
        <w:rPr>
          <w:rFonts w:ascii="Arial" w:hAnsi="Arial" w:cs="Arial"/>
        </w:rPr>
      </w:pPr>
      <w:r w:rsidRPr="00E2766E">
        <w:rPr>
          <w:rFonts w:ascii="Arial" w:hAnsi="Arial" w:cs="Arial"/>
        </w:rPr>
        <w:t xml:space="preserve">Publish </w:t>
      </w:r>
      <w:r w:rsidR="00907B97">
        <w:rPr>
          <w:rFonts w:ascii="Arial" w:hAnsi="Arial" w:cs="Arial"/>
        </w:rPr>
        <w:t xml:space="preserve">a </w:t>
      </w:r>
      <w:r w:rsidRPr="00E2766E">
        <w:rPr>
          <w:rFonts w:ascii="Arial" w:hAnsi="Arial" w:cs="Arial"/>
        </w:rPr>
        <w:t>workforce sustainability impact statement before each mandatory registration phase, addressing low-incidence cohorts</w:t>
      </w:r>
      <w:r>
        <w:rPr>
          <w:rFonts w:ascii="Arial" w:hAnsi="Arial" w:cs="Arial"/>
        </w:rPr>
        <w:t xml:space="preserve"> including people who are blind or vision impaired.</w:t>
      </w:r>
    </w:p>
    <w:p w14:paraId="17A21428" w14:textId="77777777" w:rsidR="008F5529" w:rsidRPr="00E2766E" w:rsidRDefault="008F5529" w:rsidP="008F5529">
      <w:pPr>
        <w:pStyle w:val="ListParagraph"/>
        <w:numPr>
          <w:ilvl w:val="0"/>
          <w:numId w:val="14"/>
        </w:numPr>
        <w:spacing w:line="360" w:lineRule="auto"/>
        <w:rPr>
          <w:rFonts w:ascii="Arial" w:hAnsi="Arial" w:cs="Arial"/>
        </w:rPr>
      </w:pPr>
      <w:r w:rsidRPr="00E2766E">
        <w:rPr>
          <w:rFonts w:ascii="Arial" w:hAnsi="Arial" w:cs="Arial"/>
        </w:rPr>
        <w:lastRenderedPageBreak/>
        <w:t xml:space="preserve">Establish an accessible compliance-dispute pathway modelled on the Fair Work Commission unfair dismissal jurisdiction (Fair Work Act s 596). </w:t>
      </w:r>
    </w:p>
    <w:p w14:paraId="3FEBF93B" w14:textId="77777777" w:rsidR="008F5529" w:rsidRPr="00E2766E" w:rsidRDefault="008F5529" w:rsidP="008F5529">
      <w:pPr>
        <w:pStyle w:val="ListParagraph"/>
        <w:numPr>
          <w:ilvl w:val="0"/>
          <w:numId w:val="14"/>
        </w:numPr>
        <w:spacing w:line="360" w:lineRule="auto"/>
        <w:rPr>
          <w:rFonts w:ascii="Arial" w:hAnsi="Arial" w:cs="Arial"/>
        </w:rPr>
      </w:pPr>
      <w:r>
        <w:rPr>
          <w:rFonts w:ascii="Arial" w:hAnsi="Arial" w:cs="Arial"/>
        </w:rPr>
        <w:t>Adopt g</w:t>
      </w:r>
      <w:r w:rsidRPr="00E2766E">
        <w:rPr>
          <w:rFonts w:ascii="Arial" w:hAnsi="Arial" w:cs="Arial"/>
        </w:rPr>
        <w:t>raduated penalties for registration or compliance errors, with a focus first on remediation and education prior to enforcement action.</w:t>
      </w:r>
    </w:p>
    <w:p w14:paraId="5AC516D6" w14:textId="77777777" w:rsidR="008F5529" w:rsidRPr="00E06238" w:rsidRDefault="008F5529" w:rsidP="008F5529">
      <w:pPr>
        <w:spacing w:line="360" w:lineRule="auto"/>
        <w:rPr>
          <w:rFonts w:ascii="Arial" w:hAnsi="Arial" w:cs="Arial"/>
          <w:b/>
          <w:bCs/>
        </w:rPr>
      </w:pPr>
      <w:r w:rsidRPr="00E06238">
        <w:rPr>
          <w:rFonts w:ascii="Arial" w:hAnsi="Arial" w:cs="Arial"/>
          <w:b/>
          <w:bCs/>
        </w:rPr>
        <w:t>Rationale</w:t>
      </w:r>
    </w:p>
    <w:p w14:paraId="446C7166" w14:textId="77777777" w:rsidR="00AD35E1" w:rsidRDefault="00AD35E1" w:rsidP="00AD35E1">
      <w:pPr>
        <w:pStyle w:val="NormalWeb"/>
        <w:numPr>
          <w:ilvl w:val="0"/>
          <w:numId w:val="14"/>
        </w:numPr>
        <w:spacing w:line="360" w:lineRule="auto"/>
        <w:rPr>
          <w:rFonts w:ascii="Arial" w:hAnsi="Arial" w:cs="Arial"/>
        </w:rPr>
      </w:pPr>
      <w:r w:rsidRPr="007A7F35">
        <w:rPr>
          <w:rFonts w:ascii="Arial" w:hAnsi="Arial" w:cs="Arial"/>
        </w:rPr>
        <w:t>Provider registration status alone is not a complete indicator of quality.</w:t>
      </w:r>
    </w:p>
    <w:p w14:paraId="5609F7BE" w14:textId="66115E3B" w:rsidR="008F5529" w:rsidRPr="007A7F35" w:rsidRDefault="008F5529" w:rsidP="008F5529">
      <w:pPr>
        <w:pStyle w:val="NormalWeb"/>
        <w:numPr>
          <w:ilvl w:val="0"/>
          <w:numId w:val="14"/>
        </w:numPr>
        <w:spacing w:line="360" w:lineRule="auto"/>
        <w:rPr>
          <w:rFonts w:ascii="Arial" w:hAnsi="Arial" w:cs="Arial"/>
        </w:rPr>
      </w:pPr>
      <w:r w:rsidRPr="007A7F35">
        <w:rPr>
          <w:rFonts w:ascii="Arial" w:hAnsi="Arial" w:cs="Arial"/>
        </w:rPr>
        <w:t xml:space="preserve">The Bill expands provider regulation following the National Disability Insurance Scheme Amendment (Integrity and Safeguarding) Act 2026, including civil penalties of up to $3.3 million for “serious contraventions” of provider obligations. While safeguards and oversight are important, the scale of penalties and compliance obligations may disproportionately impact sole practitioners and small specialist providers. </w:t>
      </w:r>
    </w:p>
    <w:p w14:paraId="5772125B" w14:textId="77777777" w:rsidR="008F5529" w:rsidRDefault="008F5529" w:rsidP="008F5529">
      <w:pPr>
        <w:pStyle w:val="NormalWeb"/>
        <w:numPr>
          <w:ilvl w:val="0"/>
          <w:numId w:val="14"/>
        </w:numPr>
        <w:spacing w:line="360" w:lineRule="auto"/>
        <w:rPr>
          <w:rFonts w:ascii="Arial" w:hAnsi="Arial" w:cs="Arial"/>
        </w:rPr>
      </w:pPr>
      <w:r w:rsidRPr="007A7F35">
        <w:rPr>
          <w:rFonts w:ascii="Arial" w:hAnsi="Arial" w:cs="Arial"/>
        </w:rPr>
        <w:t xml:space="preserve">The blindness-specific workforce is small, highly specialised and geographically dispersed, with many </w:t>
      </w:r>
      <w:r>
        <w:rPr>
          <w:rFonts w:ascii="Arial" w:hAnsi="Arial" w:cs="Arial"/>
        </w:rPr>
        <w:t>o</w:t>
      </w:r>
      <w:r w:rsidRPr="007A7F35">
        <w:rPr>
          <w:rFonts w:ascii="Arial" w:hAnsi="Arial" w:cs="Arial"/>
        </w:rPr>
        <w:t xml:space="preserve">rientation and </w:t>
      </w:r>
      <w:r>
        <w:rPr>
          <w:rFonts w:ascii="Arial" w:hAnsi="Arial" w:cs="Arial"/>
        </w:rPr>
        <w:t>m</w:t>
      </w:r>
      <w:r w:rsidRPr="007A7F35">
        <w:rPr>
          <w:rFonts w:ascii="Arial" w:hAnsi="Arial" w:cs="Arial"/>
        </w:rPr>
        <w:t xml:space="preserve">obility, </w:t>
      </w:r>
      <w:r>
        <w:rPr>
          <w:rFonts w:ascii="Arial" w:hAnsi="Arial" w:cs="Arial"/>
        </w:rPr>
        <w:t>a</w:t>
      </w:r>
      <w:r w:rsidRPr="007A7F35">
        <w:rPr>
          <w:rFonts w:ascii="Arial" w:hAnsi="Arial" w:cs="Arial"/>
        </w:rPr>
        <w:t xml:space="preserve">ssistive </w:t>
      </w:r>
      <w:r>
        <w:rPr>
          <w:rFonts w:ascii="Arial" w:hAnsi="Arial" w:cs="Arial"/>
        </w:rPr>
        <w:t>t</w:t>
      </w:r>
      <w:r w:rsidRPr="007A7F35">
        <w:rPr>
          <w:rFonts w:ascii="Arial" w:hAnsi="Arial" w:cs="Arial"/>
        </w:rPr>
        <w:t xml:space="preserve">echnology, </w:t>
      </w:r>
      <w:r>
        <w:rPr>
          <w:rFonts w:ascii="Arial" w:hAnsi="Arial" w:cs="Arial"/>
        </w:rPr>
        <w:t>b</w:t>
      </w:r>
      <w:r w:rsidRPr="007A7F35">
        <w:rPr>
          <w:rFonts w:ascii="Arial" w:hAnsi="Arial" w:cs="Arial"/>
        </w:rPr>
        <w:t xml:space="preserve">raille and peer support services delivered by sole traders or small organisations, particularly in regional, rural and remote areas. </w:t>
      </w:r>
    </w:p>
    <w:p w14:paraId="4E372132" w14:textId="3E240E00" w:rsidR="008F5529" w:rsidRPr="007A7F35" w:rsidRDefault="008F5529" w:rsidP="008F5529">
      <w:pPr>
        <w:pStyle w:val="NormalWeb"/>
        <w:numPr>
          <w:ilvl w:val="0"/>
          <w:numId w:val="14"/>
        </w:numPr>
        <w:spacing w:line="360" w:lineRule="auto"/>
        <w:rPr>
          <w:rFonts w:ascii="Arial" w:hAnsi="Arial" w:cs="Arial"/>
        </w:rPr>
      </w:pPr>
      <w:r w:rsidRPr="007A7F35">
        <w:rPr>
          <w:rFonts w:ascii="Arial" w:hAnsi="Arial" w:cs="Arial"/>
        </w:rPr>
        <w:t xml:space="preserve">Increased registration, auditing and reporting requirements may discourage providers from remaining in the NDIS market, further reducing already </w:t>
      </w:r>
      <w:r w:rsidR="0018224E" w:rsidRPr="007A7F35">
        <w:rPr>
          <w:rFonts w:ascii="Arial" w:hAnsi="Arial" w:cs="Arial"/>
        </w:rPr>
        <w:t>limited-service</w:t>
      </w:r>
      <w:r w:rsidRPr="007A7F35">
        <w:rPr>
          <w:rFonts w:ascii="Arial" w:hAnsi="Arial" w:cs="Arial"/>
        </w:rPr>
        <w:t xml:space="preserve"> availability. </w:t>
      </w:r>
    </w:p>
    <w:p w14:paraId="340169D6" w14:textId="77777777" w:rsidR="008F5529" w:rsidRPr="007A7F35" w:rsidRDefault="008F5529" w:rsidP="008F5529">
      <w:pPr>
        <w:pStyle w:val="NormalWeb"/>
        <w:numPr>
          <w:ilvl w:val="0"/>
          <w:numId w:val="14"/>
        </w:numPr>
        <w:spacing w:line="360" w:lineRule="auto"/>
        <w:rPr>
          <w:rFonts w:ascii="Arial" w:hAnsi="Arial" w:cs="Arial"/>
        </w:rPr>
      </w:pPr>
      <w:r w:rsidRPr="007A7F35">
        <w:rPr>
          <w:rFonts w:ascii="Arial" w:hAnsi="Arial" w:cs="Arial"/>
        </w:rPr>
        <w:t xml:space="preserve">There is also uncertainty about how “serious contravention” provisions will apply in practice, particularly for providers without dedicated compliance resources. The cumulative burden of registration, audits, reporting, key personnel checks and ongoing regulatory oversight may create significant financial and operational risk for small providers operating in thin markets. </w:t>
      </w:r>
    </w:p>
    <w:p w14:paraId="57D80543" w14:textId="77777777" w:rsidR="008F5529" w:rsidRPr="007A7F35" w:rsidRDefault="008F5529" w:rsidP="008F5529">
      <w:pPr>
        <w:pStyle w:val="NormalWeb"/>
        <w:numPr>
          <w:ilvl w:val="0"/>
          <w:numId w:val="14"/>
        </w:numPr>
        <w:spacing w:line="360" w:lineRule="auto"/>
        <w:rPr>
          <w:rFonts w:ascii="Arial" w:hAnsi="Arial" w:cs="Arial"/>
        </w:rPr>
      </w:pPr>
      <w:r w:rsidRPr="007A7F35">
        <w:rPr>
          <w:rFonts w:ascii="Arial" w:hAnsi="Arial" w:cs="Arial"/>
        </w:rPr>
        <w:t xml:space="preserve">Blindness-specific supports are fundamentally different from high-risk personal care or restrictive practice environments and should be regulated proportionately to their level of risk. </w:t>
      </w:r>
    </w:p>
    <w:p w14:paraId="154EC4FE" w14:textId="77777777" w:rsidR="008F5529" w:rsidRPr="007A7F35" w:rsidRDefault="008F5529" w:rsidP="008F5529">
      <w:pPr>
        <w:pStyle w:val="NormalWeb"/>
        <w:numPr>
          <w:ilvl w:val="0"/>
          <w:numId w:val="14"/>
        </w:numPr>
        <w:spacing w:line="360" w:lineRule="auto"/>
        <w:rPr>
          <w:rFonts w:ascii="Arial" w:hAnsi="Arial" w:cs="Arial"/>
        </w:rPr>
      </w:pPr>
      <w:r w:rsidRPr="007A7F35">
        <w:rPr>
          <w:rFonts w:ascii="Arial" w:hAnsi="Arial" w:cs="Arial"/>
        </w:rPr>
        <w:t xml:space="preserve">Participants who are blind or vision impaired often rely on long-standing relationships with specialist providers who offer continuity, flexibility, cultural safety and highly specialised expertise. If providers exit the sector due to compliance costs or regulatory uncertainty, participants may lose access to essential supports and experience reduced choice and continuity of care. </w:t>
      </w:r>
    </w:p>
    <w:p w14:paraId="09E7FC19" w14:textId="77777777" w:rsidR="008F5529" w:rsidRDefault="008F5529" w:rsidP="008F5529">
      <w:pPr>
        <w:pStyle w:val="NormalWeb"/>
        <w:numPr>
          <w:ilvl w:val="0"/>
          <w:numId w:val="14"/>
        </w:numPr>
        <w:spacing w:line="360" w:lineRule="auto"/>
        <w:rPr>
          <w:rFonts w:ascii="Arial" w:hAnsi="Arial" w:cs="Arial"/>
        </w:rPr>
      </w:pPr>
      <w:r w:rsidRPr="007A7F35">
        <w:rPr>
          <w:rFonts w:ascii="Arial" w:hAnsi="Arial" w:cs="Arial"/>
        </w:rPr>
        <w:lastRenderedPageBreak/>
        <w:t>Provider regulation reforms should be accompanied by proportionate compliance pathways for low-risk specialist providers, alongside stronger accessible complaints mechanisms, participant education, independent advocacy and proactive monitoring of accessibility compliance across the NDIS system.</w:t>
      </w:r>
    </w:p>
    <w:p w14:paraId="2CD2C81C" w14:textId="32A71E53" w:rsidR="006C63EF" w:rsidRDefault="006C63EF" w:rsidP="0014352D">
      <w:pPr>
        <w:pStyle w:val="Heading2"/>
      </w:pPr>
      <w:bookmarkStart w:id="37" w:name="_Toc231209373"/>
      <w:r w:rsidRPr="006C63EF">
        <w:t>Schedule 3 – Governance arrangements</w:t>
      </w:r>
      <w:bookmarkEnd w:id="37"/>
    </w:p>
    <w:p w14:paraId="0753DDD5" w14:textId="1ADC0A53" w:rsidR="00F92900" w:rsidRPr="00D053BC" w:rsidRDefault="00051F4E" w:rsidP="00D053BC">
      <w:pPr>
        <w:pStyle w:val="Heading3"/>
      </w:pPr>
      <w:bookmarkStart w:id="38" w:name="_Toc231209374"/>
      <w:r w:rsidRPr="00D053BC">
        <w:t>Recommendation</w:t>
      </w:r>
      <w:r w:rsidR="00A7008F">
        <w:t xml:space="preserve"> 1</w:t>
      </w:r>
      <w:r w:rsidR="0066014E">
        <w:t>2</w:t>
      </w:r>
      <w:r w:rsidRPr="00D053BC">
        <w:t xml:space="preserve">: </w:t>
      </w:r>
      <w:r w:rsidR="00A87B7E" w:rsidRPr="00D053BC">
        <w:t>Preserv</w:t>
      </w:r>
      <w:r w:rsidRPr="00D053BC">
        <w:t>e</w:t>
      </w:r>
      <w:r w:rsidR="00A87B7E" w:rsidRPr="00D053BC">
        <w:t xml:space="preserve"> t</w:t>
      </w:r>
      <w:r w:rsidR="005D779D" w:rsidRPr="00D053BC">
        <w:t>ransparency, review rights and accountability</w:t>
      </w:r>
      <w:r w:rsidR="001B788C" w:rsidRPr="00D053BC">
        <w:t xml:space="preserve"> by mandating publication of how participant budgets are calculated, providing funding decisions and draft plans in accessible formats prior to approval, and publicly reporting disability-specific data on eligibility decisions, reassessments, support reductions and appeals involving people who are blind or vision impaired.</w:t>
      </w:r>
      <w:bookmarkEnd w:id="38"/>
    </w:p>
    <w:p w14:paraId="70503A0F" w14:textId="7141C910" w:rsidR="00A87B7E" w:rsidRPr="00E06238" w:rsidRDefault="00F02073" w:rsidP="002F3107">
      <w:pPr>
        <w:pStyle w:val="ListParagraph"/>
        <w:numPr>
          <w:ilvl w:val="0"/>
          <w:numId w:val="13"/>
        </w:numPr>
        <w:spacing w:line="360" w:lineRule="auto"/>
        <w:rPr>
          <w:rFonts w:ascii="Arial" w:hAnsi="Arial" w:cs="Arial"/>
        </w:rPr>
      </w:pPr>
      <w:r w:rsidRPr="00E06238">
        <w:rPr>
          <w:rFonts w:ascii="Arial" w:hAnsi="Arial" w:cs="Arial"/>
        </w:rPr>
        <w:t>Require m</w:t>
      </w:r>
      <w:r w:rsidR="00A87B7E" w:rsidRPr="00E06238">
        <w:rPr>
          <w:rFonts w:ascii="Arial" w:hAnsi="Arial" w:cs="Arial"/>
        </w:rPr>
        <w:t xml:space="preserve">andatory publication of how </w:t>
      </w:r>
      <w:r w:rsidRPr="00E06238">
        <w:rPr>
          <w:rFonts w:ascii="Arial" w:hAnsi="Arial" w:cs="Arial"/>
        </w:rPr>
        <w:t xml:space="preserve">participant </w:t>
      </w:r>
      <w:r w:rsidR="00A87B7E" w:rsidRPr="00E06238">
        <w:rPr>
          <w:rFonts w:ascii="Arial" w:hAnsi="Arial" w:cs="Arial"/>
        </w:rPr>
        <w:t>budgets are calculated</w:t>
      </w:r>
      <w:r w:rsidR="00C25F2C">
        <w:rPr>
          <w:rFonts w:ascii="Arial" w:hAnsi="Arial" w:cs="Arial"/>
        </w:rPr>
        <w:t>.</w:t>
      </w:r>
      <w:r w:rsidR="00A87B7E" w:rsidRPr="00E06238">
        <w:rPr>
          <w:rFonts w:ascii="Arial" w:hAnsi="Arial" w:cs="Arial"/>
        </w:rPr>
        <w:t xml:space="preserve"> </w:t>
      </w:r>
    </w:p>
    <w:p w14:paraId="50D035A1" w14:textId="03CB6B18" w:rsidR="00A87B7E" w:rsidRPr="00E06238" w:rsidRDefault="00F02073" w:rsidP="002F3107">
      <w:pPr>
        <w:pStyle w:val="ListParagraph"/>
        <w:numPr>
          <w:ilvl w:val="0"/>
          <w:numId w:val="13"/>
        </w:numPr>
        <w:spacing w:line="360" w:lineRule="auto"/>
        <w:rPr>
          <w:rFonts w:ascii="Arial" w:hAnsi="Arial" w:cs="Arial"/>
        </w:rPr>
      </w:pPr>
      <w:r w:rsidRPr="00E06238">
        <w:rPr>
          <w:rFonts w:ascii="Arial" w:hAnsi="Arial" w:cs="Arial"/>
        </w:rPr>
        <w:t xml:space="preserve">Require </w:t>
      </w:r>
      <w:r w:rsidR="00A87B7E" w:rsidRPr="00E06238">
        <w:rPr>
          <w:rFonts w:ascii="Arial" w:hAnsi="Arial" w:cs="Arial"/>
        </w:rPr>
        <w:t>explanations for funding decisions</w:t>
      </w:r>
      <w:r w:rsidRPr="00E06238">
        <w:rPr>
          <w:rFonts w:ascii="Arial" w:hAnsi="Arial" w:cs="Arial"/>
        </w:rPr>
        <w:t xml:space="preserve"> in accessible formats</w:t>
      </w:r>
      <w:r w:rsidR="00C25F2C">
        <w:rPr>
          <w:rFonts w:ascii="Arial" w:hAnsi="Arial" w:cs="Arial"/>
        </w:rPr>
        <w:t>.</w:t>
      </w:r>
      <w:r w:rsidR="00A87B7E" w:rsidRPr="00E06238">
        <w:rPr>
          <w:rFonts w:ascii="Arial" w:hAnsi="Arial" w:cs="Arial"/>
        </w:rPr>
        <w:t xml:space="preserve"> </w:t>
      </w:r>
    </w:p>
    <w:p w14:paraId="5EA635C8" w14:textId="2DD829FF" w:rsidR="00A87B7E" w:rsidRPr="00E06238" w:rsidRDefault="00580712" w:rsidP="002F3107">
      <w:pPr>
        <w:pStyle w:val="ListParagraph"/>
        <w:numPr>
          <w:ilvl w:val="0"/>
          <w:numId w:val="13"/>
        </w:numPr>
        <w:spacing w:line="360" w:lineRule="auto"/>
        <w:rPr>
          <w:rFonts w:ascii="Arial" w:hAnsi="Arial" w:cs="Arial"/>
        </w:rPr>
      </w:pPr>
      <w:r w:rsidRPr="00E06238">
        <w:rPr>
          <w:rFonts w:ascii="Arial" w:hAnsi="Arial" w:cs="Arial"/>
        </w:rPr>
        <w:t>Require p</w:t>
      </w:r>
      <w:r w:rsidR="00A87B7E" w:rsidRPr="00E06238">
        <w:rPr>
          <w:rFonts w:ascii="Arial" w:hAnsi="Arial" w:cs="Arial"/>
        </w:rPr>
        <w:t>articipant access to draft plans</w:t>
      </w:r>
      <w:r w:rsidR="00F02073" w:rsidRPr="00E06238">
        <w:rPr>
          <w:rFonts w:ascii="Arial" w:hAnsi="Arial" w:cs="Arial"/>
        </w:rPr>
        <w:t xml:space="preserve"> in preferred accessible format</w:t>
      </w:r>
      <w:r w:rsidR="00A87B7E" w:rsidRPr="00E06238">
        <w:rPr>
          <w:rFonts w:ascii="Arial" w:hAnsi="Arial" w:cs="Arial"/>
        </w:rPr>
        <w:t xml:space="preserve"> before approval</w:t>
      </w:r>
      <w:r w:rsidR="00C25F2C">
        <w:rPr>
          <w:rFonts w:ascii="Arial" w:hAnsi="Arial" w:cs="Arial"/>
        </w:rPr>
        <w:t>.</w:t>
      </w:r>
      <w:r w:rsidR="00A87B7E" w:rsidRPr="00E06238">
        <w:rPr>
          <w:rFonts w:ascii="Arial" w:hAnsi="Arial" w:cs="Arial"/>
        </w:rPr>
        <w:t xml:space="preserve"> </w:t>
      </w:r>
    </w:p>
    <w:p w14:paraId="0E7F8CC5" w14:textId="6F03E6DB" w:rsidR="004477A4" w:rsidRPr="00E06238" w:rsidRDefault="004477A4" w:rsidP="002F3107">
      <w:pPr>
        <w:pStyle w:val="ListParagraph"/>
        <w:numPr>
          <w:ilvl w:val="0"/>
          <w:numId w:val="13"/>
        </w:numPr>
        <w:spacing w:line="360" w:lineRule="auto"/>
        <w:rPr>
          <w:rFonts w:ascii="Arial" w:hAnsi="Arial" w:cs="Arial"/>
          <w:b/>
          <w:bCs/>
        </w:rPr>
      </w:pPr>
      <w:r w:rsidRPr="00E06238">
        <w:rPr>
          <w:rFonts w:ascii="Arial" w:hAnsi="Arial" w:cs="Arial"/>
        </w:rPr>
        <w:t>Publicly monitor t</w:t>
      </w:r>
      <w:r w:rsidR="00620BBC" w:rsidRPr="00E06238">
        <w:rPr>
          <w:rFonts w:ascii="Arial" w:hAnsi="Arial" w:cs="Arial"/>
        </w:rPr>
        <w:t xml:space="preserve">he impact of tighter eligibility and assessment reforms </w:t>
      </w:r>
      <w:r w:rsidR="00287ED8" w:rsidRPr="00E06238">
        <w:rPr>
          <w:rFonts w:ascii="Arial" w:hAnsi="Arial" w:cs="Arial"/>
        </w:rPr>
        <w:t>and publish disability-specific data on access decisions, reassessments, support reductions and appeals involving blindness and vision impairment.</w:t>
      </w:r>
    </w:p>
    <w:p w14:paraId="51606412" w14:textId="3CF7EF2C" w:rsidR="004477A4" w:rsidRDefault="00287ED8" w:rsidP="00890593">
      <w:pPr>
        <w:spacing w:line="360" w:lineRule="auto"/>
        <w:ind w:left="360"/>
        <w:rPr>
          <w:rFonts w:ascii="Arial" w:hAnsi="Arial" w:cs="Arial"/>
          <w:b/>
          <w:bCs/>
        </w:rPr>
      </w:pPr>
      <w:r w:rsidRPr="00E06238">
        <w:rPr>
          <w:rFonts w:ascii="Arial" w:hAnsi="Arial" w:cs="Arial"/>
          <w:b/>
          <w:bCs/>
        </w:rPr>
        <w:t>Rationale</w:t>
      </w:r>
    </w:p>
    <w:p w14:paraId="783326B9" w14:textId="63075DB6" w:rsidR="00E2766E" w:rsidRPr="000A6ABD" w:rsidRDefault="00765AD0" w:rsidP="000A6ABD">
      <w:pPr>
        <w:pStyle w:val="ListParagraph"/>
        <w:numPr>
          <w:ilvl w:val="0"/>
          <w:numId w:val="21"/>
        </w:numPr>
        <w:spacing w:line="360" w:lineRule="auto"/>
        <w:rPr>
          <w:rFonts w:ascii="Arial" w:hAnsi="Arial" w:cs="Arial"/>
        </w:rPr>
      </w:pPr>
      <w:r w:rsidRPr="000A6ABD">
        <w:rPr>
          <w:rFonts w:ascii="Arial" w:hAnsi="Arial" w:cs="Arial"/>
        </w:rPr>
        <w:t>Transparency and accessibility are essential to ensure reforms do not disproportionately exclude or disadvantage people who are blind or vision impaired and to enable meaningful review, accountability and procedural fairness within the NDIS.</w:t>
      </w:r>
    </w:p>
    <w:p w14:paraId="5D61702E" w14:textId="30C38A76" w:rsidR="00E2766E" w:rsidRPr="00171F69" w:rsidRDefault="00E2766E" w:rsidP="00171F69">
      <w:pPr>
        <w:pStyle w:val="Heading3"/>
      </w:pPr>
      <w:bookmarkStart w:id="39" w:name="_Toc231209375"/>
      <w:r w:rsidRPr="00171F69">
        <w:t>Recommendation</w:t>
      </w:r>
      <w:r w:rsidR="00A7008F">
        <w:t xml:space="preserve"> 1</w:t>
      </w:r>
      <w:r w:rsidR="0066014E">
        <w:t>3</w:t>
      </w:r>
      <w:r w:rsidR="00E0535B" w:rsidRPr="00171F69">
        <w:t>: Require all major NDIS reforms affecting participant rights, eligibility or funding to be subject to minimum consultation periods, accessible consultation materials and genuine co-design with people with disability, consistent with the principle of “nothing about us without us”.</w:t>
      </w:r>
      <w:bookmarkEnd w:id="39"/>
    </w:p>
    <w:p w14:paraId="4B312486" w14:textId="77777777" w:rsidR="00E2766E" w:rsidRPr="00E06238" w:rsidRDefault="00E2766E" w:rsidP="002F3107">
      <w:pPr>
        <w:numPr>
          <w:ilvl w:val="0"/>
          <w:numId w:val="5"/>
        </w:numPr>
        <w:spacing w:line="360" w:lineRule="auto"/>
        <w:rPr>
          <w:rFonts w:ascii="Arial" w:hAnsi="Arial" w:cs="Arial"/>
        </w:rPr>
      </w:pPr>
      <w:r w:rsidRPr="00E06238">
        <w:rPr>
          <w:rFonts w:ascii="Arial" w:hAnsi="Arial" w:cs="Arial"/>
        </w:rPr>
        <w:t>Compressed consultation timeframes on major NDIS reforms undermine meaningful engagement with people with disability, representative organisations and the broader community</w:t>
      </w:r>
      <w:r>
        <w:rPr>
          <w:rFonts w:ascii="Arial" w:hAnsi="Arial" w:cs="Arial"/>
        </w:rPr>
        <w:t>.</w:t>
      </w:r>
    </w:p>
    <w:p w14:paraId="6CEB576E" w14:textId="77777777" w:rsidR="00491E83" w:rsidRPr="00491E83" w:rsidRDefault="00491E83" w:rsidP="00491E83">
      <w:pPr>
        <w:spacing w:line="360" w:lineRule="auto"/>
        <w:ind w:left="360"/>
        <w:rPr>
          <w:rFonts w:ascii="Arial" w:hAnsi="Arial" w:cs="Arial"/>
          <w:b/>
          <w:bCs/>
        </w:rPr>
      </w:pPr>
      <w:r w:rsidRPr="00491E83">
        <w:rPr>
          <w:rFonts w:ascii="Arial" w:hAnsi="Arial" w:cs="Arial"/>
          <w:b/>
          <w:bCs/>
        </w:rPr>
        <w:lastRenderedPageBreak/>
        <w:t>Rationale</w:t>
      </w:r>
    </w:p>
    <w:p w14:paraId="37530A03" w14:textId="76960BDE" w:rsidR="00E2766E" w:rsidRPr="00E06238" w:rsidRDefault="00E2766E" w:rsidP="002F3107">
      <w:pPr>
        <w:numPr>
          <w:ilvl w:val="0"/>
          <w:numId w:val="5"/>
        </w:numPr>
        <w:spacing w:line="360" w:lineRule="auto"/>
        <w:rPr>
          <w:rFonts w:ascii="Arial" w:hAnsi="Arial" w:cs="Arial"/>
        </w:rPr>
      </w:pPr>
      <w:r w:rsidRPr="00E06238">
        <w:rPr>
          <w:rFonts w:ascii="Arial" w:hAnsi="Arial" w:cs="Arial"/>
        </w:rPr>
        <w:t xml:space="preserve">Reforms are complex, technical and likely to have significant long-term impacts on participants’ rights, supports and access to services. </w:t>
      </w:r>
    </w:p>
    <w:p w14:paraId="07B3ED0F" w14:textId="77777777" w:rsidR="00E2766E" w:rsidRPr="00E06238" w:rsidRDefault="00E2766E" w:rsidP="002F3107">
      <w:pPr>
        <w:numPr>
          <w:ilvl w:val="0"/>
          <w:numId w:val="5"/>
        </w:numPr>
        <w:spacing w:line="360" w:lineRule="auto"/>
        <w:rPr>
          <w:rFonts w:ascii="Arial" w:hAnsi="Arial" w:cs="Arial"/>
        </w:rPr>
      </w:pPr>
      <w:r w:rsidRPr="00E06238">
        <w:rPr>
          <w:rFonts w:ascii="Arial" w:hAnsi="Arial" w:cs="Arial"/>
        </w:rPr>
        <w:t>Short consultation periods disproportionately disadvantage people who require accessible information, additional time to consider proposals, or support to participate in consultation processes.</w:t>
      </w:r>
    </w:p>
    <w:p w14:paraId="1C9A155E" w14:textId="77777777" w:rsidR="00E2766E" w:rsidRDefault="00E2766E" w:rsidP="002F3107">
      <w:pPr>
        <w:numPr>
          <w:ilvl w:val="0"/>
          <w:numId w:val="5"/>
        </w:numPr>
        <w:spacing w:line="360" w:lineRule="auto"/>
        <w:rPr>
          <w:rFonts w:ascii="Arial" w:hAnsi="Arial" w:cs="Arial"/>
        </w:rPr>
      </w:pPr>
      <w:r w:rsidRPr="00E06238">
        <w:rPr>
          <w:rFonts w:ascii="Arial" w:hAnsi="Arial" w:cs="Arial"/>
        </w:rPr>
        <w:t>This approach weakens the quality of policy development, limits transparency and accountability, and reduces confidence that reforms are being designed in partnership with the disability community.</w:t>
      </w:r>
    </w:p>
    <w:p w14:paraId="67D3968A" w14:textId="3AE24578" w:rsidR="00154E1F" w:rsidRDefault="00F3310C" w:rsidP="002F3930">
      <w:pPr>
        <w:pStyle w:val="Heading2"/>
      </w:pPr>
      <w:bookmarkStart w:id="40" w:name="_Toc231209376"/>
      <w:r>
        <w:t xml:space="preserve">4. </w:t>
      </w:r>
      <w:r w:rsidR="001C7E7A">
        <w:t xml:space="preserve">BCA NDIS </w:t>
      </w:r>
      <w:r w:rsidR="002F3930">
        <w:t xml:space="preserve">Participant </w:t>
      </w:r>
      <w:r w:rsidR="002C00EB">
        <w:t>Stories</w:t>
      </w:r>
      <w:bookmarkEnd w:id="40"/>
    </w:p>
    <w:p w14:paraId="33C67FD3" w14:textId="16BB5A22" w:rsidR="009C1891" w:rsidRPr="00FC22BB" w:rsidRDefault="00976FE0" w:rsidP="00123125">
      <w:pPr>
        <w:pStyle w:val="Heading3"/>
      </w:pPr>
      <w:bookmarkStart w:id="41" w:name="_Toc231209377"/>
      <w:r>
        <w:t>C</w:t>
      </w:r>
      <w:r w:rsidRPr="00FC22BB">
        <w:t>ase study</w:t>
      </w:r>
      <w:r w:rsidR="00976DCB">
        <w:t xml:space="preserve"> 1</w:t>
      </w:r>
      <w:r>
        <w:t xml:space="preserve"> –</w:t>
      </w:r>
      <w:r w:rsidR="00976DCB">
        <w:t xml:space="preserve"> U</w:t>
      </w:r>
      <w:r w:rsidR="007A75F2">
        <w:t>se of supports</w:t>
      </w:r>
      <w:bookmarkEnd w:id="41"/>
      <w:r w:rsidR="007A75F2">
        <w:t xml:space="preserve"> </w:t>
      </w:r>
    </w:p>
    <w:p w14:paraId="2F1E76E2" w14:textId="08B21B1B" w:rsidR="009C1891" w:rsidRPr="00FC22BB" w:rsidRDefault="009C1891" w:rsidP="00FC22BB">
      <w:pPr>
        <w:spacing w:line="360" w:lineRule="auto"/>
        <w:rPr>
          <w:rFonts w:ascii="Arial" w:hAnsi="Arial" w:cs="Arial"/>
        </w:rPr>
      </w:pPr>
      <w:r w:rsidRPr="00FC22BB">
        <w:rPr>
          <w:rFonts w:ascii="Arial" w:hAnsi="Arial" w:cs="Arial"/>
        </w:rPr>
        <w:t xml:space="preserve">Robyn lives on her own in an apartment in an inner </w:t>
      </w:r>
      <w:proofErr w:type="gramStart"/>
      <w:r w:rsidRPr="00FC22BB">
        <w:rPr>
          <w:rFonts w:ascii="Arial" w:hAnsi="Arial" w:cs="Arial"/>
        </w:rPr>
        <w:t>south eastern</w:t>
      </w:r>
      <w:proofErr w:type="gramEnd"/>
      <w:r w:rsidRPr="00FC22BB">
        <w:rPr>
          <w:rFonts w:ascii="Arial" w:hAnsi="Arial" w:cs="Arial"/>
        </w:rPr>
        <w:t xml:space="preserve"> suburb of Melbourne. She is legally blind. She uses a long cane for mobility. Her apartment building is located within 150 metres of a transport hub including train, tram and a bus interchange. Within a 1 km radius of her home, Robyn has access to a supermarket, medical centre, cafés, cinema, parks, hotels, clothing stores, shoes stores, post office. To get to the local shops, Robyn </w:t>
      </w:r>
      <w:proofErr w:type="gramStart"/>
      <w:r w:rsidRPr="00FC22BB">
        <w:rPr>
          <w:rFonts w:ascii="Arial" w:hAnsi="Arial" w:cs="Arial"/>
        </w:rPr>
        <w:t>has to</w:t>
      </w:r>
      <w:proofErr w:type="gramEnd"/>
      <w:r w:rsidRPr="00FC22BB">
        <w:rPr>
          <w:rFonts w:ascii="Arial" w:hAnsi="Arial" w:cs="Arial"/>
        </w:rPr>
        <w:t xml:space="preserve"> navigate advertising boards, outdoor café furniture, people, prams, scooters, dogs on leads and other obstacles. Sometimes, depending on how busy the street is, how much glare there is, weather conditions, and her fatigue levels after a busy day, Robyn requires a support worker to access her local community. She might use the support worker as a sighted </w:t>
      </w:r>
      <w:proofErr w:type="gramStart"/>
      <w:r w:rsidRPr="00FC22BB">
        <w:rPr>
          <w:rFonts w:ascii="Arial" w:hAnsi="Arial" w:cs="Arial"/>
        </w:rPr>
        <w:t>guide</w:t>
      </w:r>
      <w:proofErr w:type="gramEnd"/>
      <w:r w:rsidRPr="00FC22BB">
        <w:rPr>
          <w:rFonts w:ascii="Arial" w:hAnsi="Arial" w:cs="Arial"/>
        </w:rPr>
        <w:t xml:space="preserve"> or she may ask the support worker to do her errands for her.</w:t>
      </w:r>
    </w:p>
    <w:p w14:paraId="6F989904" w14:textId="2E710F22" w:rsidR="009C1891" w:rsidRPr="00FC22BB" w:rsidRDefault="009C1891" w:rsidP="00FC22BB">
      <w:pPr>
        <w:spacing w:line="360" w:lineRule="auto"/>
        <w:rPr>
          <w:rFonts w:ascii="Arial" w:hAnsi="Arial" w:cs="Arial"/>
        </w:rPr>
      </w:pPr>
      <w:r w:rsidRPr="00FC22BB">
        <w:rPr>
          <w:rFonts w:ascii="Arial" w:hAnsi="Arial" w:cs="Arial"/>
        </w:rPr>
        <w:t xml:space="preserve">Large shopping centres, even with the best way finding Apps are a challenge for her. The biggest challenge being the moving obstacles. People are far less predictable than static objects and fixed landmarks. Robyn often says, “If sighted able bodied people paid the same attention to their environment as people who are blind or vision impaired, there would be a lot less accidents.” And “I would feel a lot </w:t>
      </w:r>
      <w:proofErr w:type="gramStart"/>
      <w:r w:rsidRPr="00FC22BB">
        <w:rPr>
          <w:rFonts w:ascii="Arial" w:hAnsi="Arial" w:cs="Arial"/>
        </w:rPr>
        <w:t>more safer</w:t>
      </w:r>
      <w:proofErr w:type="gramEnd"/>
      <w:r w:rsidRPr="00FC22BB">
        <w:rPr>
          <w:rFonts w:ascii="Arial" w:hAnsi="Arial" w:cs="Arial"/>
        </w:rPr>
        <w:t xml:space="preserve"> and at ease walking down the street if I knew everyone was paying as much attention as me.”</w:t>
      </w:r>
    </w:p>
    <w:p w14:paraId="6875655E" w14:textId="36277C94" w:rsidR="009C1891" w:rsidRPr="00FC22BB" w:rsidRDefault="009C1891" w:rsidP="00FC22BB">
      <w:pPr>
        <w:spacing w:line="360" w:lineRule="auto"/>
        <w:rPr>
          <w:rFonts w:ascii="Arial" w:hAnsi="Arial" w:cs="Arial"/>
        </w:rPr>
      </w:pPr>
      <w:r w:rsidRPr="00FC22BB">
        <w:rPr>
          <w:rFonts w:ascii="Arial" w:hAnsi="Arial" w:cs="Arial"/>
        </w:rPr>
        <w:t xml:space="preserve">Robyn has 10 hours a week of social, civic and community participation support in her plan. She uses this support for assistance with shopping both in person and </w:t>
      </w:r>
      <w:r w:rsidRPr="00FC22BB">
        <w:rPr>
          <w:rFonts w:ascii="Arial" w:hAnsi="Arial" w:cs="Arial"/>
        </w:rPr>
        <w:lastRenderedPageBreak/>
        <w:t xml:space="preserve">online, getting to and from medical and social appointments, filling in forms, learning about new cafés in her local area, accessing café and restaurant menus. Often online menus and actual menus are </w:t>
      </w:r>
      <w:proofErr w:type="gramStart"/>
      <w:r w:rsidRPr="00FC22BB">
        <w:rPr>
          <w:rFonts w:ascii="Arial" w:hAnsi="Arial" w:cs="Arial"/>
        </w:rPr>
        <w:t>inconsistent</w:t>
      </w:r>
      <w:proofErr w:type="gramEnd"/>
      <w:r w:rsidRPr="00FC22BB">
        <w:rPr>
          <w:rFonts w:ascii="Arial" w:hAnsi="Arial" w:cs="Arial"/>
        </w:rPr>
        <w:t xml:space="preserve"> or the online menu is a photo image which is not readable with adaptive technology. Even though she is a proficient user of technology,</w:t>
      </w:r>
    </w:p>
    <w:p w14:paraId="7ABEC27A" w14:textId="77777777" w:rsidR="009C1891" w:rsidRPr="00FC22BB" w:rsidRDefault="009C1891" w:rsidP="00FC22BB">
      <w:pPr>
        <w:spacing w:line="360" w:lineRule="auto"/>
        <w:rPr>
          <w:rFonts w:ascii="Arial" w:hAnsi="Arial" w:cs="Arial"/>
        </w:rPr>
      </w:pPr>
      <w:r w:rsidRPr="00FC22BB">
        <w:rPr>
          <w:rFonts w:ascii="Arial" w:hAnsi="Arial" w:cs="Arial"/>
        </w:rPr>
        <w:t xml:space="preserve">And adaptive technology such as Braille and screen readers on her computer and iPhone, she finds many forms of digital communication fall just short of accessible. </w:t>
      </w:r>
      <w:proofErr w:type="gramStart"/>
      <w:r w:rsidRPr="00FC22BB">
        <w:rPr>
          <w:rFonts w:ascii="Arial" w:hAnsi="Arial" w:cs="Arial"/>
        </w:rPr>
        <w:t>So</w:t>
      </w:r>
      <w:proofErr w:type="gramEnd"/>
      <w:r w:rsidRPr="00FC22BB">
        <w:rPr>
          <w:rFonts w:ascii="Arial" w:hAnsi="Arial" w:cs="Arial"/>
        </w:rPr>
        <w:t xml:space="preserve"> she relies on a support worker to read out or transcribe information such as blood test results, online booking request forms and regional bus timetables </w:t>
      </w:r>
      <w:proofErr w:type="gramStart"/>
      <w:r w:rsidRPr="00FC22BB">
        <w:rPr>
          <w:rFonts w:ascii="Arial" w:hAnsi="Arial" w:cs="Arial"/>
        </w:rPr>
        <w:t>in order to</w:t>
      </w:r>
      <w:proofErr w:type="gramEnd"/>
      <w:r w:rsidRPr="00FC22BB">
        <w:rPr>
          <w:rFonts w:ascii="Arial" w:hAnsi="Arial" w:cs="Arial"/>
        </w:rPr>
        <w:t xml:space="preserve"> plan visits to her family.</w:t>
      </w:r>
    </w:p>
    <w:p w14:paraId="0D11A1B9" w14:textId="0B8D54C6" w:rsidR="009C1891" w:rsidRPr="00FC22BB" w:rsidRDefault="009C1891" w:rsidP="00FC22BB">
      <w:pPr>
        <w:spacing w:line="360" w:lineRule="auto"/>
        <w:rPr>
          <w:rFonts w:ascii="Arial" w:hAnsi="Arial" w:cs="Arial"/>
        </w:rPr>
      </w:pPr>
      <w:r w:rsidRPr="00FC22BB">
        <w:rPr>
          <w:rFonts w:ascii="Arial" w:hAnsi="Arial" w:cs="Arial"/>
        </w:rPr>
        <w:t xml:space="preserve">She enjoys walking. One of Robyn’s </w:t>
      </w:r>
      <w:proofErr w:type="gramStart"/>
      <w:r w:rsidRPr="00FC22BB">
        <w:rPr>
          <w:rFonts w:ascii="Arial" w:hAnsi="Arial" w:cs="Arial"/>
        </w:rPr>
        <w:t>long term</w:t>
      </w:r>
      <w:proofErr w:type="gramEnd"/>
      <w:r w:rsidRPr="00FC22BB">
        <w:rPr>
          <w:rFonts w:ascii="Arial" w:hAnsi="Arial" w:cs="Arial"/>
        </w:rPr>
        <w:t xml:space="preserve"> goals, as stated in her NDIS plan, is to walk the Camino trail in France and Spain. She uses a support worker to provide sighted guide and navigation support most weeks so she can </w:t>
      </w:r>
      <w:proofErr w:type="gramStart"/>
      <w:r w:rsidRPr="00FC22BB">
        <w:rPr>
          <w:rFonts w:ascii="Arial" w:hAnsi="Arial" w:cs="Arial"/>
        </w:rPr>
        <w:t>build  her</w:t>
      </w:r>
      <w:proofErr w:type="gramEnd"/>
      <w:r w:rsidRPr="00FC22BB">
        <w:rPr>
          <w:rFonts w:ascii="Arial" w:hAnsi="Arial" w:cs="Arial"/>
        </w:rPr>
        <w:t xml:space="preserve"> confidence and ability to use walking tracks.</w:t>
      </w:r>
    </w:p>
    <w:p w14:paraId="48773FE7" w14:textId="19C54BB8" w:rsidR="00A56A2A" w:rsidRDefault="00976FE0" w:rsidP="00123125">
      <w:pPr>
        <w:pStyle w:val="Heading3"/>
      </w:pPr>
      <w:bookmarkStart w:id="42" w:name="_Toc231209378"/>
      <w:r>
        <w:t>C</w:t>
      </w:r>
      <w:r w:rsidRPr="00E15B89">
        <w:t>ase study 2</w:t>
      </w:r>
      <w:r>
        <w:t xml:space="preserve"> - </w:t>
      </w:r>
      <w:r w:rsidR="00976DCB">
        <w:t>I</w:t>
      </w:r>
      <w:r w:rsidR="00E15B89">
        <w:t>mpact of cuts to funding</w:t>
      </w:r>
      <w:bookmarkEnd w:id="42"/>
      <w:r>
        <w:t xml:space="preserve">  </w:t>
      </w:r>
      <w:r w:rsidR="00E15B89" w:rsidRPr="00E15B89">
        <w:t xml:space="preserve"> </w:t>
      </w:r>
    </w:p>
    <w:p w14:paraId="48FCC90C" w14:textId="36BBA09C" w:rsidR="00E15B89" w:rsidRPr="001D70D0" w:rsidRDefault="00976DCB" w:rsidP="001D70D0">
      <w:pPr>
        <w:spacing w:line="360" w:lineRule="auto"/>
        <w:rPr>
          <w:rFonts w:ascii="Arial" w:hAnsi="Arial" w:cs="Arial"/>
        </w:rPr>
      </w:pPr>
      <w:r>
        <w:t>“</w:t>
      </w:r>
      <w:r w:rsidR="00E15B89" w:rsidRPr="001D70D0">
        <w:rPr>
          <w:rFonts w:ascii="Arial" w:hAnsi="Arial" w:cs="Arial"/>
        </w:rPr>
        <w:t xml:space="preserve">Budgets can't be cut as they are minimal as </w:t>
      </w:r>
      <w:r w:rsidR="00B23B01" w:rsidRPr="001D70D0">
        <w:rPr>
          <w:rFonts w:ascii="Arial" w:hAnsi="Arial" w:cs="Arial"/>
        </w:rPr>
        <w:t xml:space="preserve">it </w:t>
      </w:r>
      <w:r w:rsidR="00E15B89" w:rsidRPr="001D70D0">
        <w:rPr>
          <w:rFonts w:ascii="Arial" w:hAnsi="Arial" w:cs="Arial"/>
        </w:rPr>
        <w:t>is. May seem a lot but it isn't.</w:t>
      </w:r>
      <w:r w:rsidR="00542D61" w:rsidRPr="001D70D0">
        <w:rPr>
          <w:rFonts w:ascii="Arial" w:hAnsi="Arial" w:cs="Arial"/>
        </w:rPr>
        <w:t xml:space="preserve"> </w:t>
      </w:r>
      <w:r w:rsidR="00E15B89" w:rsidRPr="001D70D0">
        <w:rPr>
          <w:rFonts w:ascii="Arial" w:hAnsi="Arial" w:cs="Arial"/>
        </w:rPr>
        <w:t>To go out and be part of the community - say to a picnic or concert (just normal things people do on a Sunday, not a luxury), the</w:t>
      </w:r>
      <w:r w:rsidR="00B23B01" w:rsidRPr="001D70D0">
        <w:rPr>
          <w:rFonts w:ascii="Arial" w:hAnsi="Arial" w:cs="Arial"/>
        </w:rPr>
        <w:t xml:space="preserve"> w</w:t>
      </w:r>
      <w:r w:rsidR="00E15B89" w:rsidRPr="001D70D0">
        <w:rPr>
          <w:rFonts w:ascii="Arial" w:hAnsi="Arial" w:cs="Arial"/>
        </w:rPr>
        <w:t>eekend cost is $83.00 per hour.  Based on 6 hours (this is not 'plenty' of time but minimum if you include travel and parking time).</w:t>
      </w:r>
    </w:p>
    <w:p w14:paraId="0384A2B6" w14:textId="3D530370" w:rsidR="00E15B89" w:rsidRPr="001D70D0" w:rsidRDefault="00E15B89" w:rsidP="001D70D0">
      <w:pPr>
        <w:spacing w:line="360" w:lineRule="auto"/>
        <w:rPr>
          <w:rFonts w:ascii="Arial" w:hAnsi="Arial" w:cs="Arial"/>
        </w:rPr>
      </w:pPr>
      <w:r w:rsidRPr="001D70D0">
        <w:rPr>
          <w:rFonts w:ascii="Arial" w:hAnsi="Arial" w:cs="Arial"/>
        </w:rPr>
        <w:t xml:space="preserve">6 x $83.00 = $498.00 plus vehicle cost </w:t>
      </w:r>
      <w:proofErr w:type="gramStart"/>
      <w:r w:rsidRPr="001D70D0">
        <w:rPr>
          <w:rFonts w:ascii="Arial" w:hAnsi="Arial" w:cs="Arial"/>
        </w:rPr>
        <w:t>at  $</w:t>
      </w:r>
      <w:proofErr w:type="gramEnd"/>
      <w:r w:rsidRPr="001D70D0">
        <w:rPr>
          <w:rFonts w:ascii="Arial" w:hAnsi="Arial" w:cs="Arial"/>
        </w:rPr>
        <w:t>1.00 per km.</w:t>
      </w:r>
      <w:r w:rsidR="00A40B11" w:rsidRPr="001D70D0">
        <w:rPr>
          <w:rFonts w:ascii="Arial" w:hAnsi="Arial" w:cs="Arial"/>
        </w:rPr>
        <w:t xml:space="preserve"> </w:t>
      </w:r>
    </w:p>
    <w:p w14:paraId="72373897" w14:textId="77777777" w:rsidR="00E15B89" w:rsidRPr="001D70D0" w:rsidRDefault="00E15B89" w:rsidP="001D70D0">
      <w:pPr>
        <w:spacing w:line="360" w:lineRule="auto"/>
        <w:rPr>
          <w:rFonts w:ascii="Arial" w:hAnsi="Arial" w:cs="Arial"/>
        </w:rPr>
      </w:pPr>
      <w:r w:rsidRPr="001D70D0">
        <w:rPr>
          <w:rFonts w:ascii="Arial" w:hAnsi="Arial" w:cs="Arial"/>
        </w:rPr>
        <w:t>There are 52-53 Sundays in a year.</w:t>
      </w:r>
    </w:p>
    <w:p w14:paraId="038034D0" w14:textId="63F3FA2A" w:rsidR="00E15B89" w:rsidRPr="001D70D0" w:rsidRDefault="00E15B89" w:rsidP="001D70D0">
      <w:pPr>
        <w:spacing w:line="360" w:lineRule="auto"/>
        <w:rPr>
          <w:rFonts w:ascii="Arial" w:hAnsi="Arial" w:cs="Arial"/>
        </w:rPr>
      </w:pPr>
      <w:r w:rsidRPr="001D70D0">
        <w:rPr>
          <w:rFonts w:ascii="Arial" w:hAnsi="Arial" w:cs="Arial"/>
        </w:rPr>
        <w:t xml:space="preserve">To have the </w:t>
      </w:r>
      <w:r w:rsidR="00274504" w:rsidRPr="001D70D0">
        <w:rPr>
          <w:rFonts w:ascii="Arial" w:hAnsi="Arial" w:cs="Arial"/>
        </w:rPr>
        <w:t>‘</w:t>
      </w:r>
      <w:r w:rsidRPr="001D70D0">
        <w:rPr>
          <w:rFonts w:ascii="Arial" w:hAnsi="Arial" w:cs="Arial"/>
        </w:rPr>
        <w:t>privilege</w:t>
      </w:r>
      <w:r w:rsidR="00274504" w:rsidRPr="001D70D0">
        <w:rPr>
          <w:rFonts w:ascii="Arial" w:hAnsi="Arial" w:cs="Arial"/>
        </w:rPr>
        <w:t>’</w:t>
      </w:r>
      <w:r w:rsidRPr="001D70D0">
        <w:rPr>
          <w:rFonts w:ascii="Arial" w:hAnsi="Arial" w:cs="Arial"/>
        </w:rPr>
        <w:t xml:space="preserve"> of mixing in the community, getting out of the home, having some choice and control, for more than the briefest time (</w:t>
      </w:r>
      <w:proofErr w:type="spellStart"/>
      <w:r w:rsidRPr="001D70D0">
        <w:rPr>
          <w:rFonts w:ascii="Arial" w:hAnsi="Arial" w:cs="Arial"/>
        </w:rPr>
        <w:t>ie</w:t>
      </w:r>
      <w:proofErr w:type="spellEnd"/>
      <w:r w:rsidRPr="001D70D0">
        <w:rPr>
          <w:rFonts w:ascii="Arial" w:hAnsi="Arial" w:cs="Arial"/>
        </w:rPr>
        <w:t xml:space="preserve"> not just a </w:t>
      </w:r>
      <w:proofErr w:type="gramStart"/>
      <w:r w:rsidRPr="001D70D0">
        <w:rPr>
          <w:rFonts w:ascii="Arial" w:hAnsi="Arial" w:cs="Arial"/>
        </w:rPr>
        <w:t>1-2 hour</w:t>
      </w:r>
      <w:proofErr w:type="gramEnd"/>
      <w:r w:rsidRPr="001D70D0">
        <w:rPr>
          <w:rFonts w:ascii="Arial" w:hAnsi="Arial" w:cs="Arial"/>
        </w:rPr>
        <w:t xml:space="preserve"> visit to the shops) would cost 52 x $498.00 = $25,896 PLUS vehicle costs</w:t>
      </w:r>
      <w:r w:rsidR="008C0B64" w:rsidRPr="001D70D0">
        <w:rPr>
          <w:rFonts w:ascii="Arial" w:hAnsi="Arial" w:cs="Arial"/>
        </w:rPr>
        <w:t xml:space="preserve"> per year</w:t>
      </w:r>
      <w:r w:rsidR="00274504" w:rsidRPr="001D70D0">
        <w:rPr>
          <w:rFonts w:ascii="Arial" w:hAnsi="Arial" w:cs="Arial"/>
        </w:rPr>
        <w:t>.</w:t>
      </w:r>
    </w:p>
    <w:p w14:paraId="1BFF4C86" w14:textId="19065FD6" w:rsidR="00E15B89" w:rsidRPr="001D70D0" w:rsidRDefault="00E15B89" w:rsidP="001D70D0">
      <w:pPr>
        <w:spacing w:line="360" w:lineRule="auto"/>
        <w:rPr>
          <w:rFonts w:ascii="Arial" w:hAnsi="Arial" w:cs="Arial"/>
        </w:rPr>
      </w:pPr>
      <w:r w:rsidRPr="001D70D0">
        <w:rPr>
          <w:rFonts w:ascii="Arial" w:hAnsi="Arial" w:cs="Arial"/>
        </w:rPr>
        <w:t>That doesn't even allow for a 'full' day out (what others take for granted), holiday time or public holidays.</w:t>
      </w:r>
      <w:r w:rsidR="00C925B7" w:rsidRPr="001D70D0">
        <w:rPr>
          <w:rFonts w:ascii="Arial" w:hAnsi="Arial" w:cs="Arial"/>
        </w:rPr>
        <w:t xml:space="preserve"> </w:t>
      </w:r>
      <w:r w:rsidRPr="001D70D0">
        <w:rPr>
          <w:rFonts w:ascii="Arial" w:hAnsi="Arial" w:cs="Arial"/>
        </w:rPr>
        <w:t xml:space="preserve">Never mind </w:t>
      </w:r>
      <w:r w:rsidR="00542D61" w:rsidRPr="001D70D0">
        <w:rPr>
          <w:rFonts w:ascii="Arial" w:hAnsi="Arial" w:cs="Arial"/>
        </w:rPr>
        <w:t>d</w:t>
      </w:r>
      <w:r w:rsidRPr="001D70D0">
        <w:rPr>
          <w:rFonts w:ascii="Arial" w:hAnsi="Arial" w:cs="Arial"/>
        </w:rPr>
        <w:t xml:space="preserve">aily </w:t>
      </w:r>
      <w:r w:rsidR="001C173A" w:rsidRPr="001D70D0">
        <w:rPr>
          <w:rFonts w:ascii="Arial" w:hAnsi="Arial" w:cs="Arial"/>
        </w:rPr>
        <w:t>a</w:t>
      </w:r>
      <w:r w:rsidRPr="001D70D0">
        <w:rPr>
          <w:rFonts w:ascii="Arial" w:hAnsi="Arial" w:cs="Arial"/>
        </w:rPr>
        <w:t>ctivities costs.</w:t>
      </w:r>
      <w:r w:rsidR="00C925B7" w:rsidRPr="001D70D0">
        <w:rPr>
          <w:rFonts w:ascii="Arial" w:hAnsi="Arial" w:cs="Arial"/>
        </w:rPr>
        <w:t xml:space="preserve"> </w:t>
      </w:r>
      <w:r w:rsidRPr="001D70D0">
        <w:rPr>
          <w:rFonts w:ascii="Arial" w:hAnsi="Arial" w:cs="Arial"/>
        </w:rPr>
        <w:t>Blind and vision impaired people will be reduced to 'pet</w:t>
      </w:r>
      <w:r w:rsidR="001C173A" w:rsidRPr="001D70D0">
        <w:rPr>
          <w:rFonts w:ascii="Arial" w:hAnsi="Arial" w:cs="Arial"/>
        </w:rPr>
        <w:t>s</w:t>
      </w:r>
      <w:r w:rsidRPr="001D70D0">
        <w:rPr>
          <w:rFonts w:ascii="Arial" w:hAnsi="Arial" w:cs="Arial"/>
        </w:rPr>
        <w:t>' like human's being 'let out' to mix from time to time.</w:t>
      </w:r>
      <w:r w:rsidR="00C925B7" w:rsidRPr="001D70D0">
        <w:rPr>
          <w:rFonts w:ascii="Arial" w:hAnsi="Arial" w:cs="Arial"/>
        </w:rPr>
        <w:t xml:space="preserve"> </w:t>
      </w:r>
      <w:r w:rsidRPr="001D70D0">
        <w:rPr>
          <w:rFonts w:ascii="Arial" w:hAnsi="Arial" w:cs="Arial"/>
        </w:rPr>
        <w:t>The current budgets don't achieve what is ideal, diminishing the budgets is unjustifiable and cruel.</w:t>
      </w:r>
      <w:r w:rsidR="00B042BD" w:rsidRPr="001D70D0">
        <w:rPr>
          <w:rFonts w:ascii="Arial" w:hAnsi="Arial" w:cs="Arial"/>
        </w:rPr>
        <w:t>”</w:t>
      </w:r>
    </w:p>
    <w:p w14:paraId="1676B675" w14:textId="43A31A5A" w:rsidR="000B1B80" w:rsidRDefault="00B042BD" w:rsidP="00123125">
      <w:pPr>
        <w:pStyle w:val="Heading3"/>
      </w:pPr>
      <w:bookmarkStart w:id="43" w:name="_Toc231209379"/>
      <w:r>
        <w:lastRenderedPageBreak/>
        <w:t>Case study 3 - I</w:t>
      </w:r>
      <w:r w:rsidR="00277963">
        <w:t>nformal supports</w:t>
      </w:r>
      <w:r w:rsidR="0059257C">
        <w:t xml:space="preserve"> and caring duties as a person with a disability</w:t>
      </w:r>
      <w:bookmarkEnd w:id="43"/>
      <w:r w:rsidR="0059257C">
        <w:t xml:space="preserve"> </w:t>
      </w:r>
    </w:p>
    <w:p w14:paraId="7145BD34" w14:textId="6109256A" w:rsidR="000B1B80" w:rsidRPr="001D70D0" w:rsidRDefault="0059257C" w:rsidP="001D70D0">
      <w:pPr>
        <w:spacing w:line="360" w:lineRule="auto"/>
        <w:rPr>
          <w:rFonts w:ascii="Arial" w:hAnsi="Arial" w:cs="Arial"/>
        </w:rPr>
      </w:pPr>
      <w:r w:rsidRPr="001D70D0">
        <w:rPr>
          <w:rFonts w:ascii="Arial" w:hAnsi="Arial" w:cs="Arial"/>
        </w:rPr>
        <w:t>“</w:t>
      </w:r>
      <w:r w:rsidR="000B1B80" w:rsidRPr="001D70D0">
        <w:rPr>
          <w:rFonts w:ascii="Arial" w:hAnsi="Arial" w:cs="Arial"/>
        </w:rPr>
        <w:t>Challenges happen to everyone, even if you have a disability</w:t>
      </w:r>
      <w:r w:rsidR="00277963" w:rsidRPr="001D70D0">
        <w:rPr>
          <w:rFonts w:ascii="Arial" w:hAnsi="Arial" w:cs="Arial"/>
        </w:rPr>
        <w:t>. People</w:t>
      </w:r>
      <w:r w:rsidR="000B1B80" w:rsidRPr="001D70D0">
        <w:rPr>
          <w:rFonts w:ascii="Arial" w:hAnsi="Arial" w:cs="Arial"/>
        </w:rPr>
        <w:t xml:space="preserve"> experience marriage and family breakdown or bereavement that impact on family supports often drastically so there needs to be recognition of the need for family supports</w:t>
      </w:r>
      <w:r w:rsidRPr="001D70D0">
        <w:rPr>
          <w:rFonts w:ascii="Arial" w:hAnsi="Arial" w:cs="Arial"/>
        </w:rPr>
        <w:t>. If</w:t>
      </w:r>
      <w:r w:rsidR="000B1B80" w:rsidRPr="001D70D0">
        <w:rPr>
          <w:rFonts w:ascii="Arial" w:hAnsi="Arial" w:cs="Arial"/>
        </w:rPr>
        <w:t xml:space="preserve"> a Participant is a sole parent (and has little or no informal supports) their requirement for assistance for all activities is multiplied.  The children have a right to participate in </w:t>
      </w:r>
      <w:proofErr w:type="gramStart"/>
      <w:r w:rsidR="000B1B80" w:rsidRPr="001D70D0">
        <w:rPr>
          <w:rFonts w:ascii="Arial" w:hAnsi="Arial" w:cs="Arial"/>
        </w:rPr>
        <w:t>sport</w:t>
      </w:r>
      <w:proofErr w:type="gramEnd"/>
      <w:r w:rsidR="000B1B80" w:rsidRPr="001D70D0">
        <w:rPr>
          <w:rFonts w:ascii="Arial" w:hAnsi="Arial" w:cs="Arial"/>
        </w:rPr>
        <w:t xml:space="preserve"> and extra curriculum activates, attend parties, visit their friends, just like any other children.  The alternative is for the children to suffer the isolation of the parent and the negative consequences on childhood development</w:t>
      </w:r>
      <w:r w:rsidR="00D5622D" w:rsidRPr="001D70D0">
        <w:rPr>
          <w:rFonts w:ascii="Arial" w:hAnsi="Arial" w:cs="Arial"/>
        </w:rPr>
        <w:t>, confidence</w:t>
      </w:r>
      <w:r w:rsidR="000B1B80" w:rsidRPr="001D70D0">
        <w:rPr>
          <w:rFonts w:ascii="Arial" w:hAnsi="Arial" w:cs="Arial"/>
        </w:rPr>
        <w:t xml:space="preserve"> and happiness</w:t>
      </w:r>
      <w:r w:rsidR="00457892" w:rsidRPr="001D70D0">
        <w:rPr>
          <w:rFonts w:ascii="Arial" w:hAnsi="Arial" w:cs="Arial"/>
        </w:rPr>
        <w:t xml:space="preserve"> -</w:t>
      </w:r>
      <w:r w:rsidR="000B1B80" w:rsidRPr="001D70D0">
        <w:rPr>
          <w:rFonts w:ascii="Arial" w:hAnsi="Arial" w:cs="Arial"/>
        </w:rPr>
        <w:t xml:space="preserve"> </w:t>
      </w:r>
      <w:r w:rsidR="00457892" w:rsidRPr="001D70D0">
        <w:rPr>
          <w:rFonts w:ascii="Arial" w:hAnsi="Arial" w:cs="Arial"/>
        </w:rPr>
        <w:t>p</w:t>
      </w:r>
      <w:r w:rsidR="000B1B80" w:rsidRPr="001D70D0">
        <w:rPr>
          <w:rFonts w:ascii="Arial" w:hAnsi="Arial" w:cs="Arial"/>
        </w:rPr>
        <w:t>roducing likely poor outcomes for the family and children</w:t>
      </w:r>
      <w:r w:rsidR="002536D4" w:rsidRPr="001D70D0">
        <w:rPr>
          <w:rFonts w:ascii="Arial" w:hAnsi="Arial" w:cs="Arial"/>
        </w:rPr>
        <w:t xml:space="preserve"> and</w:t>
      </w:r>
      <w:r w:rsidR="000B1B80" w:rsidRPr="001D70D0">
        <w:rPr>
          <w:rFonts w:ascii="Arial" w:hAnsi="Arial" w:cs="Arial"/>
        </w:rPr>
        <w:t xml:space="preserve"> putting more pressure on society's resources and services.  The children notice they are missing out.</w:t>
      </w:r>
      <w:r w:rsidR="007F6F78" w:rsidRPr="001D70D0">
        <w:rPr>
          <w:rFonts w:ascii="Arial" w:hAnsi="Arial" w:cs="Arial"/>
        </w:rPr>
        <w:t>”</w:t>
      </w:r>
      <w:r w:rsidR="000B1B80" w:rsidRPr="001D70D0">
        <w:rPr>
          <w:rFonts w:ascii="Arial" w:hAnsi="Arial" w:cs="Arial"/>
        </w:rPr>
        <w:t> </w:t>
      </w:r>
    </w:p>
    <w:p w14:paraId="7918EC94" w14:textId="77777777" w:rsidR="000B1B80" w:rsidRPr="00E15B89" w:rsidRDefault="000B1B80" w:rsidP="002F3930">
      <w:pPr>
        <w:rPr>
          <w:b/>
          <w:bCs/>
        </w:rPr>
      </w:pPr>
    </w:p>
    <w:sectPr w:rsidR="000B1B80" w:rsidRPr="00E15B89">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CFF86" w14:textId="77777777" w:rsidR="009E3CFF" w:rsidRDefault="009E3CFF" w:rsidP="00F46DE4">
      <w:pPr>
        <w:spacing w:after="0" w:line="240" w:lineRule="auto"/>
      </w:pPr>
      <w:r>
        <w:separator/>
      </w:r>
    </w:p>
  </w:endnote>
  <w:endnote w:type="continuationSeparator" w:id="0">
    <w:p w14:paraId="37177A70" w14:textId="77777777" w:rsidR="009E3CFF" w:rsidRDefault="009E3CFF" w:rsidP="00F46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70125981"/>
      <w:docPartObj>
        <w:docPartGallery w:val="Page Numbers (Bottom of Page)"/>
        <w:docPartUnique/>
      </w:docPartObj>
    </w:sdtPr>
    <w:sdtContent>
      <w:sdt>
        <w:sdtPr>
          <w:rPr>
            <w:rFonts w:ascii="Arial" w:hAnsi="Arial" w:cs="Arial"/>
          </w:rPr>
          <w:id w:val="-1769616900"/>
          <w:docPartObj>
            <w:docPartGallery w:val="Page Numbers (Top of Page)"/>
            <w:docPartUnique/>
          </w:docPartObj>
        </w:sdtPr>
        <w:sdtContent>
          <w:p w14:paraId="228D8DDE" w14:textId="1A398F0D" w:rsidR="00F46DE4" w:rsidRPr="009B4251" w:rsidRDefault="00072B56">
            <w:pPr>
              <w:pStyle w:val="Footer"/>
              <w:jc w:val="right"/>
              <w:rPr>
                <w:rFonts w:ascii="Arial" w:hAnsi="Arial" w:cs="Arial"/>
              </w:rPr>
            </w:pPr>
            <w:r w:rsidRPr="009B4251">
              <w:rPr>
                <w:rFonts w:ascii="Arial" w:hAnsi="Arial" w:cs="Arial"/>
              </w:rPr>
              <w:t xml:space="preserve">Blind Citizens Australia   </w:t>
            </w:r>
            <w:r w:rsidR="00F46DE4" w:rsidRPr="009B4251">
              <w:rPr>
                <w:rFonts w:ascii="Arial" w:hAnsi="Arial" w:cs="Arial"/>
              </w:rPr>
              <w:t xml:space="preserve">Page </w:t>
            </w:r>
            <w:r w:rsidR="00F46DE4" w:rsidRPr="009B4251">
              <w:rPr>
                <w:rFonts w:ascii="Arial" w:hAnsi="Arial" w:cs="Arial"/>
                <w:b/>
                <w:bCs/>
              </w:rPr>
              <w:fldChar w:fldCharType="begin"/>
            </w:r>
            <w:r w:rsidR="00F46DE4" w:rsidRPr="009B4251">
              <w:rPr>
                <w:rFonts w:ascii="Arial" w:hAnsi="Arial" w:cs="Arial"/>
                <w:b/>
                <w:bCs/>
              </w:rPr>
              <w:instrText xml:space="preserve"> PAGE </w:instrText>
            </w:r>
            <w:r w:rsidR="00F46DE4" w:rsidRPr="009B4251">
              <w:rPr>
                <w:rFonts w:ascii="Arial" w:hAnsi="Arial" w:cs="Arial"/>
                <w:b/>
                <w:bCs/>
              </w:rPr>
              <w:fldChar w:fldCharType="separate"/>
            </w:r>
            <w:r w:rsidR="00F46DE4" w:rsidRPr="009B4251">
              <w:rPr>
                <w:rFonts w:ascii="Arial" w:hAnsi="Arial" w:cs="Arial"/>
                <w:b/>
                <w:bCs/>
                <w:noProof/>
              </w:rPr>
              <w:t>2</w:t>
            </w:r>
            <w:r w:rsidR="00F46DE4" w:rsidRPr="009B4251">
              <w:rPr>
                <w:rFonts w:ascii="Arial" w:hAnsi="Arial" w:cs="Arial"/>
                <w:b/>
                <w:bCs/>
              </w:rPr>
              <w:fldChar w:fldCharType="end"/>
            </w:r>
            <w:r w:rsidR="00F46DE4" w:rsidRPr="009B4251">
              <w:rPr>
                <w:rFonts w:ascii="Arial" w:hAnsi="Arial" w:cs="Arial"/>
              </w:rPr>
              <w:t xml:space="preserve"> of </w:t>
            </w:r>
            <w:r w:rsidR="00F46DE4" w:rsidRPr="009B4251">
              <w:rPr>
                <w:rFonts w:ascii="Arial" w:hAnsi="Arial" w:cs="Arial"/>
                <w:b/>
                <w:bCs/>
              </w:rPr>
              <w:fldChar w:fldCharType="begin"/>
            </w:r>
            <w:r w:rsidR="00F46DE4" w:rsidRPr="009B4251">
              <w:rPr>
                <w:rFonts w:ascii="Arial" w:hAnsi="Arial" w:cs="Arial"/>
                <w:b/>
                <w:bCs/>
              </w:rPr>
              <w:instrText xml:space="preserve"> NUMPAGES  </w:instrText>
            </w:r>
            <w:r w:rsidR="00F46DE4" w:rsidRPr="009B4251">
              <w:rPr>
                <w:rFonts w:ascii="Arial" w:hAnsi="Arial" w:cs="Arial"/>
                <w:b/>
                <w:bCs/>
              </w:rPr>
              <w:fldChar w:fldCharType="separate"/>
            </w:r>
            <w:r w:rsidR="00F46DE4" w:rsidRPr="009B4251">
              <w:rPr>
                <w:rFonts w:ascii="Arial" w:hAnsi="Arial" w:cs="Arial"/>
                <w:b/>
                <w:bCs/>
                <w:noProof/>
              </w:rPr>
              <w:t>2</w:t>
            </w:r>
            <w:r w:rsidR="00F46DE4" w:rsidRPr="009B4251">
              <w:rPr>
                <w:rFonts w:ascii="Arial" w:hAnsi="Arial" w:cs="Arial"/>
                <w:b/>
                <w:bCs/>
              </w:rPr>
              <w:fldChar w:fldCharType="end"/>
            </w:r>
          </w:p>
        </w:sdtContent>
      </w:sdt>
    </w:sdtContent>
  </w:sdt>
  <w:p w14:paraId="4D421C93" w14:textId="77777777" w:rsidR="00F46DE4" w:rsidRDefault="00F46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E2012" w14:textId="77777777" w:rsidR="009E3CFF" w:rsidRDefault="009E3CFF" w:rsidP="00F46DE4">
      <w:pPr>
        <w:spacing w:after="0" w:line="240" w:lineRule="auto"/>
      </w:pPr>
      <w:r>
        <w:separator/>
      </w:r>
    </w:p>
  </w:footnote>
  <w:footnote w:type="continuationSeparator" w:id="0">
    <w:p w14:paraId="6E0CD98D" w14:textId="77777777" w:rsidR="009E3CFF" w:rsidRDefault="009E3CFF" w:rsidP="00F46D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64CF"/>
    <w:multiLevelType w:val="hybridMultilevel"/>
    <w:tmpl w:val="34283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8D0D69"/>
    <w:multiLevelType w:val="multilevel"/>
    <w:tmpl w:val="4BC8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5014E"/>
    <w:multiLevelType w:val="multilevel"/>
    <w:tmpl w:val="6402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748CA"/>
    <w:multiLevelType w:val="hybridMultilevel"/>
    <w:tmpl w:val="5C023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587A29"/>
    <w:multiLevelType w:val="hybridMultilevel"/>
    <w:tmpl w:val="58ECA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FB2248"/>
    <w:multiLevelType w:val="hybridMultilevel"/>
    <w:tmpl w:val="B1905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8E4662"/>
    <w:multiLevelType w:val="multilevel"/>
    <w:tmpl w:val="A3BCE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86640F"/>
    <w:multiLevelType w:val="hybridMultilevel"/>
    <w:tmpl w:val="DC368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CF7E87"/>
    <w:multiLevelType w:val="multilevel"/>
    <w:tmpl w:val="857C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B2E17"/>
    <w:multiLevelType w:val="hybridMultilevel"/>
    <w:tmpl w:val="C7324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160700"/>
    <w:multiLevelType w:val="hybridMultilevel"/>
    <w:tmpl w:val="65EC80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E92925"/>
    <w:multiLevelType w:val="multilevel"/>
    <w:tmpl w:val="3FB4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A01511"/>
    <w:multiLevelType w:val="multilevel"/>
    <w:tmpl w:val="C442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D26B92"/>
    <w:multiLevelType w:val="hybridMultilevel"/>
    <w:tmpl w:val="3B7C9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EF4EB3"/>
    <w:multiLevelType w:val="hybridMultilevel"/>
    <w:tmpl w:val="2E8AC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8B1889"/>
    <w:multiLevelType w:val="hybridMultilevel"/>
    <w:tmpl w:val="E3DC157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18F558B"/>
    <w:multiLevelType w:val="hybridMultilevel"/>
    <w:tmpl w:val="029EC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EE2DD5"/>
    <w:multiLevelType w:val="hybridMultilevel"/>
    <w:tmpl w:val="E92AB3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DD1C0B"/>
    <w:multiLevelType w:val="hybridMultilevel"/>
    <w:tmpl w:val="C0AC1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CC0007"/>
    <w:multiLevelType w:val="hybridMultilevel"/>
    <w:tmpl w:val="968E2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830D73"/>
    <w:multiLevelType w:val="hybridMultilevel"/>
    <w:tmpl w:val="6E58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5D06CB"/>
    <w:multiLevelType w:val="hybridMultilevel"/>
    <w:tmpl w:val="8C204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7522A5"/>
    <w:multiLevelType w:val="multilevel"/>
    <w:tmpl w:val="99B2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D17FF9"/>
    <w:multiLevelType w:val="hybridMultilevel"/>
    <w:tmpl w:val="571EA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3A0CF2"/>
    <w:multiLevelType w:val="hybridMultilevel"/>
    <w:tmpl w:val="72EAE4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66BE5A86"/>
    <w:multiLevelType w:val="multilevel"/>
    <w:tmpl w:val="0A66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6C2AF9"/>
    <w:multiLevelType w:val="multilevel"/>
    <w:tmpl w:val="7596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6D1CB8"/>
    <w:multiLevelType w:val="hybridMultilevel"/>
    <w:tmpl w:val="61FEE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812DDE"/>
    <w:multiLevelType w:val="multilevel"/>
    <w:tmpl w:val="98A2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E15486"/>
    <w:multiLevelType w:val="hybridMultilevel"/>
    <w:tmpl w:val="3D4C1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B459A0"/>
    <w:multiLevelType w:val="multilevel"/>
    <w:tmpl w:val="48FE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241208"/>
    <w:multiLevelType w:val="multilevel"/>
    <w:tmpl w:val="CCAE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185E8C"/>
    <w:multiLevelType w:val="multilevel"/>
    <w:tmpl w:val="ECBE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626123"/>
    <w:multiLevelType w:val="hybridMultilevel"/>
    <w:tmpl w:val="B52AB1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D6A2998"/>
    <w:multiLevelType w:val="multilevel"/>
    <w:tmpl w:val="D3526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359306">
    <w:abstractNumId w:val="23"/>
  </w:num>
  <w:num w:numId="2" w16cid:durableId="181364630">
    <w:abstractNumId w:val="10"/>
  </w:num>
  <w:num w:numId="3" w16cid:durableId="698436518">
    <w:abstractNumId w:val="21"/>
  </w:num>
  <w:num w:numId="4" w16cid:durableId="638077827">
    <w:abstractNumId w:val="26"/>
  </w:num>
  <w:num w:numId="5" w16cid:durableId="946276781">
    <w:abstractNumId w:val="22"/>
  </w:num>
  <w:num w:numId="6" w16cid:durableId="1823230027">
    <w:abstractNumId w:val="7"/>
  </w:num>
  <w:num w:numId="7" w16cid:durableId="2030791122">
    <w:abstractNumId w:val="33"/>
  </w:num>
  <w:num w:numId="8" w16cid:durableId="362831294">
    <w:abstractNumId w:val="0"/>
  </w:num>
  <w:num w:numId="9" w16cid:durableId="1543135135">
    <w:abstractNumId w:val="9"/>
  </w:num>
  <w:num w:numId="10" w16cid:durableId="1937325995">
    <w:abstractNumId w:val="18"/>
  </w:num>
  <w:num w:numId="11" w16cid:durableId="2063746329">
    <w:abstractNumId w:val="4"/>
  </w:num>
  <w:num w:numId="12" w16cid:durableId="35786438">
    <w:abstractNumId w:val="24"/>
  </w:num>
  <w:num w:numId="13" w16cid:durableId="2138375369">
    <w:abstractNumId w:val="20"/>
  </w:num>
  <w:num w:numId="14" w16cid:durableId="768160219">
    <w:abstractNumId w:val="19"/>
  </w:num>
  <w:num w:numId="15" w16cid:durableId="2001537065">
    <w:abstractNumId w:val="14"/>
  </w:num>
  <w:num w:numId="16" w16cid:durableId="990871502">
    <w:abstractNumId w:val="17"/>
  </w:num>
  <w:num w:numId="17" w16cid:durableId="1172724153">
    <w:abstractNumId w:val="30"/>
  </w:num>
  <w:num w:numId="18" w16cid:durableId="1854756093">
    <w:abstractNumId w:val="8"/>
  </w:num>
  <w:num w:numId="19" w16cid:durableId="1925414532">
    <w:abstractNumId w:val="29"/>
  </w:num>
  <w:num w:numId="20" w16cid:durableId="1222327023">
    <w:abstractNumId w:val="13"/>
  </w:num>
  <w:num w:numId="21" w16cid:durableId="1555970086">
    <w:abstractNumId w:val="15"/>
  </w:num>
  <w:num w:numId="22" w16cid:durableId="2143380403">
    <w:abstractNumId w:val="3"/>
  </w:num>
  <w:num w:numId="23" w16cid:durableId="1365984771">
    <w:abstractNumId w:val="31"/>
  </w:num>
  <w:num w:numId="24" w16cid:durableId="1665939821">
    <w:abstractNumId w:val="28"/>
  </w:num>
  <w:num w:numId="25" w16cid:durableId="915166517">
    <w:abstractNumId w:val="6"/>
  </w:num>
  <w:num w:numId="26" w16cid:durableId="999231408">
    <w:abstractNumId w:val="34"/>
  </w:num>
  <w:num w:numId="27" w16cid:durableId="2142459428">
    <w:abstractNumId w:val="11"/>
  </w:num>
  <w:num w:numId="28" w16cid:durableId="57899508">
    <w:abstractNumId w:val="32"/>
  </w:num>
  <w:num w:numId="29" w16cid:durableId="122775491">
    <w:abstractNumId w:val="25"/>
  </w:num>
  <w:num w:numId="30" w16cid:durableId="629366106">
    <w:abstractNumId w:val="1"/>
  </w:num>
  <w:num w:numId="31" w16cid:durableId="275020796">
    <w:abstractNumId w:val="2"/>
  </w:num>
  <w:num w:numId="32" w16cid:durableId="303630090">
    <w:abstractNumId w:val="16"/>
  </w:num>
  <w:num w:numId="33" w16cid:durableId="724991023">
    <w:abstractNumId w:val="27"/>
  </w:num>
  <w:num w:numId="34" w16cid:durableId="772482457">
    <w:abstractNumId w:val="12"/>
  </w:num>
  <w:num w:numId="35" w16cid:durableId="123990570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29F"/>
    <w:rsid w:val="0000009B"/>
    <w:rsid w:val="00000C79"/>
    <w:rsid w:val="000013D9"/>
    <w:rsid w:val="00002743"/>
    <w:rsid w:val="00003372"/>
    <w:rsid w:val="000054B2"/>
    <w:rsid w:val="0000762D"/>
    <w:rsid w:val="0000798E"/>
    <w:rsid w:val="00010766"/>
    <w:rsid w:val="00012F05"/>
    <w:rsid w:val="00015185"/>
    <w:rsid w:val="00021F0B"/>
    <w:rsid w:val="00022B10"/>
    <w:rsid w:val="000242B2"/>
    <w:rsid w:val="000251B9"/>
    <w:rsid w:val="000256A3"/>
    <w:rsid w:val="000264C1"/>
    <w:rsid w:val="00027B93"/>
    <w:rsid w:val="00030036"/>
    <w:rsid w:val="000336F3"/>
    <w:rsid w:val="00033FA6"/>
    <w:rsid w:val="000370F9"/>
    <w:rsid w:val="00043B2C"/>
    <w:rsid w:val="00043CA1"/>
    <w:rsid w:val="00045490"/>
    <w:rsid w:val="000503B4"/>
    <w:rsid w:val="00051F4E"/>
    <w:rsid w:val="000532F6"/>
    <w:rsid w:val="00054118"/>
    <w:rsid w:val="000541B4"/>
    <w:rsid w:val="00056A10"/>
    <w:rsid w:val="00056A2E"/>
    <w:rsid w:val="000571AB"/>
    <w:rsid w:val="00057A7D"/>
    <w:rsid w:val="00060CD9"/>
    <w:rsid w:val="00061A6A"/>
    <w:rsid w:val="00061B42"/>
    <w:rsid w:val="0006399A"/>
    <w:rsid w:val="00064468"/>
    <w:rsid w:val="00064C84"/>
    <w:rsid w:val="000710CD"/>
    <w:rsid w:val="0007254B"/>
    <w:rsid w:val="00072B56"/>
    <w:rsid w:val="00073212"/>
    <w:rsid w:val="00073D5E"/>
    <w:rsid w:val="00074BC5"/>
    <w:rsid w:val="00076FAB"/>
    <w:rsid w:val="0007799F"/>
    <w:rsid w:val="00080C7D"/>
    <w:rsid w:val="0008348C"/>
    <w:rsid w:val="000835AD"/>
    <w:rsid w:val="00085B9F"/>
    <w:rsid w:val="000873E9"/>
    <w:rsid w:val="0008744B"/>
    <w:rsid w:val="000922B9"/>
    <w:rsid w:val="00092F02"/>
    <w:rsid w:val="00093D74"/>
    <w:rsid w:val="0009486D"/>
    <w:rsid w:val="00094BB8"/>
    <w:rsid w:val="00096E10"/>
    <w:rsid w:val="00097420"/>
    <w:rsid w:val="00097869"/>
    <w:rsid w:val="00097D85"/>
    <w:rsid w:val="000A0524"/>
    <w:rsid w:val="000A0CEF"/>
    <w:rsid w:val="000A11EE"/>
    <w:rsid w:val="000A1C66"/>
    <w:rsid w:val="000A34E2"/>
    <w:rsid w:val="000A4393"/>
    <w:rsid w:val="000A5277"/>
    <w:rsid w:val="000A54A2"/>
    <w:rsid w:val="000A5575"/>
    <w:rsid w:val="000A64EF"/>
    <w:rsid w:val="000A6ABD"/>
    <w:rsid w:val="000A6ADB"/>
    <w:rsid w:val="000A6DBC"/>
    <w:rsid w:val="000A75C8"/>
    <w:rsid w:val="000A7BCE"/>
    <w:rsid w:val="000B009B"/>
    <w:rsid w:val="000B0965"/>
    <w:rsid w:val="000B10C3"/>
    <w:rsid w:val="000B1B80"/>
    <w:rsid w:val="000C5889"/>
    <w:rsid w:val="000C6BC0"/>
    <w:rsid w:val="000D0609"/>
    <w:rsid w:val="000D11DB"/>
    <w:rsid w:val="000D39F5"/>
    <w:rsid w:val="000E1278"/>
    <w:rsid w:val="000E129F"/>
    <w:rsid w:val="000F0045"/>
    <w:rsid w:val="000F040E"/>
    <w:rsid w:val="000F0BC5"/>
    <w:rsid w:val="000F0E67"/>
    <w:rsid w:val="000F1755"/>
    <w:rsid w:val="000F35FC"/>
    <w:rsid w:val="000F3C8C"/>
    <w:rsid w:val="000F4DD4"/>
    <w:rsid w:val="000F5739"/>
    <w:rsid w:val="000F5CCE"/>
    <w:rsid w:val="001006CF"/>
    <w:rsid w:val="00102ECC"/>
    <w:rsid w:val="001052D0"/>
    <w:rsid w:val="0010594F"/>
    <w:rsid w:val="00105BCB"/>
    <w:rsid w:val="00107FDE"/>
    <w:rsid w:val="001105EC"/>
    <w:rsid w:val="00111840"/>
    <w:rsid w:val="0011274E"/>
    <w:rsid w:val="00114894"/>
    <w:rsid w:val="00114EC1"/>
    <w:rsid w:val="00121CC4"/>
    <w:rsid w:val="00121D24"/>
    <w:rsid w:val="00123125"/>
    <w:rsid w:val="00130CEF"/>
    <w:rsid w:val="00130FD4"/>
    <w:rsid w:val="00131446"/>
    <w:rsid w:val="00132272"/>
    <w:rsid w:val="00132789"/>
    <w:rsid w:val="001331B0"/>
    <w:rsid w:val="00142ED9"/>
    <w:rsid w:val="0014352D"/>
    <w:rsid w:val="0014391A"/>
    <w:rsid w:val="00144EAB"/>
    <w:rsid w:val="00145798"/>
    <w:rsid w:val="00147166"/>
    <w:rsid w:val="00147569"/>
    <w:rsid w:val="001529C3"/>
    <w:rsid w:val="00152F89"/>
    <w:rsid w:val="00153C4B"/>
    <w:rsid w:val="00154E1F"/>
    <w:rsid w:val="00155B67"/>
    <w:rsid w:val="00156992"/>
    <w:rsid w:val="0015795E"/>
    <w:rsid w:val="00157F9B"/>
    <w:rsid w:val="00163D5C"/>
    <w:rsid w:val="00164FED"/>
    <w:rsid w:val="00167E2B"/>
    <w:rsid w:val="00167F3C"/>
    <w:rsid w:val="00171AAD"/>
    <w:rsid w:val="00171F69"/>
    <w:rsid w:val="0017216B"/>
    <w:rsid w:val="001767EB"/>
    <w:rsid w:val="00181D81"/>
    <w:rsid w:val="0018224E"/>
    <w:rsid w:val="00184E6A"/>
    <w:rsid w:val="0018673F"/>
    <w:rsid w:val="0019193C"/>
    <w:rsid w:val="00192181"/>
    <w:rsid w:val="00196C55"/>
    <w:rsid w:val="00197830"/>
    <w:rsid w:val="0019790C"/>
    <w:rsid w:val="00197DF6"/>
    <w:rsid w:val="001A0F2C"/>
    <w:rsid w:val="001A355B"/>
    <w:rsid w:val="001A3C74"/>
    <w:rsid w:val="001A47AD"/>
    <w:rsid w:val="001A5F28"/>
    <w:rsid w:val="001A7A6A"/>
    <w:rsid w:val="001B1148"/>
    <w:rsid w:val="001B2628"/>
    <w:rsid w:val="001B2C08"/>
    <w:rsid w:val="001B358D"/>
    <w:rsid w:val="001B4A07"/>
    <w:rsid w:val="001B6348"/>
    <w:rsid w:val="001B63EF"/>
    <w:rsid w:val="001B643E"/>
    <w:rsid w:val="001B788C"/>
    <w:rsid w:val="001B7A81"/>
    <w:rsid w:val="001C0D22"/>
    <w:rsid w:val="001C173A"/>
    <w:rsid w:val="001C17D1"/>
    <w:rsid w:val="001C1A62"/>
    <w:rsid w:val="001C25B1"/>
    <w:rsid w:val="001C7E7A"/>
    <w:rsid w:val="001D0FA7"/>
    <w:rsid w:val="001D1D2D"/>
    <w:rsid w:val="001D3279"/>
    <w:rsid w:val="001D3CFC"/>
    <w:rsid w:val="001D4947"/>
    <w:rsid w:val="001D5C1E"/>
    <w:rsid w:val="001D5D30"/>
    <w:rsid w:val="001D63B0"/>
    <w:rsid w:val="001D63D0"/>
    <w:rsid w:val="001D6C1A"/>
    <w:rsid w:val="001D70D0"/>
    <w:rsid w:val="001D72B9"/>
    <w:rsid w:val="001E188D"/>
    <w:rsid w:val="001E41EF"/>
    <w:rsid w:val="001E59BE"/>
    <w:rsid w:val="001E5C72"/>
    <w:rsid w:val="001F0769"/>
    <w:rsid w:val="001F3270"/>
    <w:rsid w:val="001F5589"/>
    <w:rsid w:val="001F6F20"/>
    <w:rsid w:val="00203F98"/>
    <w:rsid w:val="002060CC"/>
    <w:rsid w:val="0020712D"/>
    <w:rsid w:val="0020778D"/>
    <w:rsid w:val="00212DB4"/>
    <w:rsid w:val="00213151"/>
    <w:rsid w:val="002140F0"/>
    <w:rsid w:val="00214185"/>
    <w:rsid w:val="0021604F"/>
    <w:rsid w:val="00221792"/>
    <w:rsid w:val="00227AE1"/>
    <w:rsid w:val="002338F9"/>
    <w:rsid w:val="00234BED"/>
    <w:rsid w:val="00234D34"/>
    <w:rsid w:val="002355DF"/>
    <w:rsid w:val="0023590D"/>
    <w:rsid w:val="002368B3"/>
    <w:rsid w:val="002378E9"/>
    <w:rsid w:val="00237BC5"/>
    <w:rsid w:val="00241E5F"/>
    <w:rsid w:val="00242425"/>
    <w:rsid w:val="00244D95"/>
    <w:rsid w:val="002457F9"/>
    <w:rsid w:val="00246817"/>
    <w:rsid w:val="00246DED"/>
    <w:rsid w:val="00247203"/>
    <w:rsid w:val="002536D4"/>
    <w:rsid w:val="00254AAB"/>
    <w:rsid w:val="002553C9"/>
    <w:rsid w:val="00260766"/>
    <w:rsid w:val="00260ACE"/>
    <w:rsid w:val="00263513"/>
    <w:rsid w:val="002647B6"/>
    <w:rsid w:val="00266F78"/>
    <w:rsid w:val="0027224F"/>
    <w:rsid w:val="002742C1"/>
    <w:rsid w:val="00274504"/>
    <w:rsid w:val="00274A05"/>
    <w:rsid w:val="002750E9"/>
    <w:rsid w:val="002758CF"/>
    <w:rsid w:val="002760F7"/>
    <w:rsid w:val="002778E0"/>
    <w:rsid w:val="00277963"/>
    <w:rsid w:val="00282C5C"/>
    <w:rsid w:val="00285D77"/>
    <w:rsid w:val="00287ED8"/>
    <w:rsid w:val="00290ECD"/>
    <w:rsid w:val="002938C6"/>
    <w:rsid w:val="002949D5"/>
    <w:rsid w:val="002955AB"/>
    <w:rsid w:val="00295F45"/>
    <w:rsid w:val="002969B8"/>
    <w:rsid w:val="002A0269"/>
    <w:rsid w:val="002A02AA"/>
    <w:rsid w:val="002A07C2"/>
    <w:rsid w:val="002A0952"/>
    <w:rsid w:val="002A3E55"/>
    <w:rsid w:val="002A402C"/>
    <w:rsid w:val="002A4F35"/>
    <w:rsid w:val="002A6BD9"/>
    <w:rsid w:val="002B1D40"/>
    <w:rsid w:val="002B21D7"/>
    <w:rsid w:val="002B22BD"/>
    <w:rsid w:val="002B2FAB"/>
    <w:rsid w:val="002B5A23"/>
    <w:rsid w:val="002B5CD7"/>
    <w:rsid w:val="002C00EB"/>
    <w:rsid w:val="002C1E88"/>
    <w:rsid w:val="002C46E1"/>
    <w:rsid w:val="002C721E"/>
    <w:rsid w:val="002D13CC"/>
    <w:rsid w:val="002D17E3"/>
    <w:rsid w:val="002D78A6"/>
    <w:rsid w:val="002E1880"/>
    <w:rsid w:val="002E1929"/>
    <w:rsid w:val="002E25D7"/>
    <w:rsid w:val="002E3EC0"/>
    <w:rsid w:val="002E4939"/>
    <w:rsid w:val="002E4B84"/>
    <w:rsid w:val="002F13BB"/>
    <w:rsid w:val="002F1D7C"/>
    <w:rsid w:val="002F2EF4"/>
    <w:rsid w:val="002F3107"/>
    <w:rsid w:val="002F3930"/>
    <w:rsid w:val="00300035"/>
    <w:rsid w:val="00304436"/>
    <w:rsid w:val="003057FA"/>
    <w:rsid w:val="00306280"/>
    <w:rsid w:val="00306EDC"/>
    <w:rsid w:val="003070F8"/>
    <w:rsid w:val="00310674"/>
    <w:rsid w:val="00310A32"/>
    <w:rsid w:val="00310DFD"/>
    <w:rsid w:val="00314810"/>
    <w:rsid w:val="00315BF7"/>
    <w:rsid w:val="00315CFD"/>
    <w:rsid w:val="003167D4"/>
    <w:rsid w:val="0032064D"/>
    <w:rsid w:val="00320EC5"/>
    <w:rsid w:val="003217D5"/>
    <w:rsid w:val="00321EB0"/>
    <w:rsid w:val="00324CC9"/>
    <w:rsid w:val="003260F8"/>
    <w:rsid w:val="00330081"/>
    <w:rsid w:val="00330BE0"/>
    <w:rsid w:val="00334176"/>
    <w:rsid w:val="00334DC9"/>
    <w:rsid w:val="00336B60"/>
    <w:rsid w:val="0034101C"/>
    <w:rsid w:val="00343375"/>
    <w:rsid w:val="00343893"/>
    <w:rsid w:val="00347D02"/>
    <w:rsid w:val="003502DD"/>
    <w:rsid w:val="0035456C"/>
    <w:rsid w:val="003550F5"/>
    <w:rsid w:val="003608EB"/>
    <w:rsid w:val="00362AA8"/>
    <w:rsid w:val="00362B1E"/>
    <w:rsid w:val="00367106"/>
    <w:rsid w:val="00371BC5"/>
    <w:rsid w:val="00371D6C"/>
    <w:rsid w:val="0037591C"/>
    <w:rsid w:val="00380E41"/>
    <w:rsid w:val="00382EE9"/>
    <w:rsid w:val="0038347A"/>
    <w:rsid w:val="0038494B"/>
    <w:rsid w:val="0038599B"/>
    <w:rsid w:val="00385AC0"/>
    <w:rsid w:val="00393A1B"/>
    <w:rsid w:val="00393BB8"/>
    <w:rsid w:val="00395311"/>
    <w:rsid w:val="0039665E"/>
    <w:rsid w:val="00397B57"/>
    <w:rsid w:val="003A0A22"/>
    <w:rsid w:val="003A4974"/>
    <w:rsid w:val="003A6150"/>
    <w:rsid w:val="003A6CCD"/>
    <w:rsid w:val="003A776C"/>
    <w:rsid w:val="003B017F"/>
    <w:rsid w:val="003B1475"/>
    <w:rsid w:val="003B221A"/>
    <w:rsid w:val="003B3468"/>
    <w:rsid w:val="003B5500"/>
    <w:rsid w:val="003B567D"/>
    <w:rsid w:val="003B7402"/>
    <w:rsid w:val="003C0956"/>
    <w:rsid w:val="003C5A6A"/>
    <w:rsid w:val="003C67F4"/>
    <w:rsid w:val="003C6ACD"/>
    <w:rsid w:val="003D1A45"/>
    <w:rsid w:val="003D4449"/>
    <w:rsid w:val="003D6699"/>
    <w:rsid w:val="003D6F00"/>
    <w:rsid w:val="003E0D6D"/>
    <w:rsid w:val="003E1A66"/>
    <w:rsid w:val="003E27BB"/>
    <w:rsid w:val="003E572C"/>
    <w:rsid w:val="003E6BD3"/>
    <w:rsid w:val="003F0E22"/>
    <w:rsid w:val="003F16D2"/>
    <w:rsid w:val="003F2DA7"/>
    <w:rsid w:val="003F365F"/>
    <w:rsid w:val="003F3B4E"/>
    <w:rsid w:val="00400D60"/>
    <w:rsid w:val="00405FC5"/>
    <w:rsid w:val="004079AC"/>
    <w:rsid w:val="00413B0F"/>
    <w:rsid w:val="00414400"/>
    <w:rsid w:val="004148AE"/>
    <w:rsid w:val="00416454"/>
    <w:rsid w:val="00416FFC"/>
    <w:rsid w:val="0042025F"/>
    <w:rsid w:val="0042055F"/>
    <w:rsid w:val="004205FC"/>
    <w:rsid w:val="00427E2D"/>
    <w:rsid w:val="00430C1A"/>
    <w:rsid w:val="0043171D"/>
    <w:rsid w:val="00432307"/>
    <w:rsid w:val="00432685"/>
    <w:rsid w:val="00434BF7"/>
    <w:rsid w:val="00434FBF"/>
    <w:rsid w:val="0043739B"/>
    <w:rsid w:val="00437676"/>
    <w:rsid w:val="004404F9"/>
    <w:rsid w:val="00441EE5"/>
    <w:rsid w:val="00442C0A"/>
    <w:rsid w:val="004477A4"/>
    <w:rsid w:val="00456C3C"/>
    <w:rsid w:val="00457892"/>
    <w:rsid w:val="0046298C"/>
    <w:rsid w:val="0046546A"/>
    <w:rsid w:val="00465768"/>
    <w:rsid w:val="0046608C"/>
    <w:rsid w:val="00466AF1"/>
    <w:rsid w:val="00467920"/>
    <w:rsid w:val="00473458"/>
    <w:rsid w:val="0047535F"/>
    <w:rsid w:val="0047592F"/>
    <w:rsid w:val="00487EE8"/>
    <w:rsid w:val="00490304"/>
    <w:rsid w:val="00490BE5"/>
    <w:rsid w:val="00491E83"/>
    <w:rsid w:val="00492030"/>
    <w:rsid w:val="004924C9"/>
    <w:rsid w:val="004936AE"/>
    <w:rsid w:val="004946CB"/>
    <w:rsid w:val="0049690B"/>
    <w:rsid w:val="00497BED"/>
    <w:rsid w:val="00497E23"/>
    <w:rsid w:val="004A28A5"/>
    <w:rsid w:val="004A667B"/>
    <w:rsid w:val="004A6E7B"/>
    <w:rsid w:val="004A7021"/>
    <w:rsid w:val="004B0682"/>
    <w:rsid w:val="004B22A8"/>
    <w:rsid w:val="004B2697"/>
    <w:rsid w:val="004B41DE"/>
    <w:rsid w:val="004B4C4C"/>
    <w:rsid w:val="004B518E"/>
    <w:rsid w:val="004B7252"/>
    <w:rsid w:val="004C32D7"/>
    <w:rsid w:val="004C3E86"/>
    <w:rsid w:val="004C3EF5"/>
    <w:rsid w:val="004C53A1"/>
    <w:rsid w:val="004C66CE"/>
    <w:rsid w:val="004C7B33"/>
    <w:rsid w:val="004D16EC"/>
    <w:rsid w:val="004D238B"/>
    <w:rsid w:val="004D53C3"/>
    <w:rsid w:val="004D5440"/>
    <w:rsid w:val="004E1ACD"/>
    <w:rsid w:val="004E1E02"/>
    <w:rsid w:val="004E3551"/>
    <w:rsid w:val="004E3C48"/>
    <w:rsid w:val="004E41DB"/>
    <w:rsid w:val="004E45DE"/>
    <w:rsid w:val="004F4C4D"/>
    <w:rsid w:val="004F5BE4"/>
    <w:rsid w:val="00500DB1"/>
    <w:rsid w:val="00501DFF"/>
    <w:rsid w:val="00505F1B"/>
    <w:rsid w:val="005108F3"/>
    <w:rsid w:val="00515616"/>
    <w:rsid w:val="00515A57"/>
    <w:rsid w:val="00522226"/>
    <w:rsid w:val="00522ED2"/>
    <w:rsid w:val="005249E1"/>
    <w:rsid w:val="00526C1D"/>
    <w:rsid w:val="00526C40"/>
    <w:rsid w:val="0053116B"/>
    <w:rsid w:val="0053568C"/>
    <w:rsid w:val="00542D61"/>
    <w:rsid w:val="00543633"/>
    <w:rsid w:val="00544807"/>
    <w:rsid w:val="00544929"/>
    <w:rsid w:val="00544F72"/>
    <w:rsid w:val="0054684E"/>
    <w:rsid w:val="00547B12"/>
    <w:rsid w:val="00550892"/>
    <w:rsid w:val="00551F96"/>
    <w:rsid w:val="00552A83"/>
    <w:rsid w:val="00553EA2"/>
    <w:rsid w:val="00553F2C"/>
    <w:rsid w:val="00554F1F"/>
    <w:rsid w:val="005574D5"/>
    <w:rsid w:val="00561711"/>
    <w:rsid w:val="005639A4"/>
    <w:rsid w:val="00564985"/>
    <w:rsid w:val="00565968"/>
    <w:rsid w:val="0056684C"/>
    <w:rsid w:val="00566D4F"/>
    <w:rsid w:val="00566F6C"/>
    <w:rsid w:val="005674EB"/>
    <w:rsid w:val="00571255"/>
    <w:rsid w:val="00571A98"/>
    <w:rsid w:val="00572018"/>
    <w:rsid w:val="005720A9"/>
    <w:rsid w:val="005729D8"/>
    <w:rsid w:val="0057360C"/>
    <w:rsid w:val="005746E2"/>
    <w:rsid w:val="00580712"/>
    <w:rsid w:val="00580974"/>
    <w:rsid w:val="00581034"/>
    <w:rsid w:val="0058769B"/>
    <w:rsid w:val="00590BD2"/>
    <w:rsid w:val="00591018"/>
    <w:rsid w:val="0059257C"/>
    <w:rsid w:val="00592D9C"/>
    <w:rsid w:val="00592E5D"/>
    <w:rsid w:val="005A236A"/>
    <w:rsid w:val="005B0991"/>
    <w:rsid w:val="005B0F54"/>
    <w:rsid w:val="005B1F4C"/>
    <w:rsid w:val="005B263A"/>
    <w:rsid w:val="005B28FC"/>
    <w:rsid w:val="005B2D22"/>
    <w:rsid w:val="005B7BA5"/>
    <w:rsid w:val="005C2D97"/>
    <w:rsid w:val="005C4F6D"/>
    <w:rsid w:val="005D2D63"/>
    <w:rsid w:val="005D4201"/>
    <w:rsid w:val="005D779D"/>
    <w:rsid w:val="005E09D6"/>
    <w:rsid w:val="005E3301"/>
    <w:rsid w:val="005E547F"/>
    <w:rsid w:val="005E77E0"/>
    <w:rsid w:val="005E7C39"/>
    <w:rsid w:val="005F166E"/>
    <w:rsid w:val="005F1A64"/>
    <w:rsid w:val="005F2819"/>
    <w:rsid w:val="005F3609"/>
    <w:rsid w:val="005F6F56"/>
    <w:rsid w:val="00600B05"/>
    <w:rsid w:val="0060164C"/>
    <w:rsid w:val="006068C8"/>
    <w:rsid w:val="006108E9"/>
    <w:rsid w:val="0061242A"/>
    <w:rsid w:val="00612831"/>
    <w:rsid w:val="006137A8"/>
    <w:rsid w:val="0061382A"/>
    <w:rsid w:val="00613882"/>
    <w:rsid w:val="00613DD0"/>
    <w:rsid w:val="00614030"/>
    <w:rsid w:val="00614EE3"/>
    <w:rsid w:val="00616DF6"/>
    <w:rsid w:val="00620BBC"/>
    <w:rsid w:val="00620BE9"/>
    <w:rsid w:val="006214BC"/>
    <w:rsid w:val="006221C9"/>
    <w:rsid w:val="00622977"/>
    <w:rsid w:val="0062380F"/>
    <w:rsid w:val="00623E15"/>
    <w:rsid w:val="006244BD"/>
    <w:rsid w:val="006249B3"/>
    <w:rsid w:val="00624C1B"/>
    <w:rsid w:val="00625120"/>
    <w:rsid w:val="00625896"/>
    <w:rsid w:val="00630AAD"/>
    <w:rsid w:val="00635485"/>
    <w:rsid w:val="006358C6"/>
    <w:rsid w:val="00636898"/>
    <w:rsid w:val="00637B88"/>
    <w:rsid w:val="00642363"/>
    <w:rsid w:val="00642BAF"/>
    <w:rsid w:val="00642ECE"/>
    <w:rsid w:val="006442AD"/>
    <w:rsid w:val="0064759E"/>
    <w:rsid w:val="0065011F"/>
    <w:rsid w:val="006504F7"/>
    <w:rsid w:val="0065171D"/>
    <w:rsid w:val="00651844"/>
    <w:rsid w:val="00654D5D"/>
    <w:rsid w:val="0065517C"/>
    <w:rsid w:val="00655912"/>
    <w:rsid w:val="0065662E"/>
    <w:rsid w:val="0066014E"/>
    <w:rsid w:val="0066351D"/>
    <w:rsid w:val="00665EDE"/>
    <w:rsid w:val="0066788B"/>
    <w:rsid w:val="00667EBB"/>
    <w:rsid w:val="006718FF"/>
    <w:rsid w:val="00672463"/>
    <w:rsid w:val="00672A16"/>
    <w:rsid w:val="00673097"/>
    <w:rsid w:val="00673D3B"/>
    <w:rsid w:val="00674984"/>
    <w:rsid w:val="00674BDE"/>
    <w:rsid w:val="00675B30"/>
    <w:rsid w:val="00675CA9"/>
    <w:rsid w:val="00677E5D"/>
    <w:rsid w:val="006809AE"/>
    <w:rsid w:val="00681228"/>
    <w:rsid w:val="00681D7D"/>
    <w:rsid w:val="006829F2"/>
    <w:rsid w:val="00686F3A"/>
    <w:rsid w:val="0068769B"/>
    <w:rsid w:val="00694E4A"/>
    <w:rsid w:val="00695D86"/>
    <w:rsid w:val="006A768E"/>
    <w:rsid w:val="006B007E"/>
    <w:rsid w:val="006B025D"/>
    <w:rsid w:val="006B1BBA"/>
    <w:rsid w:val="006B4F94"/>
    <w:rsid w:val="006B6B3D"/>
    <w:rsid w:val="006C0614"/>
    <w:rsid w:val="006C1F15"/>
    <w:rsid w:val="006C2298"/>
    <w:rsid w:val="006C2F83"/>
    <w:rsid w:val="006C49B2"/>
    <w:rsid w:val="006C63EF"/>
    <w:rsid w:val="006C77AE"/>
    <w:rsid w:val="006D06C1"/>
    <w:rsid w:val="006D0B28"/>
    <w:rsid w:val="006D0BA4"/>
    <w:rsid w:val="006D1B02"/>
    <w:rsid w:val="006D1BCF"/>
    <w:rsid w:val="006D58ED"/>
    <w:rsid w:val="006E1795"/>
    <w:rsid w:val="006E3DA5"/>
    <w:rsid w:val="006E46F6"/>
    <w:rsid w:val="006E4B92"/>
    <w:rsid w:val="006E50BC"/>
    <w:rsid w:val="006E6FD8"/>
    <w:rsid w:val="006E77E5"/>
    <w:rsid w:val="006E7A88"/>
    <w:rsid w:val="006F0102"/>
    <w:rsid w:val="006F0348"/>
    <w:rsid w:val="006F0D09"/>
    <w:rsid w:val="006F4180"/>
    <w:rsid w:val="006F4789"/>
    <w:rsid w:val="006F6622"/>
    <w:rsid w:val="0070178C"/>
    <w:rsid w:val="00702B9E"/>
    <w:rsid w:val="007033E4"/>
    <w:rsid w:val="007042F1"/>
    <w:rsid w:val="007047C8"/>
    <w:rsid w:val="00705A9F"/>
    <w:rsid w:val="00707ECA"/>
    <w:rsid w:val="00711F84"/>
    <w:rsid w:val="00711FB1"/>
    <w:rsid w:val="0071455C"/>
    <w:rsid w:val="00715B2E"/>
    <w:rsid w:val="00717DA3"/>
    <w:rsid w:val="007203EC"/>
    <w:rsid w:val="00722E75"/>
    <w:rsid w:val="00723CF5"/>
    <w:rsid w:val="007243BD"/>
    <w:rsid w:val="0072493A"/>
    <w:rsid w:val="00726714"/>
    <w:rsid w:val="00731EF3"/>
    <w:rsid w:val="007326FA"/>
    <w:rsid w:val="00732728"/>
    <w:rsid w:val="00733288"/>
    <w:rsid w:val="00734E9E"/>
    <w:rsid w:val="007377A2"/>
    <w:rsid w:val="00737959"/>
    <w:rsid w:val="007416AD"/>
    <w:rsid w:val="00744348"/>
    <w:rsid w:val="0074676C"/>
    <w:rsid w:val="007516D6"/>
    <w:rsid w:val="00755272"/>
    <w:rsid w:val="007563D4"/>
    <w:rsid w:val="007566DB"/>
    <w:rsid w:val="00763C6B"/>
    <w:rsid w:val="00765772"/>
    <w:rsid w:val="00765AD0"/>
    <w:rsid w:val="007705CC"/>
    <w:rsid w:val="007727BF"/>
    <w:rsid w:val="007736F0"/>
    <w:rsid w:val="007736FA"/>
    <w:rsid w:val="00773DF0"/>
    <w:rsid w:val="007747C4"/>
    <w:rsid w:val="00774D1B"/>
    <w:rsid w:val="00774EEE"/>
    <w:rsid w:val="00777AFF"/>
    <w:rsid w:val="00777E7B"/>
    <w:rsid w:val="00782335"/>
    <w:rsid w:val="00784A0F"/>
    <w:rsid w:val="00785CA1"/>
    <w:rsid w:val="00786124"/>
    <w:rsid w:val="0079346D"/>
    <w:rsid w:val="00793D8E"/>
    <w:rsid w:val="007941ED"/>
    <w:rsid w:val="00795AB9"/>
    <w:rsid w:val="007965C6"/>
    <w:rsid w:val="00796E2E"/>
    <w:rsid w:val="00797129"/>
    <w:rsid w:val="007A0683"/>
    <w:rsid w:val="007A4F65"/>
    <w:rsid w:val="007A6184"/>
    <w:rsid w:val="007A66BD"/>
    <w:rsid w:val="007A75F2"/>
    <w:rsid w:val="007A7F35"/>
    <w:rsid w:val="007B5E84"/>
    <w:rsid w:val="007B6033"/>
    <w:rsid w:val="007C34A2"/>
    <w:rsid w:val="007C72C0"/>
    <w:rsid w:val="007D0336"/>
    <w:rsid w:val="007D0D51"/>
    <w:rsid w:val="007D1038"/>
    <w:rsid w:val="007D285D"/>
    <w:rsid w:val="007D2A07"/>
    <w:rsid w:val="007D4A43"/>
    <w:rsid w:val="007D5808"/>
    <w:rsid w:val="007D78C1"/>
    <w:rsid w:val="007E025F"/>
    <w:rsid w:val="007E0428"/>
    <w:rsid w:val="007E0A25"/>
    <w:rsid w:val="007E2D34"/>
    <w:rsid w:val="007E45E3"/>
    <w:rsid w:val="007F147B"/>
    <w:rsid w:val="007F18FA"/>
    <w:rsid w:val="007F43B1"/>
    <w:rsid w:val="007F590D"/>
    <w:rsid w:val="007F5B58"/>
    <w:rsid w:val="007F6509"/>
    <w:rsid w:val="007F6CA0"/>
    <w:rsid w:val="007F6F78"/>
    <w:rsid w:val="008009BF"/>
    <w:rsid w:val="00800E7C"/>
    <w:rsid w:val="00803557"/>
    <w:rsid w:val="00803A60"/>
    <w:rsid w:val="0080573F"/>
    <w:rsid w:val="008073F3"/>
    <w:rsid w:val="008123F4"/>
    <w:rsid w:val="008129BC"/>
    <w:rsid w:val="008132AA"/>
    <w:rsid w:val="00815556"/>
    <w:rsid w:val="00816CC9"/>
    <w:rsid w:val="00817488"/>
    <w:rsid w:val="00817A0E"/>
    <w:rsid w:val="00823F28"/>
    <w:rsid w:val="00824EEB"/>
    <w:rsid w:val="0082558E"/>
    <w:rsid w:val="00831B8D"/>
    <w:rsid w:val="00831C40"/>
    <w:rsid w:val="0083323E"/>
    <w:rsid w:val="00833B5B"/>
    <w:rsid w:val="00833F09"/>
    <w:rsid w:val="00840742"/>
    <w:rsid w:val="00844D1E"/>
    <w:rsid w:val="008514AF"/>
    <w:rsid w:val="008527A4"/>
    <w:rsid w:val="00853A5E"/>
    <w:rsid w:val="00860478"/>
    <w:rsid w:val="00860624"/>
    <w:rsid w:val="008630DF"/>
    <w:rsid w:val="008647AB"/>
    <w:rsid w:val="008650C9"/>
    <w:rsid w:val="00866263"/>
    <w:rsid w:val="00872927"/>
    <w:rsid w:val="00873681"/>
    <w:rsid w:val="00874136"/>
    <w:rsid w:val="00875500"/>
    <w:rsid w:val="00875524"/>
    <w:rsid w:val="00875952"/>
    <w:rsid w:val="00876507"/>
    <w:rsid w:val="00877866"/>
    <w:rsid w:val="00880F99"/>
    <w:rsid w:val="00882179"/>
    <w:rsid w:val="00882C7C"/>
    <w:rsid w:val="00884163"/>
    <w:rsid w:val="00884A22"/>
    <w:rsid w:val="008853DB"/>
    <w:rsid w:val="00890593"/>
    <w:rsid w:val="00897928"/>
    <w:rsid w:val="0089798E"/>
    <w:rsid w:val="008A0F33"/>
    <w:rsid w:val="008A18C7"/>
    <w:rsid w:val="008A55FC"/>
    <w:rsid w:val="008B2D16"/>
    <w:rsid w:val="008B6B9A"/>
    <w:rsid w:val="008B705E"/>
    <w:rsid w:val="008B7566"/>
    <w:rsid w:val="008C0B64"/>
    <w:rsid w:val="008C490C"/>
    <w:rsid w:val="008C4954"/>
    <w:rsid w:val="008C6A60"/>
    <w:rsid w:val="008C7EBB"/>
    <w:rsid w:val="008D3E2E"/>
    <w:rsid w:val="008D492A"/>
    <w:rsid w:val="008D4FA6"/>
    <w:rsid w:val="008D5A30"/>
    <w:rsid w:val="008D6CE9"/>
    <w:rsid w:val="008E026E"/>
    <w:rsid w:val="008E77E8"/>
    <w:rsid w:val="008E7C30"/>
    <w:rsid w:val="008F009C"/>
    <w:rsid w:val="008F0716"/>
    <w:rsid w:val="008F2239"/>
    <w:rsid w:val="008F5039"/>
    <w:rsid w:val="008F5529"/>
    <w:rsid w:val="009001EE"/>
    <w:rsid w:val="00900D6B"/>
    <w:rsid w:val="00900FA9"/>
    <w:rsid w:val="009019F0"/>
    <w:rsid w:val="00901D68"/>
    <w:rsid w:val="00901E75"/>
    <w:rsid w:val="00902B8A"/>
    <w:rsid w:val="009048FB"/>
    <w:rsid w:val="00905909"/>
    <w:rsid w:val="00907B97"/>
    <w:rsid w:val="00910410"/>
    <w:rsid w:val="009114DA"/>
    <w:rsid w:val="0091256E"/>
    <w:rsid w:val="00912985"/>
    <w:rsid w:val="00916530"/>
    <w:rsid w:val="009208B6"/>
    <w:rsid w:val="00922381"/>
    <w:rsid w:val="009237DB"/>
    <w:rsid w:val="00924119"/>
    <w:rsid w:val="00925264"/>
    <w:rsid w:val="009276B7"/>
    <w:rsid w:val="00927E1E"/>
    <w:rsid w:val="009308D0"/>
    <w:rsid w:val="00933B2C"/>
    <w:rsid w:val="00935F24"/>
    <w:rsid w:val="009360E4"/>
    <w:rsid w:val="0093695E"/>
    <w:rsid w:val="0094002E"/>
    <w:rsid w:val="00940684"/>
    <w:rsid w:val="0094073D"/>
    <w:rsid w:val="00940D91"/>
    <w:rsid w:val="009415C6"/>
    <w:rsid w:val="00941F2A"/>
    <w:rsid w:val="0094226A"/>
    <w:rsid w:val="0094481C"/>
    <w:rsid w:val="00944C6C"/>
    <w:rsid w:val="009466D8"/>
    <w:rsid w:val="009514BD"/>
    <w:rsid w:val="0095254D"/>
    <w:rsid w:val="00952B0D"/>
    <w:rsid w:val="00953F7D"/>
    <w:rsid w:val="00960329"/>
    <w:rsid w:val="00961448"/>
    <w:rsid w:val="0096286D"/>
    <w:rsid w:val="00962CF5"/>
    <w:rsid w:val="00964FD2"/>
    <w:rsid w:val="00965140"/>
    <w:rsid w:val="00971C6D"/>
    <w:rsid w:val="009720E0"/>
    <w:rsid w:val="00972E38"/>
    <w:rsid w:val="009758C9"/>
    <w:rsid w:val="00975BA2"/>
    <w:rsid w:val="00976923"/>
    <w:rsid w:val="00976DCB"/>
    <w:rsid w:val="00976FE0"/>
    <w:rsid w:val="00977F3D"/>
    <w:rsid w:val="00980FDE"/>
    <w:rsid w:val="0098192A"/>
    <w:rsid w:val="009821D5"/>
    <w:rsid w:val="00984015"/>
    <w:rsid w:val="00984A3E"/>
    <w:rsid w:val="00985B07"/>
    <w:rsid w:val="00985BA6"/>
    <w:rsid w:val="00986A9A"/>
    <w:rsid w:val="00993EB1"/>
    <w:rsid w:val="009942B4"/>
    <w:rsid w:val="00996673"/>
    <w:rsid w:val="00996D4B"/>
    <w:rsid w:val="009A103E"/>
    <w:rsid w:val="009A111C"/>
    <w:rsid w:val="009A122D"/>
    <w:rsid w:val="009A2ED9"/>
    <w:rsid w:val="009A3359"/>
    <w:rsid w:val="009A4AA6"/>
    <w:rsid w:val="009A61BF"/>
    <w:rsid w:val="009A69A5"/>
    <w:rsid w:val="009B2C7D"/>
    <w:rsid w:val="009B3526"/>
    <w:rsid w:val="009B4251"/>
    <w:rsid w:val="009B4351"/>
    <w:rsid w:val="009B7DE8"/>
    <w:rsid w:val="009C1891"/>
    <w:rsid w:val="009C49EF"/>
    <w:rsid w:val="009C6AC4"/>
    <w:rsid w:val="009C78C4"/>
    <w:rsid w:val="009D10CB"/>
    <w:rsid w:val="009D396A"/>
    <w:rsid w:val="009D4177"/>
    <w:rsid w:val="009E00B5"/>
    <w:rsid w:val="009E16A8"/>
    <w:rsid w:val="009E1E64"/>
    <w:rsid w:val="009E3CFF"/>
    <w:rsid w:val="009E4656"/>
    <w:rsid w:val="009E60EA"/>
    <w:rsid w:val="009E79EA"/>
    <w:rsid w:val="009F0DF8"/>
    <w:rsid w:val="009F2C7C"/>
    <w:rsid w:val="009F49AD"/>
    <w:rsid w:val="009F4F54"/>
    <w:rsid w:val="00A01400"/>
    <w:rsid w:val="00A0306E"/>
    <w:rsid w:val="00A03E2E"/>
    <w:rsid w:val="00A05256"/>
    <w:rsid w:val="00A071BE"/>
    <w:rsid w:val="00A116CB"/>
    <w:rsid w:val="00A128F0"/>
    <w:rsid w:val="00A128F3"/>
    <w:rsid w:val="00A14E50"/>
    <w:rsid w:val="00A1548E"/>
    <w:rsid w:val="00A17578"/>
    <w:rsid w:val="00A20222"/>
    <w:rsid w:val="00A2139F"/>
    <w:rsid w:val="00A23A32"/>
    <w:rsid w:val="00A24FE9"/>
    <w:rsid w:val="00A26B83"/>
    <w:rsid w:val="00A270A2"/>
    <w:rsid w:val="00A30190"/>
    <w:rsid w:val="00A30FE2"/>
    <w:rsid w:val="00A32536"/>
    <w:rsid w:val="00A33B77"/>
    <w:rsid w:val="00A36EEA"/>
    <w:rsid w:val="00A371BD"/>
    <w:rsid w:val="00A40B11"/>
    <w:rsid w:val="00A40F4B"/>
    <w:rsid w:val="00A40FF1"/>
    <w:rsid w:val="00A521C6"/>
    <w:rsid w:val="00A52A9F"/>
    <w:rsid w:val="00A52B74"/>
    <w:rsid w:val="00A53B59"/>
    <w:rsid w:val="00A55BDF"/>
    <w:rsid w:val="00A55E4C"/>
    <w:rsid w:val="00A56A2A"/>
    <w:rsid w:val="00A61C70"/>
    <w:rsid w:val="00A62ECA"/>
    <w:rsid w:val="00A63A52"/>
    <w:rsid w:val="00A7008F"/>
    <w:rsid w:val="00A71780"/>
    <w:rsid w:val="00A71B54"/>
    <w:rsid w:val="00A7263C"/>
    <w:rsid w:val="00A81FB0"/>
    <w:rsid w:val="00A83AFE"/>
    <w:rsid w:val="00A84E11"/>
    <w:rsid w:val="00A86FC9"/>
    <w:rsid w:val="00A87B7E"/>
    <w:rsid w:val="00A90297"/>
    <w:rsid w:val="00A934BE"/>
    <w:rsid w:val="00A943D8"/>
    <w:rsid w:val="00A95FCB"/>
    <w:rsid w:val="00AA01EC"/>
    <w:rsid w:val="00AA18D8"/>
    <w:rsid w:val="00AA5415"/>
    <w:rsid w:val="00AA5CB4"/>
    <w:rsid w:val="00AA7DB5"/>
    <w:rsid w:val="00AB20D7"/>
    <w:rsid w:val="00AB2CFE"/>
    <w:rsid w:val="00AB361F"/>
    <w:rsid w:val="00AB37E2"/>
    <w:rsid w:val="00AB5222"/>
    <w:rsid w:val="00AC1172"/>
    <w:rsid w:val="00AC13DF"/>
    <w:rsid w:val="00AC3D1E"/>
    <w:rsid w:val="00AC44F3"/>
    <w:rsid w:val="00AC52EC"/>
    <w:rsid w:val="00AC665B"/>
    <w:rsid w:val="00AD1914"/>
    <w:rsid w:val="00AD32B7"/>
    <w:rsid w:val="00AD35E1"/>
    <w:rsid w:val="00AD69F6"/>
    <w:rsid w:val="00AE14DF"/>
    <w:rsid w:val="00AE353F"/>
    <w:rsid w:val="00AE5700"/>
    <w:rsid w:val="00AE68DC"/>
    <w:rsid w:val="00AF0E14"/>
    <w:rsid w:val="00AF2115"/>
    <w:rsid w:val="00AF29BD"/>
    <w:rsid w:val="00B034EC"/>
    <w:rsid w:val="00B042BD"/>
    <w:rsid w:val="00B05B40"/>
    <w:rsid w:val="00B10EA7"/>
    <w:rsid w:val="00B144A3"/>
    <w:rsid w:val="00B15E3A"/>
    <w:rsid w:val="00B168AF"/>
    <w:rsid w:val="00B16CA2"/>
    <w:rsid w:val="00B23B01"/>
    <w:rsid w:val="00B258A9"/>
    <w:rsid w:val="00B25DCC"/>
    <w:rsid w:val="00B30495"/>
    <w:rsid w:val="00B32F06"/>
    <w:rsid w:val="00B3403D"/>
    <w:rsid w:val="00B34D47"/>
    <w:rsid w:val="00B35C00"/>
    <w:rsid w:val="00B35D2A"/>
    <w:rsid w:val="00B405F9"/>
    <w:rsid w:val="00B4078D"/>
    <w:rsid w:val="00B4100D"/>
    <w:rsid w:val="00B41324"/>
    <w:rsid w:val="00B43184"/>
    <w:rsid w:val="00B43C17"/>
    <w:rsid w:val="00B43F9E"/>
    <w:rsid w:val="00B44F18"/>
    <w:rsid w:val="00B45051"/>
    <w:rsid w:val="00B536A0"/>
    <w:rsid w:val="00B53F34"/>
    <w:rsid w:val="00B53F8E"/>
    <w:rsid w:val="00B576E1"/>
    <w:rsid w:val="00B60B95"/>
    <w:rsid w:val="00B60E50"/>
    <w:rsid w:val="00B7078F"/>
    <w:rsid w:val="00B70E08"/>
    <w:rsid w:val="00B74EC6"/>
    <w:rsid w:val="00B75390"/>
    <w:rsid w:val="00B76BEA"/>
    <w:rsid w:val="00B8031D"/>
    <w:rsid w:val="00B80D10"/>
    <w:rsid w:val="00B80ECA"/>
    <w:rsid w:val="00B816FC"/>
    <w:rsid w:val="00B8326B"/>
    <w:rsid w:val="00B84FA4"/>
    <w:rsid w:val="00B85470"/>
    <w:rsid w:val="00B86823"/>
    <w:rsid w:val="00B86E46"/>
    <w:rsid w:val="00B90856"/>
    <w:rsid w:val="00B91175"/>
    <w:rsid w:val="00B9118C"/>
    <w:rsid w:val="00B92779"/>
    <w:rsid w:val="00B929C1"/>
    <w:rsid w:val="00BA0D7C"/>
    <w:rsid w:val="00BA1530"/>
    <w:rsid w:val="00BA4FBB"/>
    <w:rsid w:val="00BA568C"/>
    <w:rsid w:val="00BA6238"/>
    <w:rsid w:val="00BB5DB9"/>
    <w:rsid w:val="00BB72AF"/>
    <w:rsid w:val="00BB77F7"/>
    <w:rsid w:val="00BC04D1"/>
    <w:rsid w:val="00BC2742"/>
    <w:rsid w:val="00BC3AFB"/>
    <w:rsid w:val="00BC5212"/>
    <w:rsid w:val="00BC5FED"/>
    <w:rsid w:val="00BC7790"/>
    <w:rsid w:val="00BC7D64"/>
    <w:rsid w:val="00BD312E"/>
    <w:rsid w:val="00BD709D"/>
    <w:rsid w:val="00BE1D27"/>
    <w:rsid w:val="00BE2049"/>
    <w:rsid w:val="00BE2D77"/>
    <w:rsid w:val="00BE34A5"/>
    <w:rsid w:val="00BE38F2"/>
    <w:rsid w:val="00BE49AD"/>
    <w:rsid w:val="00BE5B2F"/>
    <w:rsid w:val="00BF1DBF"/>
    <w:rsid w:val="00C045A2"/>
    <w:rsid w:val="00C058B9"/>
    <w:rsid w:val="00C131B8"/>
    <w:rsid w:val="00C16DAC"/>
    <w:rsid w:val="00C216ED"/>
    <w:rsid w:val="00C21E08"/>
    <w:rsid w:val="00C231E4"/>
    <w:rsid w:val="00C25448"/>
    <w:rsid w:val="00C25D82"/>
    <w:rsid w:val="00C25F2C"/>
    <w:rsid w:val="00C273C1"/>
    <w:rsid w:val="00C27D25"/>
    <w:rsid w:val="00C3104C"/>
    <w:rsid w:val="00C31F40"/>
    <w:rsid w:val="00C33A47"/>
    <w:rsid w:val="00C34DBA"/>
    <w:rsid w:val="00C351F1"/>
    <w:rsid w:val="00C4048C"/>
    <w:rsid w:val="00C432F3"/>
    <w:rsid w:val="00C45648"/>
    <w:rsid w:val="00C4610E"/>
    <w:rsid w:val="00C556D4"/>
    <w:rsid w:val="00C60CCE"/>
    <w:rsid w:val="00C610B9"/>
    <w:rsid w:val="00C63023"/>
    <w:rsid w:val="00C633C9"/>
    <w:rsid w:val="00C63412"/>
    <w:rsid w:val="00C650B5"/>
    <w:rsid w:val="00C6620D"/>
    <w:rsid w:val="00C729A4"/>
    <w:rsid w:val="00C72A51"/>
    <w:rsid w:val="00C73592"/>
    <w:rsid w:val="00C73B21"/>
    <w:rsid w:val="00C80DA6"/>
    <w:rsid w:val="00C81C24"/>
    <w:rsid w:val="00C82846"/>
    <w:rsid w:val="00C828C6"/>
    <w:rsid w:val="00C84962"/>
    <w:rsid w:val="00C925B7"/>
    <w:rsid w:val="00C9280C"/>
    <w:rsid w:val="00C92EB7"/>
    <w:rsid w:val="00C9339B"/>
    <w:rsid w:val="00C942F4"/>
    <w:rsid w:val="00C94497"/>
    <w:rsid w:val="00C94631"/>
    <w:rsid w:val="00C95D86"/>
    <w:rsid w:val="00C96760"/>
    <w:rsid w:val="00C96A4A"/>
    <w:rsid w:val="00CA0053"/>
    <w:rsid w:val="00CA1A29"/>
    <w:rsid w:val="00CA23FA"/>
    <w:rsid w:val="00CA2E6B"/>
    <w:rsid w:val="00CA4731"/>
    <w:rsid w:val="00CA4C41"/>
    <w:rsid w:val="00CA5D55"/>
    <w:rsid w:val="00CB5149"/>
    <w:rsid w:val="00CC0A16"/>
    <w:rsid w:val="00CC0D07"/>
    <w:rsid w:val="00CC1418"/>
    <w:rsid w:val="00CC390F"/>
    <w:rsid w:val="00CC5355"/>
    <w:rsid w:val="00CD0218"/>
    <w:rsid w:val="00CD3922"/>
    <w:rsid w:val="00CD61A6"/>
    <w:rsid w:val="00CE1FD7"/>
    <w:rsid w:val="00CE316B"/>
    <w:rsid w:val="00CE52C7"/>
    <w:rsid w:val="00CF0C75"/>
    <w:rsid w:val="00CF12AF"/>
    <w:rsid w:val="00CF3A3B"/>
    <w:rsid w:val="00CF6423"/>
    <w:rsid w:val="00CF67C3"/>
    <w:rsid w:val="00CF7291"/>
    <w:rsid w:val="00CF7423"/>
    <w:rsid w:val="00D0025A"/>
    <w:rsid w:val="00D01B1F"/>
    <w:rsid w:val="00D0323D"/>
    <w:rsid w:val="00D03B3D"/>
    <w:rsid w:val="00D053BC"/>
    <w:rsid w:val="00D05460"/>
    <w:rsid w:val="00D05D7D"/>
    <w:rsid w:val="00D07F91"/>
    <w:rsid w:val="00D11AF5"/>
    <w:rsid w:val="00D13DB8"/>
    <w:rsid w:val="00D14748"/>
    <w:rsid w:val="00D15292"/>
    <w:rsid w:val="00D15645"/>
    <w:rsid w:val="00D22124"/>
    <w:rsid w:val="00D24F94"/>
    <w:rsid w:val="00D25DA8"/>
    <w:rsid w:val="00D2719E"/>
    <w:rsid w:val="00D3142D"/>
    <w:rsid w:val="00D32C89"/>
    <w:rsid w:val="00D35AB9"/>
    <w:rsid w:val="00D36D55"/>
    <w:rsid w:val="00D4281A"/>
    <w:rsid w:val="00D4355D"/>
    <w:rsid w:val="00D43FD5"/>
    <w:rsid w:val="00D47B49"/>
    <w:rsid w:val="00D47F6B"/>
    <w:rsid w:val="00D536CF"/>
    <w:rsid w:val="00D544B0"/>
    <w:rsid w:val="00D55BB7"/>
    <w:rsid w:val="00D5622D"/>
    <w:rsid w:val="00D567A8"/>
    <w:rsid w:val="00D57FCD"/>
    <w:rsid w:val="00D60A9D"/>
    <w:rsid w:val="00D610E0"/>
    <w:rsid w:val="00D62CA6"/>
    <w:rsid w:val="00D64277"/>
    <w:rsid w:val="00D6482C"/>
    <w:rsid w:val="00D65188"/>
    <w:rsid w:val="00D65409"/>
    <w:rsid w:val="00D70129"/>
    <w:rsid w:val="00D71A62"/>
    <w:rsid w:val="00D737E3"/>
    <w:rsid w:val="00D7386F"/>
    <w:rsid w:val="00D7587A"/>
    <w:rsid w:val="00D77DFA"/>
    <w:rsid w:val="00D806D1"/>
    <w:rsid w:val="00D83303"/>
    <w:rsid w:val="00D85346"/>
    <w:rsid w:val="00D8617C"/>
    <w:rsid w:val="00D87220"/>
    <w:rsid w:val="00D877E9"/>
    <w:rsid w:val="00D9185E"/>
    <w:rsid w:val="00D92EAB"/>
    <w:rsid w:val="00D93A93"/>
    <w:rsid w:val="00D942D7"/>
    <w:rsid w:val="00D94A0F"/>
    <w:rsid w:val="00D95D24"/>
    <w:rsid w:val="00D96B70"/>
    <w:rsid w:val="00DA17F0"/>
    <w:rsid w:val="00DA3CF7"/>
    <w:rsid w:val="00DA7086"/>
    <w:rsid w:val="00DB136E"/>
    <w:rsid w:val="00DB1E3A"/>
    <w:rsid w:val="00DB33B6"/>
    <w:rsid w:val="00DB362A"/>
    <w:rsid w:val="00DB394E"/>
    <w:rsid w:val="00DB5599"/>
    <w:rsid w:val="00DB5DC6"/>
    <w:rsid w:val="00DB7B38"/>
    <w:rsid w:val="00DC04C3"/>
    <w:rsid w:val="00DC3360"/>
    <w:rsid w:val="00DC5DBE"/>
    <w:rsid w:val="00DC60BC"/>
    <w:rsid w:val="00DC6A10"/>
    <w:rsid w:val="00DC6CDE"/>
    <w:rsid w:val="00DC7E86"/>
    <w:rsid w:val="00DD12D2"/>
    <w:rsid w:val="00DD1F11"/>
    <w:rsid w:val="00DD3D29"/>
    <w:rsid w:val="00DD3E7D"/>
    <w:rsid w:val="00DD4AA7"/>
    <w:rsid w:val="00DD6941"/>
    <w:rsid w:val="00DE14DE"/>
    <w:rsid w:val="00DE2007"/>
    <w:rsid w:val="00DE2CE6"/>
    <w:rsid w:val="00DE4F83"/>
    <w:rsid w:val="00DF058D"/>
    <w:rsid w:val="00DF170E"/>
    <w:rsid w:val="00DF3721"/>
    <w:rsid w:val="00DF37CA"/>
    <w:rsid w:val="00DF3FDB"/>
    <w:rsid w:val="00DF6598"/>
    <w:rsid w:val="00E033B9"/>
    <w:rsid w:val="00E0535B"/>
    <w:rsid w:val="00E06238"/>
    <w:rsid w:val="00E11DD1"/>
    <w:rsid w:val="00E12754"/>
    <w:rsid w:val="00E14AA6"/>
    <w:rsid w:val="00E15B89"/>
    <w:rsid w:val="00E1729D"/>
    <w:rsid w:val="00E229F8"/>
    <w:rsid w:val="00E2313C"/>
    <w:rsid w:val="00E24F78"/>
    <w:rsid w:val="00E2578F"/>
    <w:rsid w:val="00E25F5C"/>
    <w:rsid w:val="00E26371"/>
    <w:rsid w:val="00E267A4"/>
    <w:rsid w:val="00E2766E"/>
    <w:rsid w:val="00E32614"/>
    <w:rsid w:val="00E3313F"/>
    <w:rsid w:val="00E34112"/>
    <w:rsid w:val="00E40DA7"/>
    <w:rsid w:val="00E417BB"/>
    <w:rsid w:val="00E42452"/>
    <w:rsid w:val="00E45B33"/>
    <w:rsid w:val="00E46FBF"/>
    <w:rsid w:val="00E51D71"/>
    <w:rsid w:val="00E52393"/>
    <w:rsid w:val="00E52A5B"/>
    <w:rsid w:val="00E52CEC"/>
    <w:rsid w:val="00E541BA"/>
    <w:rsid w:val="00E54C70"/>
    <w:rsid w:val="00E57453"/>
    <w:rsid w:val="00E579D2"/>
    <w:rsid w:val="00E60187"/>
    <w:rsid w:val="00E605B2"/>
    <w:rsid w:val="00E61E76"/>
    <w:rsid w:val="00E62668"/>
    <w:rsid w:val="00E62B91"/>
    <w:rsid w:val="00E62CE1"/>
    <w:rsid w:val="00E65713"/>
    <w:rsid w:val="00E65AF9"/>
    <w:rsid w:val="00E666DF"/>
    <w:rsid w:val="00E67F91"/>
    <w:rsid w:val="00E702CF"/>
    <w:rsid w:val="00E71AB9"/>
    <w:rsid w:val="00E737D6"/>
    <w:rsid w:val="00E828FD"/>
    <w:rsid w:val="00E82959"/>
    <w:rsid w:val="00E83754"/>
    <w:rsid w:val="00E8515D"/>
    <w:rsid w:val="00E8528E"/>
    <w:rsid w:val="00E853F5"/>
    <w:rsid w:val="00E92FF3"/>
    <w:rsid w:val="00E96762"/>
    <w:rsid w:val="00E97E7C"/>
    <w:rsid w:val="00EA36BF"/>
    <w:rsid w:val="00EA4868"/>
    <w:rsid w:val="00EA5B4D"/>
    <w:rsid w:val="00EA5D31"/>
    <w:rsid w:val="00EA5E07"/>
    <w:rsid w:val="00EA6414"/>
    <w:rsid w:val="00EA6817"/>
    <w:rsid w:val="00EA6B0D"/>
    <w:rsid w:val="00EA7219"/>
    <w:rsid w:val="00EB2513"/>
    <w:rsid w:val="00EB3277"/>
    <w:rsid w:val="00EB49B2"/>
    <w:rsid w:val="00EB5316"/>
    <w:rsid w:val="00EB6095"/>
    <w:rsid w:val="00EB7C20"/>
    <w:rsid w:val="00EC186B"/>
    <w:rsid w:val="00EC2ADA"/>
    <w:rsid w:val="00EC7362"/>
    <w:rsid w:val="00EC7977"/>
    <w:rsid w:val="00ED0210"/>
    <w:rsid w:val="00ED206F"/>
    <w:rsid w:val="00ED2290"/>
    <w:rsid w:val="00ED3286"/>
    <w:rsid w:val="00ED3763"/>
    <w:rsid w:val="00ED4580"/>
    <w:rsid w:val="00ED77D3"/>
    <w:rsid w:val="00EE20FE"/>
    <w:rsid w:val="00EE4A4D"/>
    <w:rsid w:val="00EE4D08"/>
    <w:rsid w:val="00EE5418"/>
    <w:rsid w:val="00EF444F"/>
    <w:rsid w:val="00EF6286"/>
    <w:rsid w:val="00F001D1"/>
    <w:rsid w:val="00F02073"/>
    <w:rsid w:val="00F021D9"/>
    <w:rsid w:val="00F0229F"/>
    <w:rsid w:val="00F05FD2"/>
    <w:rsid w:val="00F07D2A"/>
    <w:rsid w:val="00F10548"/>
    <w:rsid w:val="00F125BB"/>
    <w:rsid w:val="00F12A01"/>
    <w:rsid w:val="00F140BB"/>
    <w:rsid w:val="00F14108"/>
    <w:rsid w:val="00F168E5"/>
    <w:rsid w:val="00F21A22"/>
    <w:rsid w:val="00F22869"/>
    <w:rsid w:val="00F23962"/>
    <w:rsid w:val="00F263E5"/>
    <w:rsid w:val="00F2795C"/>
    <w:rsid w:val="00F27C3B"/>
    <w:rsid w:val="00F3310C"/>
    <w:rsid w:val="00F332C1"/>
    <w:rsid w:val="00F35684"/>
    <w:rsid w:val="00F4044E"/>
    <w:rsid w:val="00F42092"/>
    <w:rsid w:val="00F42D0A"/>
    <w:rsid w:val="00F440AE"/>
    <w:rsid w:val="00F46DE4"/>
    <w:rsid w:val="00F54A13"/>
    <w:rsid w:val="00F5591E"/>
    <w:rsid w:val="00F55942"/>
    <w:rsid w:val="00F57E41"/>
    <w:rsid w:val="00F57F4F"/>
    <w:rsid w:val="00F63A2B"/>
    <w:rsid w:val="00F63A73"/>
    <w:rsid w:val="00F64D7D"/>
    <w:rsid w:val="00F65D1E"/>
    <w:rsid w:val="00F70103"/>
    <w:rsid w:val="00F7267B"/>
    <w:rsid w:val="00F72DAA"/>
    <w:rsid w:val="00F749BF"/>
    <w:rsid w:val="00F762BE"/>
    <w:rsid w:val="00F7679C"/>
    <w:rsid w:val="00F77176"/>
    <w:rsid w:val="00F772A7"/>
    <w:rsid w:val="00F77965"/>
    <w:rsid w:val="00F80225"/>
    <w:rsid w:val="00F86A6A"/>
    <w:rsid w:val="00F86D79"/>
    <w:rsid w:val="00F92900"/>
    <w:rsid w:val="00F94B79"/>
    <w:rsid w:val="00F96A6B"/>
    <w:rsid w:val="00FA4C96"/>
    <w:rsid w:val="00FA5562"/>
    <w:rsid w:val="00FA5D1A"/>
    <w:rsid w:val="00FB19FC"/>
    <w:rsid w:val="00FB5226"/>
    <w:rsid w:val="00FB5800"/>
    <w:rsid w:val="00FB6630"/>
    <w:rsid w:val="00FB7991"/>
    <w:rsid w:val="00FB7ABD"/>
    <w:rsid w:val="00FC13B1"/>
    <w:rsid w:val="00FC1756"/>
    <w:rsid w:val="00FC1F3E"/>
    <w:rsid w:val="00FC22BB"/>
    <w:rsid w:val="00FC24AF"/>
    <w:rsid w:val="00FC2633"/>
    <w:rsid w:val="00FC45C0"/>
    <w:rsid w:val="00FC5396"/>
    <w:rsid w:val="00FC5857"/>
    <w:rsid w:val="00FC6A97"/>
    <w:rsid w:val="00FD31C7"/>
    <w:rsid w:val="00FE096C"/>
    <w:rsid w:val="00FE1DBB"/>
    <w:rsid w:val="00FE4937"/>
    <w:rsid w:val="00FE5252"/>
    <w:rsid w:val="00FE6DCD"/>
    <w:rsid w:val="00FF0B0C"/>
    <w:rsid w:val="00FF173E"/>
    <w:rsid w:val="00FF18C6"/>
    <w:rsid w:val="00FF4687"/>
    <w:rsid w:val="00FF56A2"/>
    <w:rsid w:val="00FF73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1CA1"/>
  <w15:chartTrackingRefBased/>
  <w15:docId w15:val="{34CAC2CB-8C3B-4255-94B4-0F27517A1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2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22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22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2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2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2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2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2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2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2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022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22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2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2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2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2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2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29F"/>
    <w:rPr>
      <w:rFonts w:eastAsiaTheme="majorEastAsia" w:cstheme="majorBidi"/>
      <w:color w:val="272727" w:themeColor="text1" w:themeTint="D8"/>
    </w:rPr>
  </w:style>
  <w:style w:type="paragraph" w:styleId="Title">
    <w:name w:val="Title"/>
    <w:basedOn w:val="Normal"/>
    <w:next w:val="Normal"/>
    <w:link w:val="TitleChar"/>
    <w:uiPriority w:val="10"/>
    <w:qFormat/>
    <w:rsid w:val="00F022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2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2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2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29F"/>
    <w:pPr>
      <w:spacing w:before="160"/>
      <w:jc w:val="center"/>
    </w:pPr>
    <w:rPr>
      <w:i/>
      <w:iCs/>
      <w:color w:val="404040" w:themeColor="text1" w:themeTint="BF"/>
    </w:rPr>
  </w:style>
  <w:style w:type="character" w:customStyle="1" w:styleId="QuoteChar">
    <w:name w:val="Quote Char"/>
    <w:basedOn w:val="DefaultParagraphFont"/>
    <w:link w:val="Quote"/>
    <w:uiPriority w:val="29"/>
    <w:rsid w:val="00F0229F"/>
    <w:rPr>
      <w:i/>
      <w:iCs/>
      <w:color w:val="404040" w:themeColor="text1" w:themeTint="BF"/>
    </w:rPr>
  </w:style>
  <w:style w:type="paragraph" w:styleId="ListParagraph">
    <w:name w:val="List Paragraph"/>
    <w:basedOn w:val="Normal"/>
    <w:uiPriority w:val="34"/>
    <w:qFormat/>
    <w:rsid w:val="00F0229F"/>
    <w:pPr>
      <w:ind w:left="720"/>
      <w:contextualSpacing/>
    </w:pPr>
  </w:style>
  <w:style w:type="character" w:styleId="IntenseEmphasis">
    <w:name w:val="Intense Emphasis"/>
    <w:basedOn w:val="DefaultParagraphFont"/>
    <w:uiPriority w:val="21"/>
    <w:qFormat/>
    <w:rsid w:val="00F0229F"/>
    <w:rPr>
      <w:i/>
      <w:iCs/>
      <w:color w:val="0F4761" w:themeColor="accent1" w:themeShade="BF"/>
    </w:rPr>
  </w:style>
  <w:style w:type="paragraph" w:styleId="IntenseQuote">
    <w:name w:val="Intense Quote"/>
    <w:basedOn w:val="Normal"/>
    <w:next w:val="Normal"/>
    <w:link w:val="IntenseQuoteChar"/>
    <w:uiPriority w:val="30"/>
    <w:qFormat/>
    <w:rsid w:val="00F022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29F"/>
    <w:rPr>
      <w:i/>
      <w:iCs/>
      <w:color w:val="0F4761" w:themeColor="accent1" w:themeShade="BF"/>
    </w:rPr>
  </w:style>
  <w:style w:type="character" w:styleId="IntenseReference">
    <w:name w:val="Intense Reference"/>
    <w:basedOn w:val="DefaultParagraphFont"/>
    <w:uiPriority w:val="32"/>
    <w:qFormat/>
    <w:rsid w:val="00F0229F"/>
    <w:rPr>
      <w:b/>
      <w:bCs/>
      <w:smallCaps/>
      <w:color w:val="0F4761" w:themeColor="accent1" w:themeShade="BF"/>
      <w:spacing w:val="5"/>
    </w:rPr>
  </w:style>
  <w:style w:type="character" w:styleId="Hyperlink">
    <w:name w:val="Hyperlink"/>
    <w:basedOn w:val="DefaultParagraphFont"/>
    <w:uiPriority w:val="99"/>
    <w:unhideWhenUsed/>
    <w:rsid w:val="00F0229F"/>
    <w:rPr>
      <w:color w:val="467886" w:themeColor="hyperlink"/>
      <w:u w:val="single"/>
    </w:rPr>
  </w:style>
  <w:style w:type="character" w:styleId="UnresolvedMention">
    <w:name w:val="Unresolved Mention"/>
    <w:basedOn w:val="DefaultParagraphFont"/>
    <w:uiPriority w:val="99"/>
    <w:semiHidden/>
    <w:unhideWhenUsed/>
    <w:rsid w:val="00F0229F"/>
    <w:rPr>
      <w:color w:val="605E5C"/>
      <w:shd w:val="clear" w:color="auto" w:fill="E1DFDD"/>
    </w:rPr>
  </w:style>
  <w:style w:type="table" w:styleId="TableGrid">
    <w:name w:val="Table Grid"/>
    <w:basedOn w:val="TableNormal"/>
    <w:uiPriority w:val="39"/>
    <w:rsid w:val="00784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007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styleId="Header">
    <w:name w:val="header"/>
    <w:basedOn w:val="Normal"/>
    <w:link w:val="HeaderChar"/>
    <w:uiPriority w:val="99"/>
    <w:unhideWhenUsed/>
    <w:rsid w:val="00F46D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DE4"/>
  </w:style>
  <w:style w:type="paragraph" w:styleId="Footer">
    <w:name w:val="footer"/>
    <w:basedOn w:val="Normal"/>
    <w:link w:val="FooterChar"/>
    <w:uiPriority w:val="99"/>
    <w:unhideWhenUsed/>
    <w:rsid w:val="00F46D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DE4"/>
  </w:style>
  <w:style w:type="paragraph" w:styleId="Date">
    <w:name w:val="Date"/>
    <w:aliases w:val="Address"/>
    <w:basedOn w:val="Title"/>
    <w:next w:val="Salutation"/>
    <w:link w:val="DateChar"/>
    <w:uiPriority w:val="4"/>
    <w:unhideWhenUsed/>
    <w:qFormat/>
    <w:rsid w:val="000A54A2"/>
    <w:pPr>
      <w:pBdr>
        <w:bottom w:val="single" w:sz="4" w:space="10" w:color="0E2841" w:themeColor="text2"/>
      </w:pBdr>
      <w:spacing w:before="120" w:after="0"/>
    </w:pPr>
    <w:rPr>
      <w:rFonts w:ascii="Arial" w:eastAsiaTheme="minorEastAsia" w:hAnsi="Arial" w:cs="Arial"/>
      <w:bCs/>
      <w:color w:val="500061"/>
      <w:spacing w:val="0"/>
      <w:kern w:val="0"/>
      <w:sz w:val="24"/>
      <w:szCs w:val="24"/>
      <w:lang w:eastAsia="ja-JP"/>
      <w14:ligatures w14:val="none"/>
    </w:rPr>
  </w:style>
  <w:style w:type="character" w:customStyle="1" w:styleId="DateChar">
    <w:name w:val="Date Char"/>
    <w:aliases w:val="Address Char"/>
    <w:basedOn w:val="DefaultParagraphFont"/>
    <w:link w:val="Date"/>
    <w:uiPriority w:val="4"/>
    <w:rsid w:val="000A54A2"/>
    <w:rPr>
      <w:rFonts w:ascii="Arial" w:eastAsiaTheme="minorEastAsia" w:hAnsi="Arial" w:cs="Arial"/>
      <w:bCs/>
      <w:color w:val="500061"/>
      <w:kern w:val="0"/>
      <w:lang w:eastAsia="ja-JP"/>
      <w14:ligatures w14:val="none"/>
    </w:rPr>
  </w:style>
  <w:style w:type="paragraph" w:styleId="Salutation">
    <w:name w:val="Salutation"/>
    <w:basedOn w:val="Normal"/>
    <w:next w:val="Normal"/>
    <w:link w:val="SalutationChar"/>
    <w:uiPriority w:val="99"/>
    <w:semiHidden/>
    <w:unhideWhenUsed/>
    <w:rsid w:val="000A54A2"/>
  </w:style>
  <w:style w:type="character" w:customStyle="1" w:styleId="SalutationChar">
    <w:name w:val="Salutation Char"/>
    <w:basedOn w:val="DefaultParagraphFont"/>
    <w:link w:val="Salutation"/>
    <w:uiPriority w:val="99"/>
    <w:semiHidden/>
    <w:rsid w:val="000A54A2"/>
  </w:style>
  <w:style w:type="paragraph" w:styleId="TOCHeading">
    <w:name w:val="TOC Heading"/>
    <w:basedOn w:val="Heading1"/>
    <w:next w:val="Normal"/>
    <w:uiPriority w:val="39"/>
    <w:unhideWhenUsed/>
    <w:qFormat/>
    <w:rsid w:val="00912985"/>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912985"/>
    <w:pPr>
      <w:spacing w:after="100"/>
    </w:pPr>
  </w:style>
  <w:style w:type="paragraph" w:styleId="TOC2">
    <w:name w:val="toc 2"/>
    <w:basedOn w:val="Normal"/>
    <w:next w:val="Normal"/>
    <w:autoRedefine/>
    <w:uiPriority w:val="39"/>
    <w:unhideWhenUsed/>
    <w:rsid w:val="00912985"/>
    <w:pPr>
      <w:spacing w:after="100"/>
      <w:ind w:left="240"/>
    </w:pPr>
  </w:style>
  <w:style w:type="paragraph" w:styleId="TOC3">
    <w:name w:val="toc 3"/>
    <w:basedOn w:val="Normal"/>
    <w:next w:val="Normal"/>
    <w:autoRedefine/>
    <w:uiPriority w:val="39"/>
    <w:unhideWhenUsed/>
    <w:rsid w:val="0091298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ca.org.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ca@bca.org.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h.gov.au/Parliamentary_Business/Committees/OnlineSub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167980590E0644B29A54F4150AFD74" ma:contentTypeVersion="18" ma:contentTypeDescription="Create a new document." ma:contentTypeScope="" ma:versionID="545c728d0da3ed1b921bbdcfe300bfcb">
  <xsd:schema xmlns:xsd="http://www.w3.org/2001/XMLSchema" xmlns:xs="http://www.w3.org/2001/XMLSchema" xmlns:p="http://schemas.microsoft.com/office/2006/metadata/properties" xmlns:ns2="0bec18fc-f114-415a-892c-7a4e80c68006" xmlns:ns3="e6b92012-73ef-42fe-b930-ea647f4e298e" targetNamespace="http://schemas.microsoft.com/office/2006/metadata/properties" ma:root="true" ma:fieldsID="f4d6a6b92538bf80940887da3ebd3498" ns2:_="" ns3:_="">
    <xsd:import namespace="0bec18fc-f114-415a-892c-7a4e80c68006"/>
    <xsd:import namespace="e6b92012-73ef-42fe-b930-ea647f4e2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c18fc-f114-415a-892c-7a4e80c680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b8bf5a4-7a59-4bdb-a290-f06a4b4fda02}" ma:internalName="TaxCatchAll" ma:showField="CatchAllData" ma:web="0bec18fc-f114-415a-892c-7a4e80c680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92012-73ef-42fe-b930-ea647f4e29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01812-f59d-44d9-ad51-72a85d65cb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b92012-73ef-42fe-b930-ea647f4e298e">
      <Terms xmlns="http://schemas.microsoft.com/office/infopath/2007/PartnerControls"/>
    </lcf76f155ced4ddcb4097134ff3c332f>
    <TaxCatchAll xmlns="0bec18fc-f114-415a-892c-7a4e80c6800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4CE21-127F-4AB9-98D1-DA51C2E08BAA}">
  <ds:schemaRefs>
    <ds:schemaRef ds:uri="http://schemas.microsoft.com/sharepoint/v3/contenttype/forms"/>
  </ds:schemaRefs>
</ds:datastoreItem>
</file>

<file path=customXml/itemProps2.xml><?xml version="1.0" encoding="utf-8"?>
<ds:datastoreItem xmlns:ds="http://schemas.openxmlformats.org/officeDocument/2006/customXml" ds:itemID="{564D0184-A089-4F4D-8513-C4BC8D0F8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c18fc-f114-415a-892c-7a4e80c68006"/>
    <ds:schemaRef ds:uri="e6b92012-73ef-42fe-b930-ea647f4e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278FC3-5FA7-4F94-B7B9-E95DFAF4D3A5}">
  <ds:schemaRefs>
    <ds:schemaRef ds:uri="http://schemas.microsoft.com/office/2006/metadata/properties"/>
    <ds:schemaRef ds:uri="http://schemas.microsoft.com/office/infopath/2007/PartnerControls"/>
    <ds:schemaRef ds:uri="e6b92012-73ef-42fe-b930-ea647f4e298e"/>
    <ds:schemaRef ds:uri="0bec18fc-f114-415a-892c-7a4e80c68006"/>
  </ds:schemaRefs>
</ds:datastoreItem>
</file>

<file path=customXml/itemProps4.xml><?xml version="1.0" encoding="utf-8"?>
<ds:datastoreItem xmlns:ds="http://schemas.openxmlformats.org/officeDocument/2006/customXml" ds:itemID="{663AFDCB-3939-4665-A204-E735AFDA6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24</Pages>
  <Words>7102</Words>
  <Characters>40486</Characters>
  <Application>Microsoft Office Word</Application>
  <DocSecurity>0</DocSecurity>
  <Lines>337</Lines>
  <Paragraphs>94</Paragraphs>
  <ScaleCrop>false</ScaleCrop>
  <Company/>
  <LinksUpToDate>false</LinksUpToDate>
  <CharactersWithSpaces>47494</CharactersWithSpaces>
  <SharedDoc>false</SharedDoc>
  <HLinks>
    <vt:vector size="174" baseType="variant">
      <vt:variant>
        <vt:i4>1114169</vt:i4>
      </vt:variant>
      <vt:variant>
        <vt:i4>161</vt:i4>
      </vt:variant>
      <vt:variant>
        <vt:i4>0</vt:i4>
      </vt:variant>
      <vt:variant>
        <vt:i4>5</vt:i4>
      </vt:variant>
      <vt:variant>
        <vt:lpwstr/>
      </vt:variant>
      <vt:variant>
        <vt:lpwstr>_Toc230793212</vt:lpwstr>
      </vt:variant>
      <vt:variant>
        <vt:i4>1114169</vt:i4>
      </vt:variant>
      <vt:variant>
        <vt:i4>155</vt:i4>
      </vt:variant>
      <vt:variant>
        <vt:i4>0</vt:i4>
      </vt:variant>
      <vt:variant>
        <vt:i4>5</vt:i4>
      </vt:variant>
      <vt:variant>
        <vt:lpwstr/>
      </vt:variant>
      <vt:variant>
        <vt:lpwstr>_Toc230793211</vt:lpwstr>
      </vt:variant>
      <vt:variant>
        <vt:i4>1114169</vt:i4>
      </vt:variant>
      <vt:variant>
        <vt:i4>149</vt:i4>
      </vt:variant>
      <vt:variant>
        <vt:i4>0</vt:i4>
      </vt:variant>
      <vt:variant>
        <vt:i4>5</vt:i4>
      </vt:variant>
      <vt:variant>
        <vt:lpwstr/>
      </vt:variant>
      <vt:variant>
        <vt:lpwstr>_Toc230793210</vt:lpwstr>
      </vt:variant>
      <vt:variant>
        <vt:i4>1048633</vt:i4>
      </vt:variant>
      <vt:variant>
        <vt:i4>143</vt:i4>
      </vt:variant>
      <vt:variant>
        <vt:i4>0</vt:i4>
      </vt:variant>
      <vt:variant>
        <vt:i4>5</vt:i4>
      </vt:variant>
      <vt:variant>
        <vt:lpwstr/>
      </vt:variant>
      <vt:variant>
        <vt:lpwstr>_Toc230793209</vt:lpwstr>
      </vt:variant>
      <vt:variant>
        <vt:i4>1048633</vt:i4>
      </vt:variant>
      <vt:variant>
        <vt:i4>137</vt:i4>
      </vt:variant>
      <vt:variant>
        <vt:i4>0</vt:i4>
      </vt:variant>
      <vt:variant>
        <vt:i4>5</vt:i4>
      </vt:variant>
      <vt:variant>
        <vt:lpwstr/>
      </vt:variant>
      <vt:variant>
        <vt:lpwstr>_Toc230793208</vt:lpwstr>
      </vt:variant>
      <vt:variant>
        <vt:i4>1048633</vt:i4>
      </vt:variant>
      <vt:variant>
        <vt:i4>131</vt:i4>
      </vt:variant>
      <vt:variant>
        <vt:i4>0</vt:i4>
      </vt:variant>
      <vt:variant>
        <vt:i4>5</vt:i4>
      </vt:variant>
      <vt:variant>
        <vt:lpwstr/>
      </vt:variant>
      <vt:variant>
        <vt:lpwstr>_Toc230793207</vt:lpwstr>
      </vt:variant>
      <vt:variant>
        <vt:i4>1048633</vt:i4>
      </vt:variant>
      <vt:variant>
        <vt:i4>125</vt:i4>
      </vt:variant>
      <vt:variant>
        <vt:i4>0</vt:i4>
      </vt:variant>
      <vt:variant>
        <vt:i4>5</vt:i4>
      </vt:variant>
      <vt:variant>
        <vt:lpwstr/>
      </vt:variant>
      <vt:variant>
        <vt:lpwstr>_Toc230793206</vt:lpwstr>
      </vt:variant>
      <vt:variant>
        <vt:i4>1048633</vt:i4>
      </vt:variant>
      <vt:variant>
        <vt:i4>119</vt:i4>
      </vt:variant>
      <vt:variant>
        <vt:i4>0</vt:i4>
      </vt:variant>
      <vt:variant>
        <vt:i4>5</vt:i4>
      </vt:variant>
      <vt:variant>
        <vt:lpwstr/>
      </vt:variant>
      <vt:variant>
        <vt:lpwstr>_Toc230793205</vt:lpwstr>
      </vt:variant>
      <vt:variant>
        <vt:i4>1048633</vt:i4>
      </vt:variant>
      <vt:variant>
        <vt:i4>113</vt:i4>
      </vt:variant>
      <vt:variant>
        <vt:i4>0</vt:i4>
      </vt:variant>
      <vt:variant>
        <vt:i4>5</vt:i4>
      </vt:variant>
      <vt:variant>
        <vt:lpwstr/>
      </vt:variant>
      <vt:variant>
        <vt:lpwstr>_Toc230793204</vt:lpwstr>
      </vt:variant>
      <vt:variant>
        <vt:i4>1048633</vt:i4>
      </vt:variant>
      <vt:variant>
        <vt:i4>107</vt:i4>
      </vt:variant>
      <vt:variant>
        <vt:i4>0</vt:i4>
      </vt:variant>
      <vt:variant>
        <vt:i4>5</vt:i4>
      </vt:variant>
      <vt:variant>
        <vt:lpwstr/>
      </vt:variant>
      <vt:variant>
        <vt:lpwstr>_Toc230793203</vt:lpwstr>
      </vt:variant>
      <vt:variant>
        <vt:i4>1048633</vt:i4>
      </vt:variant>
      <vt:variant>
        <vt:i4>101</vt:i4>
      </vt:variant>
      <vt:variant>
        <vt:i4>0</vt:i4>
      </vt:variant>
      <vt:variant>
        <vt:i4>5</vt:i4>
      </vt:variant>
      <vt:variant>
        <vt:lpwstr/>
      </vt:variant>
      <vt:variant>
        <vt:lpwstr>_Toc230793202</vt:lpwstr>
      </vt:variant>
      <vt:variant>
        <vt:i4>1048633</vt:i4>
      </vt:variant>
      <vt:variant>
        <vt:i4>95</vt:i4>
      </vt:variant>
      <vt:variant>
        <vt:i4>0</vt:i4>
      </vt:variant>
      <vt:variant>
        <vt:i4>5</vt:i4>
      </vt:variant>
      <vt:variant>
        <vt:lpwstr/>
      </vt:variant>
      <vt:variant>
        <vt:lpwstr>_Toc230793201</vt:lpwstr>
      </vt:variant>
      <vt:variant>
        <vt:i4>1048633</vt:i4>
      </vt:variant>
      <vt:variant>
        <vt:i4>89</vt:i4>
      </vt:variant>
      <vt:variant>
        <vt:i4>0</vt:i4>
      </vt:variant>
      <vt:variant>
        <vt:i4>5</vt:i4>
      </vt:variant>
      <vt:variant>
        <vt:lpwstr/>
      </vt:variant>
      <vt:variant>
        <vt:lpwstr>_Toc230793200</vt:lpwstr>
      </vt:variant>
      <vt:variant>
        <vt:i4>1638458</vt:i4>
      </vt:variant>
      <vt:variant>
        <vt:i4>83</vt:i4>
      </vt:variant>
      <vt:variant>
        <vt:i4>0</vt:i4>
      </vt:variant>
      <vt:variant>
        <vt:i4>5</vt:i4>
      </vt:variant>
      <vt:variant>
        <vt:lpwstr/>
      </vt:variant>
      <vt:variant>
        <vt:lpwstr>_Toc230793199</vt:lpwstr>
      </vt:variant>
      <vt:variant>
        <vt:i4>1638458</vt:i4>
      </vt:variant>
      <vt:variant>
        <vt:i4>77</vt:i4>
      </vt:variant>
      <vt:variant>
        <vt:i4>0</vt:i4>
      </vt:variant>
      <vt:variant>
        <vt:i4>5</vt:i4>
      </vt:variant>
      <vt:variant>
        <vt:lpwstr/>
      </vt:variant>
      <vt:variant>
        <vt:lpwstr>_Toc230793198</vt:lpwstr>
      </vt:variant>
      <vt:variant>
        <vt:i4>1638458</vt:i4>
      </vt:variant>
      <vt:variant>
        <vt:i4>71</vt:i4>
      </vt:variant>
      <vt:variant>
        <vt:i4>0</vt:i4>
      </vt:variant>
      <vt:variant>
        <vt:i4>5</vt:i4>
      </vt:variant>
      <vt:variant>
        <vt:lpwstr/>
      </vt:variant>
      <vt:variant>
        <vt:lpwstr>_Toc230793197</vt:lpwstr>
      </vt:variant>
      <vt:variant>
        <vt:i4>1638458</vt:i4>
      </vt:variant>
      <vt:variant>
        <vt:i4>65</vt:i4>
      </vt:variant>
      <vt:variant>
        <vt:i4>0</vt:i4>
      </vt:variant>
      <vt:variant>
        <vt:i4>5</vt:i4>
      </vt:variant>
      <vt:variant>
        <vt:lpwstr/>
      </vt:variant>
      <vt:variant>
        <vt:lpwstr>_Toc230793196</vt:lpwstr>
      </vt:variant>
      <vt:variant>
        <vt:i4>1638458</vt:i4>
      </vt:variant>
      <vt:variant>
        <vt:i4>59</vt:i4>
      </vt:variant>
      <vt:variant>
        <vt:i4>0</vt:i4>
      </vt:variant>
      <vt:variant>
        <vt:i4>5</vt:i4>
      </vt:variant>
      <vt:variant>
        <vt:lpwstr/>
      </vt:variant>
      <vt:variant>
        <vt:lpwstr>_Toc230793195</vt:lpwstr>
      </vt:variant>
      <vt:variant>
        <vt:i4>1638458</vt:i4>
      </vt:variant>
      <vt:variant>
        <vt:i4>53</vt:i4>
      </vt:variant>
      <vt:variant>
        <vt:i4>0</vt:i4>
      </vt:variant>
      <vt:variant>
        <vt:i4>5</vt:i4>
      </vt:variant>
      <vt:variant>
        <vt:lpwstr/>
      </vt:variant>
      <vt:variant>
        <vt:lpwstr>_Toc230793194</vt:lpwstr>
      </vt:variant>
      <vt:variant>
        <vt:i4>1638458</vt:i4>
      </vt:variant>
      <vt:variant>
        <vt:i4>47</vt:i4>
      </vt:variant>
      <vt:variant>
        <vt:i4>0</vt:i4>
      </vt:variant>
      <vt:variant>
        <vt:i4>5</vt:i4>
      </vt:variant>
      <vt:variant>
        <vt:lpwstr/>
      </vt:variant>
      <vt:variant>
        <vt:lpwstr>_Toc230793193</vt:lpwstr>
      </vt:variant>
      <vt:variant>
        <vt:i4>1638458</vt:i4>
      </vt:variant>
      <vt:variant>
        <vt:i4>41</vt:i4>
      </vt:variant>
      <vt:variant>
        <vt:i4>0</vt:i4>
      </vt:variant>
      <vt:variant>
        <vt:i4>5</vt:i4>
      </vt:variant>
      <vt:variant>
        <vt:lpwstr/>
      </vt:variant>
      <vt:variant>
        <vt:lpwstr>_Toc230793192</vt:lpwstr>
      </vt:variant>
      <vt:variant>
        <vt:i4>1638458</vt:i4>
      </vt:variant>
      <vt:variant>
        <vt:i4>35</vt:i4>
      </vt:variant>
      <vt:variant>
        <vt:i4>0</vt:i4>
      </vt:variant>
      <vt:variant>
        <vt:i4>5</vt:i4>
      </vt:variant>
      <vt:variant>
        <vt:lpwstr/>
      </vt:variant>
      <vt:variant>
        <vt:lpwstr>_Toc230793191</vt:lpwstr>
      </vt:variant>
      <vt:variant>
        <vt:i4>1638458</vt:i4>
      </vt:variant>
      <vt:variant>
        <vt:i4>29</vt:i4>
      </vt:variant>
      <vt:variant>
        <vt:i4>0</vt:i4>
      </vt:variant>
      <vt:variant>
        <vt:i4>5</vt:i4>
      </vt:variant>
      <vt:variant>
        <vt:lpwstr/>
      </vt:variant>
      <vt:variant>
        <vt:lpwstr>_Toc230793190</vt:lpwstr>
      </vt:variant>
      <vt:variant>
        <vt:i4>1572922</vt:i4>
      </vt:variant>
      <vt:variant>
        <vt:i4>23</vt:i4>
      </vt:variant>
      <vt:variant>
        <vt:i4>0</vt:i4>
      </vt:variant>
      <vt:variant>
        <vt:i4>5</vt:i4>
      </vt:variant>
      <vt:variant>
        <vt:lpwstr/>
      </vt:variant>
      <vt:variant>
        <vt:lpwstr>_Toc230793189</vt:lpwstr>
      </vt:variant>
      <vt:variant>
        <vt:i4>1572922</vt:i4>
      </vt:variant>
      <vt:variant>
        <vt:i4>17</vt:i4>
      </vt:variant>
      <vt:variant>
        <vt:i4>0</vt:i4>
      </vt:variant>
      <vt:variant>
        <vt:i4>5</vt:i4>
      </vt:variant>
      <vt:variant>
        <vt:lpwstr/>
      </vt:variant>
      <vt:variant>
        <vt:lpwstr>_Toc230793188</vt:lpwstr>
      </vt:variant>
      <vt:variant>
        <vt:i4>1572922</vt:i4>
      </vt:variant>
      <vt:variant>
        <vt:i4>11</vt:i4>
      </vt:variant>
      <vt:variant>
        <vt:i4>0</vt:i4>
      </vt:variant>
      <vt:variant>
        <vt:i4>5</vt:i4>
      </vt:variant>
      <vt:variant>
        <vt:lpwstr/>
      </vt:variant>
      <vt:variant>
        <vt:lpwstr>_Toc230793187</vt:lpwstr>
      </vt:variant>
      <vt:variant>
        <vt:i4>1572981</vt:i4>
      </vt:variant>
      <vt:variant>
        <vt:i4>6</vt:i4>
      </vt:variant>
      <vt:variant>
        <vt:i4>0</vt:i4>
      </vt:variant>
      <vt:variant>
        <vt:i4>5</vt:i4>
      </vt:variant>
      <vt:variant>
        <vt:lpwstr>https://www.aph.gov.au/Parliamentary_Business/Committees/OnlineSubmission</vt:lpwstr>
      </vt:variant>
      <vt:variant>
        <vt:lpwstr/>
      </vt:variant>
      <vt:variant>
        <vt:i4>7209012</vt:i4>
      </vt:variant>
      <vt:variant>
        <vt:i4>3</vt:i4>
      </vt:variant>
      <vt:variant>
        <vt:i4>0</vt:i4>
      </vt:variant>
      <vt:variant>
        <vt:i4>5</vt:i4>
      </vt:variant>
      <vt:variant>
        <vt:lpwstr>http://www.bca.org.au/</vt:lpwstr>
      </vt:variant>
      <vt:variant>
        <vt:lpwstr/>
      </vt:variant>
      <vt:variant>
        <vt:i4>721016</vt:i4>
      </vt:variant>
      <vt:variant>
        <vt:i4>0</vt:i4>
      </vt:variant>
      <vt:variant>
        <vt:i4>0</vt:i4>
      </vt:variant>
      <vt:variant>
        <vt:i4>5</vt:i4>
      </vt:variant>
      <vt:variant>
        <vt:lpwstr>mailto:bca@bca.org.au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Chatfield</dc:creator>
  <cp:keywords/>
  <dc:description/>
  <cp:lastModifiedBy>Melanie Chatfield</cp:lastModifiedBy>
  <cp:revision>113</cp:revision>
  <dcterms:created xsi:type="dcterms:W3CDTF">2026-06-01T01:40:00Z</dcterms:created>
  <dcterms:modified xsi:type="dcterms:W3CDTF">2026-06-01T04:48:00Z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0x01010064167980590E0644B29A54F4150AFD74</vt:lpwstr>
  </property>
  <property fmtid="{D5CDD505-2E9C-101B-9397-08002B2CF9AE}" pid="3" name="MediaServiceImageTags">
    <vt:lpwstr/>
  </property>
</Properties>
</file>