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7A22" w14:textId="30CBF73B" w:rsidR="00FB0B19" w:rsidRPr="002116BB" w:rsidRDefault="002116BB" w:rsidP="00127681">
      <w:pPr>
        <w:spacing w:line="360" w:lineRule="auto"/>
        <w:ind w:left="0"/>
        <w:rPr>
          <w:b/>
          <w:bCs/>
        </w:rPr>
      </w:pPr>
      <w:r w:rsidRPr="002116BB">
        <w:rPr>
          <w:b/>
          <w:bCs/>
        </w:rPr>
        <w:t>BCA Inform – Advocacy in Practice</w:t>
      </w:r>
    </w:p>
    <w:p w14:paraId="0F375BFC" w14:textId="77777777" w:rsidR="00436135" w:rsidRDefault="002116BB" w:rsidP="00127681">
      <w:pPr>
        <w:spacing w:line="360" w:lineRule="auto"/>
        <w:ind w:left="0"/>
      </w:pPr>
      <w:r>
        <w:t>On Tuesday, 12</w:t>
      </w:r>
      <w:r w:rsidRPr="002116BB">
        <w:rPr>
          <w:vertAlign w:val="superscript"/>
        </w:rPr>
        <w:t>th</w:t>
      </w:r>
      <w:r>
        <w:t xml:space="preserve"> May, BCA’s Inform session</w:t>
      </w:r>
      <w:r w:rsidRPr="002116BB">
        <w:t xml:space="preserve"> on advocacy in practice provided a detailed and practical exploration of how advocacy supports people who are blind or </w:t>
      </w:r>
      <w:r w:rsidR="00127681">
        <w:t>v</w:t>
      </w:r>
      <w:r w:rsidRPr="002116BB">
        <w:t xml:space="preserve">ision </w:t>
      </w:r>
      <w:r w:rsidR="00127681">
        <w:t xml:space="preserve">impaired </w:t>
      </w:r>
      <w:r w:rsidRPr="002116BB">
        <w:t>at both an individual and systemic level</w:t>
      </w:r>
      <w:r w:rsidR="00127681">
        <w:t>.</w:t>
      </w:r>
    </w:p>
    <w:p w14:paraId="16E932E3" w14:textId="6414DB8B" w:rsidR="008A2591" w:rsidRDefault="00127681" w:rsidP="00127681">
      <w:pPr>
        <w:spacing w:line="360" w:lineRule="auto"/>
        <w:ind w:left="0"/>
      </w:pPr>
      <w:r>
        <w:t xml:space="preserve">The session kicked off with </w:t>
      </w:r>
      <w:r w:rsidRPr="00127681">
        <w:t>Martin Stewart</w:t>
      </w:r>
      <w:r>
        <w:t>, BCA’s National Advocacy Officer, whose presentation focused</w:t>
      </w:r>
      <w:r w:rsidRPr="00127681">
        <w:t xml:space="preserve"> on the practice of individual advocacy and the value of equipping people with the confidence and tools to advocate for themselves. </w:t>
      </w:r>
    </w:p>
    <w:p w14:paraId="075B5D85" w14:textId="02710504" w:rsidR="00127681" w:rsidRDefault="008A2591" w:rsidP="00127681">
      <w:pPr>
        <w:spacing w:line="360" w:lineRule="auto"/>
        <w:ind w:left="0"/>
      </w:pPr>
      <w:r>
        <w:t>Martin discussed BCA's advocacy work, highlighting that th</w:t>
      </w:r>
      <w:r w:rsidR="00127681">
        <w:t>ere</w:t>
      </w:r>
      <w:r w:rsidR="00436135">
        <w:t>’s</w:t>
      </w:r>
      <w:r w:rsidR="00127681">
        <w:t xml:space="preserve"> </w:t>
      </w:r>
      <w:r>
        <w:t xml:space="preserve">currently 46 people on the waiting list and have closed 521 individual cases over six and a half years. He emphasized the importance of </w:t>
      </w:r>
      <w:proofErr w:type="spellStart"/>
      <w:r>
        <w:t>self</w:t>
      </w:r>
      <w:r w:rsidR="00127681">
        <w:t xml:space="preserve"> </w:t>
      </w:r>
      <w:r>
        <w:t>advocacy</w:t>
      </w:r>
      <w:proofErr w:type="spellEnd"/>
      <w:r>
        <w:t xml:space="preserve"> and shared strategies for handling discrimination situations, including </w:t>
      </w:r>
      <w:proofErr w:type="spellStart"/>
      <w:r>
        <w:t>modeling</w:t>
      </w:r>
      <w:proofErr w:type="spellEnd"/>
      <w:r>
        <w:t xml:space="preserve"> successful negotiation techniques and using a friendly approach when advocating. </w:t>
      </w:r>
    </w:p>
    <w:p w14:paraId="61D98F40" w14:textId="734DB666" w:rsidR="008A2591" w:rsidRDefault="008A2591" w:rsidP="00127681">
      <w:pPr>
        <w:spacing w:line="360" w:lineRule="auto"/>
        <w:ind w:left="0"/>
      </w:pPr>
      <w:r>
        <w:t>Martin noted that many issues affecting individuals also impact the broader community, and he encouraged attendees to prioritize their battles while understanding it's okay to take a break when needed.</w:t>
      </w:r>
    </w:p>
    <w:p w14:paraId="3E0BB76B" w14:textId="7BDE061C" w:rsidR="00127681" w:rsidRDefault="008A2591" w:rsidP="00127681">
      <w:pPr>
        <w:spacing w:line="360" w:lineRule="auto"/>
        <w:ind w:left="0"/>
      </w:pPr>
      <w:r>
        <w:t>Martin discussed his role as an advocate, explaining that he</w:t>
      </w:r>
      <w:r w:rsidR="00FB0B19">
        <w:t xml:space="preserve"> </w:t>
      </w:r>
      <w:r>
        <w:t>handles cases across the country and internationally, and emphasize</w:t>
      </w:r>
      <w:r w:rsidR="00436135">
        <w:t>d</w:t>
      </w:r>
      <w:r>
        <w:t xml:space="preserve"> the importance of listening to clients. He described the challenging nature of the work, noting that advocates typically don't stay in their positions longer than </w:t>
      </w:r>
      <w:r w:rsidR="00127681">
        <w:t>six to seven</w:t>
      </w:r>
      <w:r>
        <w:t xml:space="preserve"> years due to the stress involved.</w:t>
      </w:r>
    </w:p>
    <w:p w14:paraId="75DAD2BE" w14:textId="640F67BD" w:rsidR="00FB0B19" w:rsidRDefault="008A2591" w:rsidP="00127681">
      <w:pPr>
        <w:spacing w:line="360" w:lineRule="auto"/>
        <w:ind w:left="0"/>
      </w:pPr>
      <w:r>
        <w:t xml:space="preserve">When asked by </w:t>
      </w:r>
      <w:r w:rsidR="00FB0B19">
        <w:t xml:space="preserve">an attendee </w:t>
      </w:r>
      <w:r>
        <w:t xml:space="preserve">about distinguishing between individual and systemic advocacy cases, Martin advised that most individual cases have systemic elements, and recommended contacting BCA for guidance when unsure about the best approach. </w:t>
      </w:r>
    </w:p>
    <w:p w14:paraId="165FA83D" w14:textId="09875BAC" w:rsidR="008A2591" w:rsidRDefault="008A2591" w:rsidP="00127681">
      <w:pPr>
        <w:spacing w:line="360" w:lineRule="auto"/>
        <w:ind w:left="0"/>
      </w:pPr>
      <w:r>
        <w:t xml:space="preserve">In response to </w:t>
      </w:r>
      <w:r w:rsidR="00412843">
        <w:t>a</w:t>
      </w:r>
      <w:r w:rsidR="00FB0B19">
        <w:t xml:space="preserve"> </w:t>
      </w:r>
      <w:r>
        <w:t>question about communicating accessibility needs, Martin suggested explaining the importance of audibility and descriptive content when discussing tools like screen readers, and emphasized that every vision impairment is different, requiring individualized approaches to communication preferences.</w:t>
      </w:r>
    </w:p>
    <w:p w14:paraId="5CE4C53F" w14:textId="77777777" w:rsidR="000E5F46" w:rsidRDefault="00127681" w:rsidP="00127681">
      <w:pPr>
        <w:spacing w:line="360" w:lineRule="auto"/>
        <w:ind w:left="0"/>
      </w:pPr>
      <w:r>
        <w:lastRenderedPageBreak/>
        <w:t xml:space="preserve">The session then moved to </w:t>
      </w:r>
      <w:r w:rsidR="008A2591">
        <w:t xml:space="preserve">Francois Jacobs, </w:t>
      </w:r>
      <w:r w:rsidR="00FB0B19">
        <w:t>BCA’s</w:t>
      </w:r>
      <w:r w:rsidR="008A2591">
        <w:t xml:space="preserve"> new Systemic Advocacy Lea</w:t>
      </w:r>
      <w:r w:rsidR="00FB0B19">
        <w:t>d</w:t>
      </w:r>
      <w:r w:rsidR="008A2591">
        <w:t xml:space="preserve">, </w:t>
      </w:r>
      <w:r>
        <w:t xml:space="preserve">who </w:t>
      </w:r>
      <w:r w:rsidR="008A2591">
        <w:t xml:space="preserve">outlined the priority areas for systemic advocacy work, including audio description, taxi and rideshare refusal for dog guides, aged care reforms, accessible appliances, inclusive employment, and government response to Disability Royal Commission recommendations. </w:t>
      </w:r>
    </w:p>
    <w:p w14:paraId="0757E8DB" w14:textId="5404F2D5" w:rsidR="002116BB" w:rsidRDefault="008A2591" w:rsidP="00127681">
      <w:pPr>
        <w:spacing w:line="360" w:lineRule="auto"/>
        <w:ind w:left="0"/>
      </w:pPr>
      <w:r>
        <w:t xml:space="preserve">He explained the difference between individual and systemic advocacy, emphasizing the role of systemic advocates in changing laws, policies, and systems. </w:t>
      </w:r>
    </w:p>
    <w:p w14:paraId="1AA1A93C" w14:textId="7DFB8700" w:rsidR="002116BB" w:rsidRDefault="00127681" w:rsidP="00127681">
      <w:pPr>
        <w:spacing w:line="360" w:lineRule="auto"/>
        <w:ind w:left="0"/>
      </w:pPr>
      <w:r>
        <w:t xml:space="preserve">And </w:t>
      </w:r>
      <w:r w:rsidR="00412843">
        <w:t>lastly</w:t>
      </w:r>
      <w:r>
        <w:t xml:space="preserve">, </w:t>
      </w:r>
      <w:r w:rsidR="008A2591">
        <w:t>Melanie</w:t>
      </w:r>
      <w:r>
        <w:t xml:space="preserve"> Chatfield, BCA’s Policy Officer</w:t>
      </w:r>
      <w:r w:rsidR="008A2591">
        <w:t xml:space="preserve"> discussed BCA's work on accessible healthcare, including the development of a fact sheet and position paper to assist people in navigating healthcare appointments and addressing accessibility issues. </w:t>
      </w:r>
    </w:p>
    <w:p w14:paraId="1E29BA46" w14:textId="126413B3" w:rsidR="008C6F5E" w:rsidRDefault="008A2591" w:rsidP="00127681">
      <w:pPr>
        <w:spacing w:line="360" w:lineRule="auto"/>
        <w:ind w:left="0"/>
      </w:pPr>
      <w:r>
        <w:t>The session concluded with questions from attendees about accessible voting, NDIS advocacy</w:t>
      </w:r>
      <w:r w:rsidR="000E5F46">
        <w:t xml:space="preserve"> </w:t>
      </w:r>
      <w:r>
        <w:t>and healthcare accessibility, with Martin, Melanie, and Francois providing responses and insights.</w:t>
      </w:r>
    </w:p>
    <w:p w14:paraId="5B947803" w14:textId="77777777" w:rsidR="00C17B11" w:rsidRPr="00C17B11" w:rsidRDefault="00C17B11" w:rsidP="00C17B11">
      <w:pPr>
        <w:spacing w:line="360" w:lineRule="auto"/>
        <w:ind w:left="0"/>
      </w:pPr>
      <w:r w:rsidRPr="00C17B11">
        <w:t>The session demonstrated that advocacy is both immediate and long term: it supports people in resolving urgent barriers today while also building the case for more inclusive systems tomorrow. Being strongly grounded in lived experience, the session provided attendees with a clearer understanding of BCA’s advocacy work.</w:t>
      </w:r>
    </w:p>
    <w:p w14:paraId="30778C23" w14:textId="77777777" w:rsidR="00C17B11" w:rsidRDefault="00C17B11" w:rsidP="00127681">
      <w:pPr>
        <w:spacing w:line="360" w:lineRule="auto"/>
        <w:ind w:left="0"/>
      </w:pPr>
    </w:p>
    <w:sectPr w:rsidR="00C17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43950"/>
    <w:multiLevelType w:val="multilevel"/>
    <w:tmpl w:val="C50E5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887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91"/>
    <w:rsid w:val="0002297E"/>
    <w:rsid w:val="000E5F46"/>
    <w:rsid w:val="00127681"/>
    <w:rsid w:val="002116BB"/>
    <w:rsid w:val="00412843"/>
    <w:rsid w:val="00436135"/>
    <w:rsid w:val="00512632"/>
    <w:rsid w:val="008A2591"/>
    <w:rsid w:val="008C6F5E"/>
    <w:rsid w:val="00947DD8"/>
    <w:rsid w:val="00BB7AB3"/>
    <w:rsid w:val="00C17B11"/>
    <w:rsid w:val="00DE7403"/>
    <w:rsid w:val="00FB0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C7C1"/>
  <w15:chartTrackingRefBased/>
  <w15:docId w15:val="{2064EB2D-110B-48DD-96E0-B975E8B0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AU" w:eastAsia="en-US" w:bidi="ar-SA"/>
      </w:rPr>
    </w:rPrDefault>
    <w:pPrDefault>
      <w:pPr>
        <w:spacing w:before="240" w:after="160"/>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5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5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25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25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25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259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259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5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5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25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25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25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25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25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2591"/>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A259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A2591"/>
    <w:pPr>
      <w:numPr>
        <w:ilvl w:val="1"/>
      </w:numPr>
      <w:ind w:left="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5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2591"/>
    <w:pPr>
      <w:spacing w:before="160"/>
      <w:jc w:val="center"/>
    </w:pPr>
    <w:rPr>
      <w:i/>
      <w:iCs/>
      <w:color w:val="404040" w:themeColor="text1" w:themeTint="BF"/>
    </w:rPr>
  </w:style>
  <w:style w:type="character" w:customStyle="1" w:styleId="QuoteChar">
    <w:name w:val="Quote Char"/>
    <w:basedOn w:val="DefaultParagraphFont"/>
    <w:link w:val="Quote"/>
    <w:uiPriority w:val="29"/>
    <w:rsid w:val="008A2591"/>
    <w:rPr>
      <w:i/>
      <w:iCs/>
      <w:color w:val="404040" w:themeColor="text1" w:themeTint="BF"/>
    </w:rPr>
  </w:style>
  <w:style w:type="paragraph" w:styleId="ListParagraph">
    <w:name w:val="List Paragraph"/>
    <w:basedOn w:val="Normal"/>
    <w:uiPriority w:val="34"/>
    <w:qFormat/>
    <w:rsid w:val="008A2591"/>
    <w:pPr>
      <w:ind w:left="720"/>
      <w:contextualSpacing/>
    </w:pPr>
  </w:style>
  <w:style w:type="character" w:styleId="IntenseEmphasis">
    <w:name w:val="Intense Emphasis"/>
    <w:basedOn w:val="DefaultParagraphFont"/>
    <w:uiPriority w:val="21"/>
    <w:qFormat/>
    <w:rsid w:val="008A2591"/>
    <w:rPr>
      <w:i/>
      <w:iCs/>
      <w:color w:val="0F4761" w:themeColor="accent1" w:themeShade="BF"/>
    </w:rPr>
  </w:style>
  <w:style w:type="paragraph" w:styleId="IntenseQuote">
    <w:name w:val="Intense Quote"/>
    <w:basedOn w:val="Normal"/>
    <w:next w:val="Normal"/>
    <w:link w:val="IntenseQuoteChar"/>
    <w:uiPriority w:val="30"/>
    <w:qFormat/>
    <w:rsid w:val="008A2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591"/>
    <w:rPr>
      <w:i/>
      <w:iCs/>
      <w:color w:val="0F4761" w:themeColor="accent1" w:themeShade="BF"/>
    </w:rPr>
  </w:style>
  <w:style w:type="character" w:styleId="IntenseReference">
    <w:name w:val="Intense Reference"/>
    <w:basedOn w:val="DefaultParagraphFont"/>
    <w:uiPriority w:val="32"/>
    <w:qFormat/>
    <w:rsid w:val="008A2591"/>
    <w:rPr>
      <w:b/>
      <w:bCs/>
      <w:smallCaps/>
      <w:color w:val="0F4761" w:themeColor="accent1" w:themeShade="BF"/>
      <w:spacing w:val="5"/>
    </w:rPr>
  </w:style>
  <w:style w:type="character" w:styleId="Hyperlink">
    <w:name w:val="Hyperlink"/>
    <w:basedOn w:val="DefaultParagraphFont"/>
    <w:uiPriority w:val="99"/>
    <w:unhideWhenUsed/>
    <w:rsid w:val="008A2591"/>
    <w:rPr>
      <w:color w:val="467886" w:themeColor="hyperlink"/>
      <w:u w:val="single"/>
    </w:rPr>
  </w:style>
  <w:style w:type="character" w:styleId="UnresolvedMention">
    <w:name w:val="Unresolved Mention"/>
    <w:basedOn w:val="DefaultParagraphFont"/>
    <w:uiPriority w:val="99"/>
    <w:semiHidden/>
    <w:unhideWhenUsed/>
    <w:rsid w:val="008A2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456</Words>
  <Characters>2769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 Hage</dc:creator>
  <cp:keywords/>
  <dc:description/>
  <cp:lastModifiedBy>Layal Hage</cp:lastModifiedBy>
  <cp:revision>6</cp:revision>
  <dcterms:created xsi:type="dcterms:W3CDTF">2026-05-21T02:29:00Z</dcterms:created>
  <dcterms:modified xsi:type="dcterms:W3CDTF">2026-05-21T03:56:00Z</dcterms:modified>
</cp:coreProperties>
</file>