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787C7" w14:textId="6DA0E895" w:rsidR="00843C9D" w:rsidRDefault="00843C9D" w:rsidP="00227F74">
      <w:pPr>
        <w:pStyle w:val="Heading2"/>
        <w:rPr>
          <w:b/>
          <w:bCs/>
        </w:rPr>
      </w:pPr>
      <w:r>
        <w:rPr>
          <w:noProof/>
        </w:rPr>
        <w:drawing>
          <wp:inline distT="0" distB="0" distL="0" distR="0" wp14:anchorId="51078FBE" wp14:editId="2A22505B">
            <wp:extent cx="5524500" cy="828675"/>
            <wp:effectExtent l="0" t="0" r="0" b="0"/>
            <wp:docPr id="3" name="Picture 3" descr="Blind Citizens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CA LOGO LANDSCAPE.png"/>
                    <pic:cNvPicPr/>
                  </pic:nvPicPr>
                  <pic:blipFill>
                    <a:blip r:embed="rId11"/>
                    <a:stretch>
                      <a:fillRect/>
                    </a:stretch>
                  </pic:blipFill>
                  <pic:spPr>
                    <a:xfrm>
                      <a:off x="0" y="0"/>
                      <a:ext cx="5547133" cy="832070"/>
                    </a:xfrm>
                    <a:prstGeom prst="rect">
                      <a:avLst/>
                    </a:prstGeom>
                  </pic:spPr>
                </pic:pic>
              </a:graphicData>
            </a:graphic>
          </wp:inline>
        </w:drawing>
      </w:r>
    </w:p>
    <w:p w14:paraId="0518B475" w14:textId="77777777" w:rsidR="0083098E" w:rsidRPr="00A67164" w:rsidRDefault="0083098E" w:rsidP="0083098E">
      <w:pPr>
        <w:pStyle w:val="Date"/>
      </w:pPr>
      <w:r w:rsidRPr="00306E88">
        <w:rPr>
          <w:rStyle w:val="Heading2Char"/>
          <w:rFonts w:eastAsiaTheme="minorEastAsia" w:cs="Arial"/>
          <w:bCs w:val="0"/>
          <w:color w:val="500061"/>
          <w:sz w:val="24"/>
          <w:szCs w:val="24"/>
        </w:rPr>
        <w:t>Ph</w:t>
      </w:r>
      <w:r w:rsidRPr="00306E88">
        <w:t xml:space="preserve"> 1800 033 660  |  </w:t>
      </w:r>
      <w:r w:rsidRPr="00306E88">
        <w:rPr>
          <w:rStyle w:val="Heading2Char"/>
          <w:rFonts w:eastAsiaTheme="minorEastAsia" w:cs="Arial"/>
          <w:bCs w:val="0"/>
          <w:color w:val="500061"/>
          <w:sz w:val="24"/>
          <w:szCs w:val="24"/>
        </w:rPr>
        <w:t>E</w:t>
      </w:r>
      <w:r w:rsidRPr="00306E88">
        <w:t xml:space="preserve"> </w:t>
      </w:r>
      <w:hyperlink r:id="rId12" w:history="1">
        <w:r w:rsidRPr="00306E88">
          <w:rPr>
            <w:rStyle w:val="Hyperlink"/>
            <w:color w:val="500061"/>
            <w:u w:val="none"/>
          </w:rPr>
          <w:t>bca@bca.org.au</w:t>
        </w:r>
      </w:hyperlink>
      <w:r w:rsidRPr="00306E88">
        <w:rPr>
          <w:rStyle w:val="Hyperlink"/>
          <w:color w:val="500061"/>
          <w:u w:val="none"/>
        </w:rPr>
        <w:t xml:space="preserve"> </w:t>
      </w:r>
      <w:r w:rsidRPr="00306E88">
        <w:t xml:space="preserve"> |  </w:t>
      </w:r>
      <w:r w:rsidRPr="00306E88">
        <w:rPr>
          <w:rStyle w:val="Heading2Char"/>
          <w:rFonts w:eastAsiaTheme="minorEastAsia" w:cs="Arial"/>
          <w:bCs w:val="0"/>
          <w:color w:val="500061"/>
          <w:sz w:val="24"/>
          <w:szCs w:val="24"/>
        </w:rPr>
        <w:t>W</w:t>
      </w:r>
      <w:r w:rsidRPr="00306E88">
        <w:t xml:space="preserve"> </w:t>
      </w:r>
      <w:hyperlink r:id="rId13" w:tooltip="click to go to BCA website" w:history="1">
        <w:r w:rsidRPr="00306E88">
          <w:rPr>
            <w:rStyle w:val="Hyperlink"/>
            <w:color w:val="500061"/>
            <w:u w:val="none"/>
          </w:rPr>
          <w:t>bca.org.au</w:t>
        </w:r>
      </w:hyperlink>
      <w:r w:rsidRPr="00306E88">
        <w:rPr>
          <w:rStyle w:val="Hyperlink"/>
          <w:color w:val="500061"/>
          <w:u w:val="none"/>
        </w:rPr>
        <w:t xml:space="preserve"> |  </w:t>
      </w:r>
      <w:r w:rsidRPr="00306E88">
        <w:rPr>
          <w:rStyle w:val="Heading2Char"/>
          <w:rFonts w:eastAsiaTheme="minorEastAsia" w:cs="Arial"/>
          <w:bCs w:val="0"/>
          <w:color w:val="500061"/>
          <w:sz w:val="24"/>
          <w:szCs w:val="24"/>
        </w:rPr>
        <w:t>ABN</w:t>
      </w:r>
      <w:r w:rsidRPr="00306E88">
        <w:t xml:space="preserve"> 90 006 985 226</w:t>
      </w:r>
    </w:p>
    <w:p w14:paraId="2C319472" w14:textId="77777777" w:rsidR="0083098E" w:rsidRDefault="0083098E" w:rsidP="00227F74">
      <w:pPr>
        <w:pStyle w:val="Heading2"/>
        <w:rPr>
          <w:b/>
          <w:bCs/>
        </w:rPr>
      </w:pPr>
    </w:p>
    <w:p w14:paraId="2E77380D" w14:textId="5A2FBF6E" w:rsidR="00FA2661" w:rsidRDefault="00B469DF" w:rsidP="00227F74">
      <w:pPr>
        <w:pStyle w:val="Heading2"/>
        <w:rPr>
          <w:b/>
          <w:bCs/>
        </w:rPr>
      </w:pPr>
      <w:r>
        <w:rPr>
          <w:b/>
          <w:bCs/>
        </w:rPr>
        <w:t xml:space="preserve">Submission to the </w:t>
      </w:r>
      <w:r w:rsidR="004C759B" w:rsidRPr="004C759B">
        <w:rPr>
          <w:b/>
          <w:bCs/>
        </w:rPr>
        <w:t xml:space="preserve">Senate Economics Legislation Committee - Inquiry into Cash Distribution </w:t>
      </w:r>
      <w:r w:rsidR="007519FA">
        <w:rPr>
          <w:b/>
          <w:bCs/>
        </w:rPr>
        <w:t>Framework</w:t>
      </w:r>
      <w:r w:rsidR="004C759B" w:rsidRPr="004C759B">
        <w:rPr>
          <w:b/>
          <w:bCs/>
        </w:rPr>
        <w:t xml:space="preserve"> Bill 2026</w:t>
      </w:r>
    </w:p>
    <w:p w14:paraId="7953F31F" w14:textId="77777777" w:rsidR="00B469DF" w:rsidRDefault="00B469DF" w:rsidP="00B469DF"/>
    <w:p w14:paraId="1B058F95" w14:textId="5763FD94" w:rsidR="00B469DF" w:rsidRDefault="00F2555E" w:rsidP="00B469DF">
      <w:r>
        <w:t>Lodged</w:t>
      </w:r>
      <w:r w:rsidR="00974576">
        <w:t xml:space="preserve">: </w:t>
      </w:r>
      <w:r w:rsidR="002A1662" w:rsidRPr="002A1662">
        <w:t>www.aph.gov.au</w:t>
      </w:r>
    </w:p>
    <w:p w14:paraId="75982B2B" w14:textId="006DDFBE" w:rsidR="00974576" w:rsidRDefault="00974576" w:rsidP="00B469DF">
      <w:r>
        <w:t>Author: Melanie Chatfield, National Policy Officer</w:t>
      </w:r>
    </w:p>
    <w:p w14:paraId="6C897BE4" w14:textId="26A62F43" w:rsidR="00974576" w:rsidRDefault="00974576" w:rsidP="00B469DF">
      <w:r>
        <w:t xml:space="preserve">Contact: </w:t>
      </w:r>
      <w:hyperlink r:id="rId14" w:history="1">
        <w:r w:rsidRPr="00F273F2">
          <w:rPr>
            <w:rStyle w:val="Hyperlink"/>
          </w:rPr>
          <w:t>melanie.chatfield@bca.org.au</w:t>
        </w:r>
      </w:hyperlink>
    </w:p>
    <w:p w14:paraId="46D68D79" w14:textId="56B6B6D4" w:rsidR="00974576" w:rsidRDefault="00974576" w:rsidP="00B469DF">
      <w:r>
        <w:t>Dat</w:t>
      </w:r>
      <w:r w:rsidR="008D460B">
        <w:t>e: 17 July 2026</w:t>
      </w:r>
    </w:p>
    <w:p w14:paraId="2A8E34AE" w14:textId="70B84526" w:rsidR="00C70636" w:rsidRDefault="00C70636">
      <w:r>
        <w:br w:type="page"/>
      </w:r>
    </w:p>
    <w:p w14:paraId="2A7BE100" w14:textId="527AFE54" w:rsidR="00A82E23" w:rsidRDefault="00AC4859" w:rsidP="00227F74">
      <w:pPr>
        <w:pStyle w:val="Heading2"/>
      </w:pPr>
      <w:r>
        <w:lastRenderedPageBreak/>
        <w:t>Introduction</w:t>
      </w:r>
      <w:r w:rsidR="00A82E23">
        <w:t xml:space="preserve"> </w:t>
      </w:r>
    </w:p>
    <w:p w14:paraId="6AA838CB" w14:textId="0B03AAB8" w:rsidR="00081257" w:rsidRPr="00081257" w:rsidRDefault="00081257" w:rsidP="00081257">
      <w:pPr>
        <w:spacing w:line="360" w:lineRule="auto"/>
        <w:rPr>
          <w:rFonts w:ascii="Arial" w:hAnsi="Arial" w:cs="Arial"/>
        </w:rPr>
      </w:pPr>
      <w:r w:rsidRPr="00081257">
        <w:rPr>
          <w:rFonts w:ascii="Arial" w:hAnsi="Arial" w:cs="Arial"/>
        </w:rPr>
        <w:t xml:space="preserve">Blind Citizens Australia (BCA) welcomes the opportunity to provide this submission on the Cash Distribution </w:t>
      </w:r>
      <w:r w:rsidR="007519FA">
        <w:rPr>
          <w:rFonts w:ascii="Arial" w:hAnsi="Arial" w:cs="Arial"/>
        </w:rPr>
        <w:t>Framework</w:t>
      </w:r>
      <w:r w:rsidRPr="00081257">
        <w:rPr>
          <w:rFonts w:ascii="Arial" w:hAnsi="Arial" w:cs="Arial"/>
        </w:rPr>
        <w:t xml:space="preserve"> Bill 2026 and the Cash Distribution </w:t>
      </w:r>
      <w:r w:rsidR="007519FA">
        <w:rPr>
          <w:rFonts w:ascii="Arial" w:hAnsi="Arial" w:cs="Arial"/>
        </w:rPr>
        <w:t>Framework</w:t>
      </w:r>
      <w:r w:rsidRPr="00081257">
        <w:rPr>
          <w:rFonts w:ascii="Arial" w:hAnsi="Arial" w:cs="Arial"/>
        </w:rPr>
        <w:t xml:space="preserve"> (Consequential Amendments and Transitional Provisions) Bill 2026</w:t>
      </w:r>
      <w:r w:rsidR="005D3B66">
        <w:rPr>
          <w:rFonts w:ascii="Arial" w:hAnsi="Arial" w:cs="Arial"/>
        </w:rPr>
        <w:t xml:space="preserve"> (the Framework)</w:t>
      </w:r>
      <w:r w:rsidRPr="00081257">
        <w:rPr>
          <w:rFonts w:ascii="Arial" w:hAnsi="Arial" w:cs="Arial"/>
        </w:rPr>
        <w:t>.</w:t>
      </w:r>
    </w:p>
    <w:p w14:paraId="5297C140" w14:textId="73C4948D" w:rsidR="00081257" w:rsidRPr="00081257" w:rsidRDefault="00081257" w:rsidP="00081257">
      <w:pPr>
        <w:spacing w:line="360" w:lineRule="auto"/>
        <w:rPr>
          <w:rFonts w:ascii="Arial" w:hAnsi="Arial" w:cs="Arial"/>
        </w:rPr>
      </w:pPr>
      <w:r w:rsidRPr="00081257">
        <w:rPr>
          <w:rFonts w:ascii="Arial" w:hAnsi="Arial" w:cs="Arial"/>
        </w:rPr>
        <w:t>BCA supports the objective of maintaining a reliable and resilient cash distribution system as Australia transitions towards an increasingly digital economy. While many people who are blind or vision impaired use digital payment methods, cash continues to play an important role in supporting choice, control and financial inclusion, particularly where digital payment systems are inaccessible, unavailable or cannot be used independently</w:t>
      </w:r>
      <w:r w:rsidR="00546C28">
        <w:rPr>
          <w:rFonts w:ascii="Arial" w:hAnsi="Arial" w:cs="Arial"/>
        </w:rPr>
        <w:t xml:space="preserve"> or confidently</w:t>
      </w:r>
      <w:r w:rsidRPr="00081257">
        <w:rPr>
          <w:rFonts w:ascii="Arial" w:hAnsi="Arial" w:cs="Arial"/>
        </w:rPr>
        <w:t>.</w:t>
      </w:r>
    </w:p>
    <w:p w14:paraId="0BED79A8" w14:textId="5F96573F" w:rsidR="00F01B2D" w:rsidRDefault="008B2E2D" w:rsidP="00F01B2D">
      <w:pPr>
        <w:spacing w:line="360" w:lineRule="auto"/>
        <w:rPr>
          <w:rFonts w:ascii="Arial" w:hAnsi="Arial" w:cs="Arial"/>
        </w:rPr>
      </w:pPr>
      <w:r>
        <w:rPr>
          <w:rFonts w:ascii="Arial" w:hAnsi="Arial" w:cs="Arial"/>
        </w:rPr>
        <w:t xml:space="preserve">The system </w:t>
      </w:r>
      <w:r w:rsidR="00EB7050">
        <w:rPr>
          <w:rFonts w:ascii="Arial" w:hAnsi="Arial" w:cs="Arial"/>
        </w:rPr>
        <w:t xml:space="preserve">can </w:t>
      </w:r>
      <w:r w:rsidR="00081257" w:rsidRPr="00081257">
        <w:rPr>
          <w:rFonts w:ascii="Arial" w:hAnsi="Arial" w:cs="Arial"/>
        </w:rPr>
        <w:t>only be considered effective if people can independently obtain, identify, deposit and use cash in their everyday lives</w:t>
      </w:r>
      <w:r w:rsidR="00B51A79">
        <w:rPr>
          <w:rFonts w:ascii="Arial" w:hAnsi="Arial" w:cs="Arial"/>
        </w:rPr>
        <w:t>, yet t</w:t>
      </w:r>
      <w:r w:rsidR="00F01B2D" w:rsidRPr="00F01B2D">
        <w:rPr>
          <w:rFonts w:ascii="Arial" w:hAnsi="Arial" w:cs="Arial"/>
        </w:rPr>
        <w:t>he Bills do not expressly require accessibility or the needs of people with disability to be considered when service standards are developed or regulatory decisions are made.</w:t>
      </w:r>
    </w:p>
    <w:p w14:paraId="2830A652" w14:textId="6B21B5D9" w:rsidR="009C44E4" w:rsidRPr="009C44E4" w:rsidRDefault="009C44E4" w:rsidP="009C44E4">
      <w:pPr>
        <w:spacing w:line="360" w:lineRule="auto"/>
        <w:rPr>
          <w:rFonts w:ascii="Arial" w:hAnsi="Arial" w:cs="Arial"/>
        </w:rPr>
      </w:pPr>
      <w:r w:rsidRPr="009C44E4">
        <w:rPr>
          <w:rFonts w:ascii="Arial" w:hAnsi="Arial" w:cs="Arial"/>
        </w:rPr>
        <w:t>BCA considers that the existing structure of the Bills provides several opportunities to embed accessibility without altering the overall purpose of the framework.</w:t>
      </w:r>
      <w:r w:rsidR="005E5EA8">
        <w:rPr>
          <w:rFonts w:ascii="Arial" w:hAnsi="Arial" w:cs="Arial"/>
        </w:rPr>
        <w:t xml:space="preserve"> A</w:t>
      </w:r>
      <w:r w:rsidRPr="009C44E4">
        <w:rPr>
          <w:rFonts w:ascii="Arial" w:hAnsi="Arial" w:cs="Arial"/>
        </w:rPr>
        <w:t>mendments to the objects (clause 3), the availability of cash provisions (clause 7), service agreements (clause 32), service-level standards (clauses 60–68) and the rule-making power (clause 205) could ensure accessibility is recognised as an integral component of maintaining Australia's cash system.</w:t>
      </w:r>
    </w:p>
    <w:p w14:paraId="3C172C0A" w14:textId="77777777" w:rsidR="00177E36" w:rsidRDefault="00177E36" w:rsidP="00177E36">
      <w:pPr>
        <w:pStyle w:val="Heading2"/>
      </w:pPr>
      <w:r w:rsidRPr="002103B2">
        <w:t>About Blind Citizens Australia</w:t>
      </w:r>
    </w:p>
    <w:p w14:paraId="6B03B6C9" w14:textId="350A99BE" w:rsidR="0035715B" w:rsidRPr="00AB20D7" w:rsidRDefault="0035715B" w:rsidP="0035715B">
      <w:pPr>
        <w:spacing w:line="360" w:lineRule="auto"/>
        <w:rPr>
          <w:rFonts w:ascii="Arial" w:hAnsi="Arial" w:cs="Arial"/>
        </w:rPr>
      </w:pPr>
      <w:r>
        <w:rPr>
          <w:rFonts w:ascii="Arial" w:hAnsi="Arial" w:cs="Arial"/>
        </w:rPr>
        <w:t>BCA i</w:t>
      </w:r>
      <w:r w:rsidRPr="00AB20D7">
        <w:rPr>
          <w:rFonts w:ascii="Arial" w:hAnsi="Arial" w:cs="Arial"/>
        </w:rPr>
        <w:t>s the national representative organisation of people who are blind or vision impaired in Australia. Founded in 1975, BCA is a consumer-led advocacy organisation run by and for people who are blind or vision impaired. BCA works to promote equity, inclusion, independence and full participation in all aspects of community life through systemic advocacy, policy reform and community engagement.</w:t>
      </w:r>
    </w:p>
    <w:p w14:paraId="33D5208E" w14:textId="226B0B99" w:rsidR="00616586" w:rsidRPr="00616586" w:rsidRDefault="0035715B" w:rsidP="00616586">
      <w:pPr>
        <w:spacing w:line="360" w:lineRule="auto"/>
        <w:rPr>
          <w:rFonts w:ascii="Arial" w:hAnsi="Arial" w:cs="Arial"/>
        </w:rPr>
      </w:pPr>
      <w:r w:rsidRPr="00AB20D7">
        <w:rPr>
          <w:rFonts w:ascii="Arial" w:hAnsi="Arial" w:cs="Arial"/>
        </w:rPr>
        <w:t xml:space="preserve">This submission draws on the expertise of people who are blind or vision impaired across Australia </w:t>
      </w:r>
      <w:r w:rsidR="0020353E">
        <w:rPr>
          <w:rFonts w:ascii="Arial" w:hAnsi="Arial" w:cs="Arial"/>
        </w:rPr>
        <w:t xml:space="preserve">and </w:t>
      </w:r>
      <w:r w:rsidR="000D7558">
        <w:rPr>
          <w:rFonts w:ascii="Arial" w:hAnsi="Arial" w:cs="Arial"/>
        </w:rPr>
        <w:t>was</w:t>
      </w:r>
      <w:r w:rsidR="0020353E">
        <w:rPr>
          <w:rFonts w:ascii="Arial" w:hAnsi="Arial" w:cs="Arial"/>
        </w:rPr>
        <w:t xml:space="preserve"> prepared in consultation with partner agencies including Vision 2020</w:t>
      </w:r>
      <w:r w:rsidR="006F765B">
        <w:rPr>
          <w:rFonts w:ascii="Arial" w:hAnsi="Arial" w:cs="Arial"/>
        </w:rPr>
        <w:t xml:space="preserve"> and</w:t>
      </w:r>
      <w:r w:rsidR="0020353E">
        <w:rPr>
          <w:rFonts w:ascii="Arial" w:hAnsi="Arial" w:cs="Arial"/>
        </w:rPr>
        <w:t xml:space="preserve"> Vision Australia</w:t>
      </w:r>
      <w:r w:rsidR="007F27E5">
        <w:rPr>
          <w:rFonts w:ascii="Arial" w:hAnsi="Arial" w:cs="Arial"/>
        </w:rPr>
        <w:t>,</w:t>
      </w:r>
      <w:r w:rsidR="0020353E">
        <w:rPr>
          <w:rFonts w:ascii="Arial" w:hAnsi="Arial" w:cs="Arial"/>
        </w:rPr>
        <w:t xml:space="preserve"> and</w:t>
      </w:r>
      <w:r w:rsidR="006F765B">
        <w:rPr>
          <w:rFonts w:ascii="Arial" w:hAnsi="Arial" w:cs="Arial"/>
        </w:rPr>
        <w:t xml:space="preserve"> </w:t>
      </w:r>
      <w:r w:rsidR="007F27E5">
        <w:rPr>
          <w:rFonts w:ascii="Arial" w:hAnsi="Arial" w:cs="Arial"/>
        </w:rPr>
        <w:t>was</w:t>
      </w:r>
      <w:r w:rsidR="000D7558">
        <w:rPr>
          <w:rFonts w:ascii="Arial" w:hAnsi="Arial" w:cs="Arial"/>
        </w:rPr>
        <w:t xml:space="preserve"> endorsed by</w:t>
      </w:r>
      <w:r w:rsidR="0020353E">
        <w:rPr>
          <w:rFonts w:ascii="Arial" w:hAnsi="Arial" w:cs="Arial"/>
        </w:rPr>
        <w:t xml:space="preserve"> Guide Dogs NSW/ACT</w:t>
      </w:r>
      <w:r w:rsidRPr="00AB20D7">
        <w:rPr>
          <w:rFonts w:ascii="Arial" w:hAnsi="Arial" w:cs="Arial"/>
        </w:rPr>
        <w:t xml:space="preserve">. </w:t>
      </w:r>
    </w:p>
    <w:p w14:paraId="088824A6" w14:textId="124EAA6D" w:rsidR="0035715B" w:rsidRDefault="0035715B" w:rsidP="0035715B">
      <w:pPr>
        <w:spacing w:line="360" w:lineRule="auto"/>
        <w:rPr>
          <w:rFonts w:ascii="Arial" w:hAnsi="Arial" w:cs="Arial"/>
        </w:rPr>
      </w:pPr>
    </w:p>
    <w:p w14:paraId="31424097" w14:textId="077AC1C9" w:rsidR="000E3FD7" w:rsidRDefault="00177E36" w:rsidP="000E3FD7">
      <w:pPr>
        <w:pStyle w:val="Heading2"/>
        <w:rPr>
          <w:rFonts w:ascii="Arial" w:hAnsi="Arial" w:cs="Arial"/>
        </w:rPr>
      </w:pPr>
      <w:r>
        <w:rPr>
          <w:rFonts w:ascii="Arial" w:hAnsi="Arial" w:cs="Arial"/>
        </w:rPr>
        <w:lastRenderedPageBreak/>
        <w:t>Key Messages</w:t>
      </w:r>
    </w:p>
    <w:p w14:paraId="517F2903" w14:textId="3B1E090D" w:rsidR="00A82E23" w:rsidRPr="008D7DFF" w:rsidRDefault="00A82E23" w:rsidP="00DA75CE">
      <w:pPr>
        <w:pStyle w:val="Heading3"/>
      </w:pPr>
      <w:r w:rsidRPr="008D7DFF">
        <w:t xml:space="preserve">1. Cash </w:t>
      </w:r>
      <w:r w:rsidR="00903263">
        <w:t>provides choice and control</w:t>
      </w:r>
    </w:p>
    <w:p w14:paraId="07EC3BFA" w14:textId="14ABF7B5" w:rsidR="006E4322" w:rsidRPr="006E4322" w:rsidRDefault="00A76EF5" w:rsidP="006E4322">
      <w:pPr>
        <w:spacing w:line="360" w:lineRule="auto"/>
        <w:rPr>
          <w:rFonts w:ascii="Arial" w:hAnsi="Arial" w:cs="Arial"/>
        </w:rPr>
      </w:pPr>
      <w:r>
        <w:rPr>
          <w:rFonts w:ascii="Arial" w:hAnsi="Arial" w:cs="Arial"/>
        </w:rPr>
        <w:t xml:space="preserve">While some </w:t>
      </w:r>
      <w:r w:rsidRPr="00A76EF5">
        <w:rPr>
          <w:rFonts w:ascii="Arial" w:hAnsi="Arial" w:cs="Arial"/>
        </w:rPr>
        <w:t>people who are blind or vision impaired use digital payments and benefit from accessible banking apps, contactless payments and other digital services</w:t>
      </w:r>
      <w:r w:rsidR="00094238">
        <w:rPr>
          <w:rFonts w:ascii="Arial" w:hAnsi="Arial" w:cs="Arial"/>
        </w:rPr>
        <w:t>, c</w:t>
      </w:r>
      <w:r w:rsidR="00C942B1" w:rsidRPr="00C942B1">
        <w:rPr>
          <w:rFonts w:ascii="Arial" w:hAnsi="Arial" w:cs="Arial"/>
        </w:rPr>
        <w:t>ash continues to provide an important alternative when digital payment systems are inaccessible, unavailable or do not give a person sufficient confidence and control over a transaction.</w:t>
      </w:r>
      <w:r w:rsidR="00560BCD">
        <w:rPr>
          <w:rFonts w:ascii="Arial" w:hAnsi="Arial" w:cs="Arial"/>
        </w:rPr>
        <w:t xml:space="preserve"> R</w:t>
      </w:r>
      <w:r w:rsidR="006E4322" w:rsidRPr="006E4322">
        <w:rPr>
          <w:rFonts w:ascii="Arial" w:hAnsi="Arial" w:cs="Arial"/>
        </w:rPr>
        <w:t>etaining access to cash can be particularly important</w:t>
      </w:r>
      <w:r w:rsidR="008E624C">
        <w:rPr>
          <w:rFonts w:ascii="Arial" w:hAnsi="Arial" w:cs="Arial"/>
        </w:rPr>
        <w:t xml:space="preserve"> for people who are blind or vision impaired</w:t>
      </w:r>
      <w:r w:rsidR="006E4322" w:rsidRPr="006E4322">
        <w:rPr>
          <w:rFonts w:ascii="Arial" w:hAnsi="Arial" w:cs="Arial"/>
        </w:rPr>
        <w:t xml:space="preserve"> where:</w:t>
      </w:r>
    </w:p>
    <w:p w14:paraId="144EC202" w14:textId="7BE7A056" w:rsidR="006E4322" w:rsidRPr="007F7CFF" w:rsidRDefault="006E4322" w:rsidP="006E4322">
      <w:pPr>
        <w:numPr>
          <w:ilvl w:val="0"/>
          <w:numId w:val="3"/>
        </w:numPr>
        <w:spacing w:line="360" w:lineRule="auto"/>
        <w:rPr>
          <w:rFonts w:ascii="Arial" w:hAnsi="Arial" w:cs="Arial"/>
        </w:rPr>
      </w:pPr>
      <w:r w:rsidRPr="007F7CFF">
        <w:rPr>
          <w:rFonts w:ascii="Arial" w:hAnsi="Arial" w:cs="Arial"/>
        </w:rPr>
        <w:t>a touchscreen payment</w:t>
      </w:r>
      <w:r w:rsidR="00C3519F" w:rsidRPr="007F7CFF">
        <w:rPr>
          <w:rFonts w:ascii="Arial" w:hAnsi="Arial" w:cs="Arial"/>
        </w:rPr>
        <w:t xml:space="preserve"> or ATM</w:t>
      </w:r>
      <w:r w:rsidRPr="007F7CFF">
        <w:rPr>
          <w:rFonts w:ascii="Arial" w:hAnsi="Arial" w:cs="Arial"/>
        </w:rPr>
        <w:t xml:space="preserve"> terminal is inaccessible</w:t>
      </w:r>
      <w:r w:rsidR="007F7CFF">
        <w:rPr>
          <w:rFonts w:ascii="Arial" w:hAnsi="Arial" w:cs="Arial"/>
        </w:rPr>
        <w:t xml:space="preserve"> (</w:t>
      </w:r>
      <w:r w:rsidR="00490224">
        <w:rPr>
          <w:rFonts w:ascii="Arial" w:hAnsi="Arial" w:cs="Arial"/>
        </w:rPr>
        <w:t>or</w:t>
      </w:r>
      <w:r w:rsidR="004B3FE8" w:rsidRPr="007F7CFF">
        <w:rPr>
          <w:rFonts w:ascii="Arial" w:hAnsi="Arial" w:cs="Arial"/>
        </w:rPr>
        <w:t xml:space="preserve"> </w:t>
      </w:r>
      <w:r w:rsidRPr="007F7CFF">
        <w:rPr>
          <w:rFonts w:ascii="Arial" w:hAnsi="Arial" w:cs="Arial"/>
        </w:rPr>
        <w:t>staff do not know how to activate its accessibility features</w:t>
      </w:r>
      <w:r w:rsidR="00490224">
        <w:rPr>
          <w:rFonts w:ascii="Arial" w:hAnsi="Arial" w:cs="Arial"/>
        </w:rPr>
        <w:t>)</w:t>
      </w:r>
      <w:r w:rsidR="007F7CFF" w:rsidRPr="007F7CFF">
        <w:rPr>
          <w:rFonts w:ascii="Arial" w:hAnsi="Arial" w:cs="Arial"/>
        </w:rPr>
        <w:t xml:space="preserve"> and use </w:t>
      </w:r>
      <w:r w:rsidRPr="007F7CFF">
        <w:rPr>
          <w:rFonts w:ascii="Arial" w:hAnsi="Arial" w:cs="Arial"/>
        </w:rPr>
        <w:t>would require the person to disclose their PIN or hand control of their card to another person</w:t>
      </w:r>
    </w:p>
    <w:p w14:paraId="3284A710" w14:textId="76099C28" w:rsidR="006E4322" w:rsidRPr="006E4322" w:rsidRDefault="006E4322" w:rsidP="006E4322">
      <w:pPr>
        <w:numPr>
          <w:ilvl w:val="0"/>
          <w:numId w:val="3"/>
        </w:numPr>
        <w:spacing w:line="360" w:lineRule="auto"/>
        <w:rPr>
          <w:rFonts w:ascii="Arial" w:hAnsi="Arial" w:cs="Arial"/>
        </w:rPr>
      </w:pPr>
      <w:r w:rsidRPr="006E4322">
        <w:rPr>
          <w:rFonts w:ascii="Arial" w:hAnsi="Arial" w:cs="Arial"/>
        </w:rPr>
        <w:t>an electronic bill-splitting or payment process</w:t>
      </w:r>
      <w:r w:rsidR="00E24F27">
        <w:rPr>
          <w:rFonts w:ascii="Arial" w:hAnsi="Arial" w:cs="Arial"/>
        </w:rPr>
        <w:t xml:space="preserve"> </w:t>
      </w:r>
      <w:r w:rsidRPr="006E4322">
        <w:rPr>
          <w:rFonts w:ascii="Arial" w:hAnsi="Arial" w:cs="Arial"/>
        </w:rPr>
        <w:t>is inaccessible</w:t>
      </w:r>
      <w:r w:rsidR="0019103D">
        <w:rPr>
          <w:rFonts w:ascii="Arial" w:hAnsi="Arial" w:cs="Arial"/>
        </w:rPr>
        <w:t xml:space="preserve"> or </w:t>
      </w:r>
      <w:r w:rsidR="00C30DE8">
        <w:rPr>
          <w:rFonts w:ascii="Arial" w:hAnsi="Arial" w:cs="Arial"/>
        </w:rPr>
        <w:t>not available</w:t>
      </w:r>
      <w:r w:rsidR="00240863">
        <w:rPr>
          <w:rFonts w:ascii="Arial" w:hAnsi="Arial" w:cs="Arial"/>
        </w:rPr>
        <w:t xml:space="preserve">, such as when sharing a meal with a group of people </w:t>
      </w:r>
      <w:r w:rsidR="00F55C93">
        <w:rPr>
          <w:rFonts w:ascii="Arial" w:hAnsi="Arial" w:cs="Arial"/>
        </w:rPr>
        <w:t xml:space="preserve"> </w:t>
      </w:r>
    </w:p>
    <w:p w14:paraId="64BC1EF3" w14:textId="5AFF3677" w:rsidR="00E532C9" w:rsidRDefault="00E532C9" w:rsidP="006E4322">
      <w:pPr>
        <w:numPr>
          <w:ilvl w:val="0"/>
          <w:numId w:val="3"/>
        </w:numPr>
        <w:spacing w:line="360" w:lineRule="auto"/>
        <w:rPr>
          <w:rFonts w:ascii="Arial" w:hAnsi="Arial" w:cs="Arial"/>
        </w:rPr>
      </w:pPr>
      <w:r w:rsidRPr="00E532C9">
        <w:rPr>
          <w:rFonts w:ascii="Arial" w:hAnsi="Arial" w:cs="Arial"/>
        </w:rPr>
        <w:t>the person needs confidence that the amount being charged is accurate, particularly where they cannot independently verify the transaction amount</w:t>
      </w:r>
      <w:r w:rsidR="00D53CC9">
        <w:rPr>
          <w:rFonts w:ascii="Arial" w:hAnsi="Arial" w:cs="Arial"/>
        </w:rPr>
        <w:t xml:space="preserve">, </w:t>
      </w:r>
      <w:r w:rsidR="00D53CC9" w:rsidRPr="00D53CC9">
        <w:rPr>
          <w:rFonts w:ascii="Arial" w:hAnsi="Arial" w:cs="Arial"/>
        </w:rPr>
        <w:t>for example where a taxi fare does not match the meter or quoted price</w:t>
      </w:r>
    </w:p>
    <w:p w14:paraId="64176A60" w14:textId="29B3B0CC" w:rsidR="006E4322" w:rsidRDefault="006E4322" w:rsidP="006E4322">
      <w:pPr>
        <w:numPr>
          <w:ilvl w:val="0"/>
          <w:numId w:val="3"/>
        </w:numPr>
        <w:spacing w:line="360" w:lineRule="auto"/>
        <w:rPr>
          <w:rFonts w:ascii="Arial" w:hAnsi="Arial" w:cs="Arial"/>
        </w:rPr>
      </w:pPr>
      <w:r w:rsidRPr="006E4322">
        <w:rPr>
          <w:rFonts w:ascii="Arial" w:hAnsi="Arial" w:cs="Arial"/>
        </w:rPr>
        <w:t>an older person who has acquired vision loss later in life</w:t>
      </w:r>
      <w:r w:rsidR="00A024AC">
        <w:rPr>
          <w:rFonts w:ascii="Arial" w:hAnsi="Arial" w:cs="Arial"/>
        </w:rPr>
        <w:t xml:space="preserve">, </w:t>
      </w:r>
      <w:r w:rsidR="00AD194E">
        <w:rPr>
          <w:rFonts w:ascii="Arial" w:hAnsi="Arial" w:cs="Arial"/>
        </w:rPr>
        <w:t>someone</w:t>
      </w:r>
      <w:r w:rsidR="00A024AC">
        <w:rPr>
          <w:rFonts w:ascii="Arial" w:hAnsi="Arial" w:cs="Arial"/>
        </w:rPr>
        <w:t xml:space="preserve"> with multiple disabilities or </w:t>
      </w:r>
      <w:r w:rsidR="00AD194E">
        <w:rPr>
          <w:rFonts w:ascii="Arial" w:hAnsi="Arial" w:cs="Arial"/>
        </w:rPr>
        <w:t xml:space="preserve">a person </w:t>
      </w:r>
      <w:r w:rsidR="00A024AC">
        <w:rPr>
          <w:rFonts w:ascii="Arial" w:hAnsi="Arial" w:cs="Arial"/>
        </w:rPr>
        <w:t>who experience</w:t>
      </w:r>
      <w:r w:rsidR="00680F18">
        <w:rPr>
          <w:rFonts w:ascii="Arial" w:hAnsi="Arial" w:cs="Arial"/>
        </w:rPr>
        <w:t>s</w:t>
      </w:r>
      <w:r w:rsidR="00A024AC">
        <w:rPr>
          <w:rFonts w:ascii="Arial" w:hAnsi="Arial" w:cs="Arial"/>
        </w:rPr>
        <w:t xml:space="preserve"> </w:t>
      </w:r>
      <w:r w:rsidR="00A024AC" w:rsidRPr="005369B9">
        <w:rPr>
          <w:rFonts w:ascii="Arial" w:hAnsi="Arial" w:cs="Arial"/>
        </w:rPr>
        <w:t>language or literacy barriers</w:t>
      </w:r>
      <w:r w:rsidRPr="006E4322">
        <w:rPr>
          <w:rFonts w:ascii="Arial" w:hAnsi="Arial" w:cs="Arial"/>
        </w:rPr>
        <w:t xml:space="preserve"> </w:t>
      </w:r>
      <w:r w:rsidR="001A1B54">
        <w:rPr>
          <w:rFonts w:ascii="Arial" w:hAnsi="Arial" w:cs="Arial"/>
        </w:rPr>
        <w:t xml:space="preserve">and </w:t>
      </w:r>
      <w:r w:rsidR="00680F18">
        <w:rPr>
          <w:rFonts w:ascii="Arial" w:hAnsi="Arial" w:cs="Arial"/>
        </w:rPr>
        <w:t xml:space="preserve">is not </w:t>
      </w:r>
      <w:r w:rsidRPr="006E4322">
        <w:rPr>
          <w:rFonts w:ascii="Arial" w:hAnsi="Arial" w:cs="Arial"/>
        </w:rPr>
        <w:t>confident using digital banking or payment technology.</w:t>
      </w:r>
    </w:p>
    <w:p w14:paraId="6C9209B5" w14:textId="69D7E451" w:rsidR="00A82E23" w:rsidRPr="008D7DFF" w:rsidRDefault="008D7DFF" w:rsidP="00DA75CE">
      <w:pPr>
        <w:pStyle w:val="Heading3"/>
      </w:pPr>
      <w:r w:rsidRPr="008D7DFF">
        <w:t>2</w:t>
      </w:r>
      <w:r w:rsidR="00A82E23" w:rsidRPr="008D7DFF">
        <w:t>. Banking accessibility and cash access</w:t>
      </w:r>
      <w:r w:rsidR="00227F74" w:rsidRPr="008D7DFF">
        <w:t xml:space="preserve"> are fundamentally connected</w:t>
      </w:r>
    </w:p>
    <w:p w14:paraId="7CC0A3E5" w14:textId="072BF6B4" w:rsidR="007E2AFA" w:rsidRDefault="00A82E23" w:rsidP="0078012D">
      <w:pPr>
        <w:spacing w:line="360" w:lineRule="auto"/>
        <w:rPr>
          <w:rFonts w:ascii="Arial" w:hAnsi="Arial" w:cs="Arial"/>
        </w:rPr>
      </w:pPr>
      <w:r w:rsidRPr="008D7DFF">
        <w:rPr>
          <w:rFonts w:ascii="Arial" w:hAnsi="Arial" w:cs="Arial"/>
        </w:rPr>
        <w:t xml:space="preserve">Access to cash cannot be separated from access to banking services. </w:t>
      </w:r>
      <w:r w:rsidR="007E2AFA">
        <w:rPr>
          <w:rFonts w:ascii="Arial" w:hAnsi="Arial" w:cs="Arial"/>
        </w:rPr>
        <w:t>T</w:t>
      </w:r>
      <w:r w:rsidR="0078012D" w:rsidRPr="0078012D">
        <w:rPr>
          <w:rFonts w:ascii="Arial" w:hAnsi="Arial" w:cs="Arial"/>
        </w:rPr>
        <w:t xml:space="preserve">he availability of cash within the distribution system does not necessarily mean that </w:t>
      </w:r>
      <w:r w:rsidR="005C197B">
        <w:rPr>
          <w:rFonts w:ascii="Arial" w:hAnsi="Arial" w:cs="Arial"/>
        </w:rPr>
        <w:t xml:space="preserve">a person who is blind or vision impaired </w:t>
      </w:r>
      <w:r w:rsidR="0078012D" w:rsidRPr="0078012D">
        <w:rPr>
          <w:rFonts w:ascii="Arial" w:hAnsi="Arial" w:cs="Arial"/>
        </w:rPr>
        <w:t xml:space="preserve">can obtain or deposit cash conveniently, safely and independently. </w:t>
      </w:r>
    </w:p>
    <w:p w14:paraId="041A8A9D" w14:textId="13CD3F7C" w:rsidR="007B6C43" w:rsidRDefault="007E2AFA" w:rsidP="008D7DFF">
      <w:pPr>
        <w:spacing w:line="360" w:lineRule="auto"/>
        <w:rPr>
          <w:rFonts w:ascii="Arial" w:hAnsi="Arial" w:cs="Arial"/>
        </w:rPr>
      </w:pPr>
      <w:r>
        <w:rPr>
          <w:rFonts w:ascii="Arial" w:hAnsi="Arial" w:cs="Arial"/>
        </w:rPr>
        <w:t>A</w:t>
      </w:r>
      <w:r w:rsidR="0078012D" w:rsidRPr="0078012D">
        <w:rPr>
          <w:rFonts w:ascii="Arial" w:hAnsi="Arial" w:cs="Arial"/>
        </w:rPr>
        <w:t>ccess</w:t>
      </w:r>
      <w:r>
        <w:rPr>
          <w:rFonts w:ascii="Arial" w:hAnsi="Arial" w:cs="Arial"/>
        </w:rPr>
        <w:t xml:space="preserve"> </w:t>
      </w:r>
      <w:r w:rsidR="0078012D" w:rsidRPr="0078012D">
        <w:rPr>
          <w:rFonts w:ascii="Arial" w:hAnsi="Arial" w:cs="Arial"/>
        </w:rPr>
        <w:t>can be undermined by</w:t>
      </w:r>
      <w:r>
        <w:rPr>
          <w:rFonts w:ascii="Arial" w:hAnsi="Arial" w:cs="Arial"/>
        </w:rPr>
        <w:t xml:space="preserve"> </w:t>
      </w:r>
      <w:r w:rsidR="0078012D" w:rsidRPr="0078012D">
        <w:rPr>
          <w:rFonts w:ascii="Arial" w:hAnsi="Arial" w:cs="Arial"/>
        </w:rPr>
        <w:t>bank branch closures</w:t>
      </w:r>
      <w:r w:rsidR="00533C33">
        <w:rPr>
          <w:rFonts w:ascii="Arial" w:hAnsi="Arial" w:cs="Arial"/>
        </w:rPr>
        <w:t xml:space="preserve">, </w:t>
      </w:r>
      <w:r w:rsidR="0078012D" w:rsidRPr="0078012D">
        <w:rPr>
          <w:rFonts w:ascii="Arial" w:hAnsi="Arial" w:cs="Arial"/>
        </w:rPr>
        <w:t>inaccessible ATMs or cash withdrawal facilities</w:t>
      </w:r>
      <w:r w:rsidR="00533C33">
        <w:rPr>
          <w:rFonts w:ascii="Arial" w:hAnsi="Arial" w:cs="Arial"/>
        </w:rPr>
        <w:t xml:space="preserve">, and </w:t>
      </w:r>
      <w:r w:rsidR="0078012D" w:rsidRPr="0078012D">
        <w:rPr>
          <w:rFonts w:ascii="Arial" w:hAnsi="Arial" w:cs="Arial"/>
        </w:rPr>
        <w:t>limits on cash withdrawals or deposits</w:t>
      </w:r>
      <w:r w:rsidR="00533C33">
        <w:rPr>
          <w:rFonts w:ascii="Arial" w:hAnsi="Arial" w:cs="Arial"/>
        </w:rPr>
        <w:t>.</w:t>
      </w:r>
      <w:r w:rsidR="00B5241E">
        <w:rPr>
          <w:rFonts w:ascii="Arial" w:hAnsi="Arial" w:cs="Arial"/>
        </w:rPr>
        <w:t xml:space="preserve"> </w:t>
      </w:r>
      <w:r w:rsidR="004E3B76" w:rsidRPr="004E3B76">
        <w:rPr>
          <w:rFonts w:ascii="Arial" w:hAnsi="Arial" w:cs="Arial"/>
        </w:rPr>
        <w:t xml:space="preserve">While the accessibility of ATMs, bank branches and other consumer-facing banking infrastructure is not directly regulated by these Bills, the new </w:t>
      </w:r>
      <w:r w:rsidR="007519FA">
        <w:rPr>
          <w:rFonts w:ascii="Arial" w:hAnsi="Arial" w:cs="Arial"/>
        </w:rPr>
        <w:t>Framework</w:t>
      </w:r>
      <w:r w:rsidR="004E3B76" w:rsidRPr="004E3B76">
        <w:rPr>
          <w:rFonts w:ascii="Arial" w:hAnsi="Arial" w:cs="Arial"/>
        </w:rPr>
        <w:t xml:space="preserve"> should be implemented alongside complementary measures that promote accessible banking and cash-withdrawal</w:t>
      </w:r>
      <w:r w:rsidR="00573850">
        <w:rPr>
          <w:rFonts w:ascii="Arial" w:hAnsi="Arial" w:cs="Arial"/>
        </w:rPr>
        <w:t xml:space="preserve"> and deposit</w:t>
      </w:r>
      <w:r w:rsidR="004E3B76" w:rsidRPr="004E3B76">
        <w:rPr>
          <w:rFonts w:ascii="Arial" w:hAnsi="Arial" w:cs="Arial"/>
        </w:rPr>
        <w:t xml:space="preserve"> services, so that maintaining wholesale cash </w:t>
      </w:r>
      <w:r w:rsidR="004E3B76" w:rsidRPr="004E3B76">
        <w:rPr>
          <w:rFonts w:ascii="Arial" w:hAnsi="Arial" w:cs="Arial"/>
        </w:rPr>
        <w:lastRenderedPageBreak/>
        <w:t>distribution translates into meaningful access for people who are blind or vision impaired.</w:t>
      </w:r>
    </w:p>
    <w:p w14:paraId="3173B65C" w14:textId="432FE822" w:rsidR="00A82E23" w:rsidRPr="008D7DFF" w:rsidRDefault="008D7DFF" w:rsidP="00DA75CE">
      <w:pPr>
        <w:pStyle w:val="Heading3"/>
      </w:pPr>
      <w:r w:rsidRPr="008D7DFF">
        <w:t>3</w:t>
      </w:r>
      <w:r w:rsidR="00A82E23" w:rsidRPr="008D7DFF">
        <w:t>. Cash is an essential part of emergency preparedness</w:t>
      </w:r>
    </w:p>
    <w:p w14:paraId="3F27ABC2" w14:textId="248D4342" w:rsidR="00A82E23" w:rsidRPr="008D7DFF" w:rsidRDefault="00A82E23" w:rsidP="008D7DFF">
      <w:pPr>
        <w:spacing w:line="360" w:lineRule="auto"/>
        <w:rPr>
          <w:rFonts w:ascii="Arial" w:hAnsi="Arial" w:cs="Arial"/>
        </w:rPr>
      </w:pPr>
      <w:r w:rsidRPr="008D7DFF">
        <w:rPr>
          <w:rFonts w:ascii="Arial" w:hAnsi="Arial" w:cs="Arial"/>
        </w:rPr>
        <w:t xml:space="preserve">Cash provides an important backup during power outages, telecommunications failures, natural disasters and cyber incidents. Maintaining </w:t>
      </w:r>
      <w:r w:rsidR="00B673D0">
        <w:rPr>
          <w:rFonts w:ascii="Arial" w:hAnsi="Arial" w:cs="Arial"/>
        </w:rPr>
        <w:t xml:space="preserve">practical and </w:t>
      </w:r>
      <w:r w:rsidRPr="008D7DFF">
        <w:rPr>
          <w:rFonts w:ascii="Arial" w:hAnsi="Arial" w:cs="Arial"/>
        </w:rPr>
        <w:t>accessible access to cash helps ensure people who are blind or vision impaired can continue to purchase essential goods and services when electronic payments are unavailable.</w:t>
      </w:r>
    </w:p>
    <w:p w14:paraId="59DE922D" w14:textId="6690CC7C" w:rsidR="00A76A34" w:rsidRPr="008D7DFF" w:rsidRDefault="00A76A34" w:rsidP="008D7DFF">
      <w:pPr>
        <w:spacing w:line="360" w:lineRule="auto"/>
        <w:rPr>
          <w:rFonts w:ascii="Arial" w:hAnsi="Arial" w:cs="Arial"/>
        </w:rPr>
      </w:pPr>
      <w:r w:rsidRPr="008D7DFF">
        <w:rPr>
          <w:rFonts w:ascii="Arial" w:hAnsi="Arial" w:cs="Arial"/>
        </w:rPr>
        <w:t>The Bill gives the R</w:t>
      </w:r>
      <w:r w:rsidR="00866433">
        <w:rPr>
          <w:rFonts w:ascii="Arial" w:hAnsi="Arial" w:cs="Arial"/>
        </w:rPr>
        <w:t xml:space="preserve">eserve </w:t>
      </w:r>
      <w:r w:rsidRPr="008D7DFF">
        <w:rPr>
          <w:rFonts w:ascii="Arial" w:hAnsi="Arial" w:cs="Arial"/>
        </w:rPr>
        <w:t>B</w:t>
      </w:r>
      <w:r w:rsidR="00866433">
        <w:rPr>
          <w:rFonts w:ascii="Arial" w:hAnsi="Arial" w:cs="Arial"/>
        </w:rPr>
        <w:t xml:space="preserve">ank of </w:t>
      </w:r>
      <w:r w:rsidRPr="008D7DFF">
        <w:rPr>
          <w:rFonts w:ascii="Arial" w:hAnsi="Arial" w:cs="Arial"/>
        </w:rPr>
        <w:t>A</w:t>
      </w:r>
      <w:r w:rsidR="00866433">
        <w:rPr>
          <w:rFonts w:ascii="Arial" w:hAnsi="Arial" w:cs="Arial"/>
        </w:rPr>
        <w:t>ustralia (RBA)</w:t>
      </w:r>
      <w:r w:rsidRPr="008D7DFF">
        <w:rPr>
          <w:rFonts w:ascii="Arial" w:hAnsi="Arial" w:cs="Arial"/>
        </w:rPr>
        <w:t xml:space="preserve"> significant crisis-readiness and crisis-resolution powers intended to protect the continuity of critical cash-distribution services. However, it does not expressly require crisis planning or response measures to consider the needs of people with disability. Crisis arrangements should include disability-inclusive planning, accessible communications and measures to maintain practical access to cash during emergencies.</w:t>
      </w:r>
    </w:p>
    <w:p w14:paraId="6FF4FE20" w14:textId="3F6843B8" w:rsidR="00A82E23" w:rsidRPr="008D7DFF" w:rsidRDefault="008D7DFF" w:rsidP="00DA75CE">
      <w:pPr>
        <w:pStyle w:val="Heading3"/>
      </w:pPr>
      <w:r w:rsidRPr="008D7DFF">
        <w:t>4</w:t>
      </w:r>
      <w:r w:rsidR="00A82E23" w:rsidRPr="008D7DFF">
        <w:t>. Regional and remote communities must not be left behind</w:t>
      </w:r>
    </w:p>
    <w:p w14:paraId="24C60ADC" w14:textId="776FA10A" w:rsidR="00A82E23" w:rsidRDefault="00A82E23" w:rsidP="008D7DFF">
      <w:pPr>
        <w:spacing w:line="360" w:lineRule="auto"/>
        <w:rPr>
          <w:rFonts w:ascii="Arial" w:hAnsi="Arial" w:cs="Arial"/>
        </w:rPr>
      </w:pPr>
      <w:r w:rsidRPr="008D7DFF">
        <w:rPr>
          <w:rFonts w:ascii="Arial" w:hAnsi="Arial" w:cs="Arial"/>
        </w:rPr>
        <w:t xml:space="preserve">People who are blind or vision impaired living outside metropolitan areas often experience fewer banking services, fewer accessible ATMs and greater transport barriers. The </w:t>
      </w:r>
      <w:r w:rsidR="007519FA">
        <w:rPr>
          <w:rFonts w:ascii="Arial" w:hAnsi="Arial" w:cs="Arial"/>
        </w:rPr>
        <w:t>Framework</w:t>
      </w:r>
      <w:r w:rsidRPr="008D7DFF">
        <w:rPr>
          <w:rFonts w:ascii="Arial" w:hAnsi="Arial" w:cs="Arial"/>
        </w:rPr>
        <w:t xml:space="preserve"> should support equitable access to cash regardless of where people live.</w:t>
      </w:r>
    </w:p>
    <w:p w14:paraId="1FAA4693" w14:textId="3BA572CA" w:rsidR="00BF13B8" w:rsidRDefault="0038498D" w:rsidP="008D7DFF">
      <w:pPr>
        <w:spacing w:line="360" w:lineRule="auto"/>
        <w:rPr>
          <w:rFonts w:ascii="Arial" w:hAnsi="Arial" w:cs="Arial"/>
        </w:rPr>
      </w:pPr>
      <w:r w:rsidRPr="0038498D">
        <w:rPr>
          <w:rFonts w:ascii="Arial" w:hAnsi="Arial" w:cs="Arial"/>
        </w:rPr>
        <w:t>While the Bill allows service standards to differ between locations, it does not establish minimum consumer access requirements for regional and remote communities.</w:t>
      </w:r>
      <w:r w:rsidR="00491C10">
        <w:rPr>
          <w:rFonts w:ascii="Arial" w:hAnsi="Arial" w:cs="Arial"/>
        </w:rPr>
        <w:t xml:space="preserve"> </w:t>
      </w:r>
      <w:r w:rsidR="006E6B09">
        <w:rPr>
          <w:rFonts w:ascii="Arial" w:hAnsi="Arial" w:cs="Arial"/>
        </w:rPr>
        <w:t>Identifying m</w:t>
      </w:r>
      <w:r w:rsidR="00283F02" w:rsidRPr="00283F02">
        <w:rPr>
          <w:rFonts w:ascii="Arial" w:hAnsi="Arial" w:cs="Arial"/>
        </w:rPr>
        <w:t xml:space="preserve">easurable standards </w:t>
      </w:r>
      <w:r w:rsidR="006E6B09">
        <w:rPr>
          <w:rFonts w:ascii="Arial" w:hAnsi="Arial" w:cs="Arial"/>
        </w:rPr>
        <w:t xml:space="preserve">would help to </w:t>
      </w:r>
      <w:r w:rsidR="00283F02" w:rsidRPr="00283F02">
        <w:rPr>
          <w:rFonts w:ascii="Arial" w:hAnsi="Arial" w:cs="Arial"/>
        </w:rPr>
        <w:t>ensure people in metropolitan, regional and remote communities retain practical and reasonably local access to cash.</w:t>
      </w:r>
    </w:p>
    <w:p w14:paraId="5C9B6FDD" w14:textId="667427FC" w:rsidR="00A82E23" w:rsidRPr="0038187A" w:rsidRDefault="008D7DFF" w:rsidP="0038187A">
      <w:pPr>
        <w:pStyle w:val="Heading3"/>
      </w:pPr>
      <w:r w:rsidRPr="0038187A">
        <w:t>5</w:t>
      </w:r>
      <w:r w:rsidR="00A82E23" w:rsidRPr="0038187A">
        <w:t xml:space="preserve">. People with lived experience should help shape the </w:t>
      </w:r>
      <w:r w:rsidR="007519FA">
        <w:t>Framework</w:t>
      </w:r>
    </w:p>
    <w:p w14:paraId="57E52605" w14:textId="5030F16E" w:rsidR="008E3CDA" w:rsidRPr="008E3CDA" w:rsidRDefault="008E3CDA" w:rsidP="008E3CDA">
      <w:pPr>
        <w:spacing w:line="360" w:lineRule="auto"/>
        <w:rPr>
          <w:rFonts w:ascii="Arial" w:hAnsi="Arial" w:cs="Arial"/>
        </w:rPr>
      </w:pPr>
      <w:r w:rsidRPr="008E3CDA">
        <w:rPr>
          <w:rFonts w:ascii="Arial" w:hAnsi="Arial" w:cs="Arial"/>
        </w:rPr>
        <w:t xml:space="preserve">People who are blind or vision impaired and their representative organisations should be actively involved in the design, implementation and review of the </w:t>
      </w:r>
      <w:r w:rsidR="007519FA">
        <w:rPr>
          <w:rFonts w:ascii="Arial" w:hAnsi="Arial" w:cs="Arial"/>
        </w:rPr>
        <w:t>Framework</w:t>
      </w:r>
      <w:r w:rsidRPr="008E3CDA">
        <w:rPr>
          <w:rFonts w:ascii="Arial" w:hAnsi="Arial" w:cs="Arial"/>
        </w:rPr>
        <w:t xml:space="preserve"> to ensure it reflects real-world accessibility needs.</w:t>
      </w:r>
    </w:p>
    <w:p w14:paraId="5925894A" w14:textId="324129D2" w:rsidR="00A76A34" w:rsidRPr="008D7DFF" w:rsidRDefault="00AB6348" w:rsidP="008D7DFF">
      <w:pPr>
        <w:spacing w:line="360" w:lineRule="auto"/>
        <w:rPr>
          <w:rFonts w:ascii="Arial" w:hAnsi="Arial" w:cs="Arial"/>
        </w:rPr>
      </w:pPr>
      <w:r w:rsidRPr="002D6CCA">
        <w:rPr>
          <w:rFonts w:ascii="Arial" w:hAnsi="Arial" w:cs="Arial"/>
        </w:rPr>
        <w:t>Clauses 60–68</w:t>
      </w:r>
      <w:r w:rsidRPr="00AB6348">
        <w:rPr>
          <w:rFonts w:ascii="Arial" w:hAnsi="Arial" w:cs="Arial"/>
        </w:rPr>
        <w:t xml:space="preserve"> empower the Australian Competition and Consumer Commission </w:t>
      </w:r>
      <w:r w:rsidR="002D6CCA">
        <w:rPr>
          <w:rFonts w:ascii="Arial" w:hAnsi="Arial" w:cs="Arial"/>
        </w:rPr>
        <w:t xml:space="preserve">(ACCC) </w:t>
      </w:r>
      <w:r w:rsidRPr="00AB6348">
        <w:rPr>
          <w:rFonts w:ascii="Arial" w:hAnsi="Arial" w:cs="Arial"/>
        </w:rPr>
        <w:t>to develop service-level standards</w:t>
      </w:r>
      <w:r w:rsidR="00BC077E" w:rsidRPr="00BC077E">
        <w:rPr>
          <w:rFonts w:ascii="Arial" w:hAnsi="Arial" w:cs="Arial"/>
        </w:rPr>
        <w:t xml:space="preserve"> relating to cash distribution services. </w:t>
      </w:r>
      <w:r w:rsidR="008A51B3" w:rsidRPr="008A51B3">
        <w:rPr>
          <w:rFonts w:ascii="Arial" w:hAnsi="Arial" w:cs="Arial"/>
        </w:rPr>
        <w:t xml:space="preserve">These provisions should require the ACCC to consider accessibility for people with disability when developing standards, including the practical ability of consumers to </w:t>
      </w:r>
      <w:r w:rsidR="008A51B3" w:rsidRPr="008A51B3">
        <w:rPr>
          <w:rFonts w:ascii="Arial" w:hAnsi="Arial" w:cs="Arial"/>
        </w:rPr>
        <w:lastRenderedPageBreak/>
        <w:t>obtain and use cash</w:t>
      </w:r>
      <w:r w:rsidR="00BD799C">
        <w:rPr>
          <w:rFonts w:ascii="Arial" w:hAnsi="Arial" w:cs="Arial"/>
        </w:rPr>
        <w:t xml:space="preserve"> and </w:t>
      </w:r>
      <w:r w:rsidR="001B5621">
        <w:rPr>
          <w:rFonts w:ascii="Arial" w:hAnsi="Arial" w:cs="Arial"/>
        </w:rPr>
        <w:t>ensure</w:t>
      </w:r>
      <w:r w:rsidR="00BC077E" w:rsidRPr="00BC077E">
        <w:rPr>
          <w:rFonts w:ascii="Arial" w:hAnsi="Arial" w:cs="Arial"/>
        </w:rPr>
        <w:t xml:space="preserve"> meaningful consultation </w:t>
      </w:r>
      <w:r w:rsidR="00596221">
        <w:rPr>
          <w:rFonts w:ascii="Arial" w:hAnsi="Arial" w:cs="Arial"/>
        </w:rPr>
        <w:t xml:space="preserve">with </w:t>
      </w:r>
      <w:r w:rsidR="0090777D">
        <w:rPr>
          <w:rFonts w:ascii="Arial" w:hAnsi="Arial" w:cs="Arial"/>
        </w:rPr>
        <w:t>people with disability</w:t>
      </w:r>
      <w:r w:rsidR="001B5621">
        <w:rPr>
          <w:rFonts w:ascii="Arial" w:hAnsi="Arial" w:cs="Arial"/>
        </w:rPr>
        <w:t xml:space="preserve"> </w:t>
      </w:r>
      <w:r w:rsidR="00B25225">
        <w:rPr>
          <w:rFonts w:ascii="Arial" w:hAnsi="Arial" w:cs="Arial"/>
        </w:rPr>
        <w:t xml:space="preserve">and representative organisations </w:t>
      </w:r>
      <w:r w:rsidR="001B5621">
        <w:rPr>
          <w:rFonts w:ascii="Arial" w:hAnsi="Arial" w:cs="Arial"/>
        </w:rPr>
        <w:t>in development and review.</w:t>
      </w:r>
    </w:p>
    <w:p w14:paraId="1788E5AB" w14:textId="59751E03" w:rsidR="00A82E23" w:rsidRPr="008D7DFF" w:rsidRDefault="008D7DFF" w:rsidP="00DA75CE">
      <w:pPr>
        <w:pStyle w:val="Heading3"/>
      </w:pPr>
      <w:r w:rsidRPr="008D7DFF">
        <w:t>6</w:t>
      </w:r>
      <w:r w:rsidR="00A82E23" w:rsidRPr="008D7DFF">
        <w:t>. Success should be measured by whether people can access</w:t>
      </w:r>
      <w:r w:rsidR="00152BCF">
        <w:t xml:space="preserve"> and use</w:t>
      </w:r>
      <w:r w:rsidR="00A82E23" w:rsidRPr="008D7DFF">
        <w:t xml:space="preserve"> cash</w:t>
      </w:r>
    </w:p>
    <w:p w14:paraId="5EBCB7A1" w14:textId="4F841EF3" w:rsidR="00836DCD" w:rsidRDefault="00A82E23" w:rsidP="008D7DFF">
      <w:pPr>
        <w:spacing w:line="360" w:lineRule="auto"/>
        <w:rPr>
          <w:rFonts w:ascii="Arial" w:hAnsi="Arial" w:cs="Arial"/>
        </w:rPr>
      </w:pPr>
      <w:r w:rsidRPr="008D7DFF">
        <w:rPr>
          <w:rFonts w:ascii="Arial" w:hAnsi="Arial" w:cs="Arial"/>
        </w:rPr>
        <w:t xml:space="preserve">The effectiveness of the </w:t>
      </w:r>
      <w:r w:rsidR="007519FA">
        <w:rPr>
          <w:rFonts w:ascii="Arial" w:hAnsi="Arial" w:cs="Arial"/>
        </w:rPr>
        <w:t>Framework</w:t>
      </w:r>
      <w:r w:rsidRPr="008D7DFF">
        <w:rPr>
          <w:rFonts w:ascii="Arial" w:hAnsi="Arial" w:cs="Arial"/>
        </w:rPr>
        <w:t xml:space="preserve"> should be measured not only by the resilience of the cash distribution network, but by whether people with disability</w:t>
      </w:r>
      <w:r w:rsidR="00F431FD" w:rsidRPr="008D7DFF">
        <w:rPr>
          <w:rFonts w:ascii="Arial" w:hAnsi="Arial" w:cs="Arial"/>
        </w:rPr>
        <w:t xml:space="preserve">, including people who are blind or vision impaired, </w:t>
      </w:r>
      <w:r w:rsidRPr="008D7DFF">
        <w:rPr>
          <w:rFonts w:ascii="Arial" w:hAnsi="Arial" w:cs="Arial"/>
        </w:rPr>
        <w:t>can continue to independently</w:t>
      </w:r>
      <w:r w:rsidR="00953B3E">
        <w:rPr>
          <w:rFonts w:ascii="Arial" w:hAnsi="Arial" w:cs="Arial"/>
        </w:rPr>
        <w:t>, safely and equitably</w:t>
      </w:r>
      <w:r w:rsidRPr="008D7DFF">
        <w:rPr>
          <w:rFonts w:ascii="Arial" w:hAnsi="Arial" w:cs="Arial"/>
        </w:rPr>
        <w:t xml:space="preserve"> access and use cash in practice.</w:t>
      </w:r>
      <w:r w:rsidR="008F686A">
        <w:rPr>
          <w:rFonts w:ascii="Arial" w:hAnsi="Arial" w:cs="Arial"/>
        </w:rPr>
        <w:t xml:space="preserve"> </w:t>
      </w:r>
      <w:r w:rsidR="003B30FC" w:rsidRPr="003B30FC">
        <w:rPr>
          <w:rFonts w:ascii="Arial" w:hAnsi="Arial" w:cs="Arial"/>
        </w:rPr>
        <w:t xml:space="preserve">In other words, people </w:t>
      </w:r>
      <w:r w:rsidR="003B30FC">
        <w:rPr>
          <w:rFonts w:ascii="Arial" w:hAnsi="Arial" w:cs="Arial"/>
        </w:rPr>
        <w:t xml:space="preserve">who are blind or vision impaired </w:t>
      </w:r>
      <w:r w:rsidR="003B30FC" w:rsidRPr="003B30FC">
        <w:rPr>
          <w:rFonts w:ascii="Arial" w:hAnsi="Arial" w:cs="Arial"/>
        </w:rPr>
        <w:t>should be able to</w:t>
      </w:r>
      <w:r w:rsidR="00C00BE4">
        <w:rPr>
          <w:rFonts w:ascii="Arial" w:hAnsi="Arial" w:cs="Arial"/>
        </w:rPr>
        <w:t xml:space="preserve"> </w:t>
      </w:r>
      <w:r w:rsidR="004D1012" w:rsidRPr="004D1012">
        <w:rPr>
          <w:rFonts w:ascii="Arial" w:hAnsi="Arial" w:cs="Arial"/>
        </w:rPr>
        <w:t xml:space="preserve">withdraw, identify, and spend cash as part of their everyday lives, </w:t>
      </w:r>
      <w:r w:rsidR="00221C3F">
        <w:rPr>
          <w:rFonts w:ascii="Arial" w:hAnsi="Arial" w:cs="Arial"/>
        </w:rPr>
        <w:t xml:space="preserve">on an equal basis </w:t>
      </w:r>
      <w:r w:rsidR="004D1012" w:rsidRPr="004D1012">
        <w:rPr>
          <w:rFonts w:ascii="Arial" w:hAnsi="Arial" w:cs="Arial"/>
        </w:rPr>
        <w:t>with other Australians.</w:t>
      </w:r>
    </w:p>
    <w:p w14:paraId="79DF8BDD" w14:textId="27F0DF8C" w:rsidR="00A82E23" w:rsidRDefault="00496218" w:rsidP="008D7DFF">
      <w:pPr>
        <w:spacing w:line="360" w:lineRule="auto"/>
        <w:rPr>
          <w:rFonts w:ascii="Arial" w:hAnsi="Arial" w:cs="Arial"/>
        </w:rPr>
      </w:pPr>
      <w:r w:rsidRPr="00496218">
        <w:rPr>
          <w:rFonts w:ascii="Arial" w:hAnsi="Arial" w:cs="Arial"/>
        </w:rPr>
        <w:t>This should be supported by measurable performance indicators, transparent public reporting and regular review of accessibility outcomes.</w:t>
      </w:r>
    </w:p>
    <w:p w14:paraId="4B8A9AD7" w14:textId="00E6DABA" w:rsidR="003F7CB0" w:rsidRPr="003F7CB0" w:rsidRDefault="001E6513" w:rsidP="003F7CB0">
      <w:pPr>
        <w:pStyle w:val="Heading3"/>
      </w:pPr>
      <w:r>
        <w:t xml:space="preserve">7. </w:t>
      </w:r>
      <w:r w:rsidR="003F7CB0" w:rsidRPr="003F7CB0">
        <w:t xml:space="preserve">Accessible banknotes should be protected </w:t>
      </w:r>
      <w:r w:rsidR="00811647">
        <w:t>through legislation</w:t>
      </w:r>
    </w:p>
    <w:p w14:paraId="55F4D3D4" w14:textId="3C7EDCA0" w:rsidR="00BE72D4" w:rsidRDefault="00877D61" w:rsidP="00BE72D4">
      <w:pPr>
        <w:spacing w:line="360" w:lineRule="auto"/>
        <w:rPr>
          <w:rFonts w:ascii="Arial" w:hAnsi="Arial" w:cs="Arial"/>
        </w:rPr>
      </w:pPr>
      <w:r w:rsidRPr="00877D61">
        <w:rPr>
          <w:rFonts w:ascii="Arial" w:hAnsi="Arial" w:cs="Arial"/>
        </w:rPr>
        <w:t>Australia's current banknotes incorporate a range of accessibility features including tactile markings, different note sizes, contrasting colours and large numerals.</w:t>
      </w:r>
      <w:r w:rsidR="00BE72D4">
        <w:rPr>
          <w:rFonts w:ascii="Arial" w:hAnsi="Arial" w:cs="Arial"/>
        </w:rPr>
        <w:t xml:space="preserve"> </w:t>
      </w:r>
      <w:r w:rsidR="00BE72D4" w:rsidRPr="00877D61">
        <w:rPr>
          <w:rFonts w:ascii="Arial" w:hAnsi="Arial" w:cs="Arial"/>
        </w:rPr>
        <w:t xml:space="preserve">BCA is concerned that these accessibility features rely on administrative design decisions rather than being protected through an enduring legislative requirement. </w:t>
      </w:r>
    </w:p>
    <w:p w14:paraId="7ACB089A" w14:textId="465D56C1" w:rsidR="00877D61" w:rsidRPr="00877D61" w:rsidRDefault="009671DF" w:rsidP="00877D61">
      <w:pPr>
        <w:spacing w:line="360" w:lineRule="auto"/>
        <w:rPr>
          <w:rFonts w:ascii="Arial" w:hAnsi="Arial" w:cs="Arial"/>
        </w:rPr>
      </w:pPr>
      <w:r>
        <w:rPr>
          <w:rFonts w:ascii="Arial" w:hAnsi="Arial" w:cs="Arial"/>
        </w:rPr>
        <w:t>A</w:t>
      </w:r>
      <w:r w:rsidR="00877D61" w:rsidRPr="00877D61">
        <w:rPr>
          <w:rFonts w:ascii="Arial" w:hAnsi="Arial" w:cs="Arial"/>
        </w:rPr>
        <w:t>ccessibility</w:t>
      </w:r>
      <w:r>
        <w:rPr>
          <w:rFonts w:ascii="Arial" w:hAnsi="Arial" w:cs="Arial"/>
        </w:rPr>
        <w:t xml:space="preserve"> features </w:t>
      </w:r>
      <w:r w:rsidR="00606E35" w:rsidRPr="00877D61">
        <w:rPr>
          <w:rFonts w:ascii="Arial" w:hAnsi="Arial" w:cs="Arial"/>
        </w:rPr>
        <w:t xml:space="preserve">enable people who are blind or vision impaired to </w:t>
      </w:r>
      <w:r w:rsidR="00877D61" w:rsidRPr="00877D61">
        <w:rPr>
          <w:rFonts w:ascii="Arial" w:hAnsi="Arial" w:cs="Arial"/>
        </w:rPr>
        <w:t xml:space="preserve">receive, identify and use banknotes without relying on another person </w:t>
      </w:r>
      <w:r w:rsidR="00A63BDE">
        <w:rPr>
          <w:rFonts w:ascii="Arial" w:hAnsi="Arial" w:cs="Arial"/>
        </w:rPr>
        <w:t xml:space="preserve">which </w:t>
      </w:r>
      <w:r w:rsidR="00877D61" w:rsidRPr="00877D61">
        <w:rPr>
          <w:rFonts w:ascii="Arial" w:hAnsi="Arial" w:cs="Arial"/>
        </w:rPr>
        <w:t>supports privacy, financial independence and confidence in transactions.</w:t>
      </w:r>
    </w:p>
    <w:p w14:paraId="71F9045D" w14:textId="3A8BA036" w:rsidR="002A52D0" w:rsidRPr="002A52D0" w:rsidRDefault="00711F44" w:rsidP="002A52D0">
      <w:pPr>
        <w:spacing w:line="360" w:lineRule="auto"/>
        <w:rPr>
          <w:rFonts w:ascii="Arial" w:hAnsi="Arial" w:cs="Arial"/>
        </w:rPr>
      </w:pPr>
      <w:r>
        <w:rPr>
          <w:rFonts w:ascii="Arial" w:hAnsi="Arial" w:cs="Arial"/>
        </w:rPr>
        <w:t>M</w:t>
      </w:r>
      <w:r w:rsidR="007022B9" w:rsidRPr="007022B9">
        <w:rPr>
          <w:rFonts w:ascii="Arial" w:hAnsi="Arial" w:cs="Arial"/>
        </w:rPr>
        <w:t xml:space="preserve">embers of the blind and vision impaired community </w:t>
      </w:r>
      <w:r>
        <w:rPr>
          <w:rFonts w:ascii="Arial" w:hAnsi="Arial" w:cs="Arial"/>
        </w:rPr>
        <w:t>have raised concern</w:t>
      </w:r>
      <w:r w:rsidR="009E3659">
        <w:rPr>
          <w:rFonts w:ascii="Arial" w:hAnsi="Arial" w:cs="Arial"/>
        </w:rPr>
        <w:t>s</w:t>
      </w:r>
      <w:r>
        <w:rPr>
          <w:rFonts w:ascii="Arial" w:hAnsi="Arial" w:cs="Arial"/>
        </w:rPr>
        <w:t xml:space="preserve"> </w:t>
      </w:r>
      <w:r w:rsidR="007022B9" w:rsidRPr="007022B9">
        <w:rPr>
          <w:rFonts w:ascii="Arial" w:hAnsi="Arial" w:cs="Arial"/>
        </w:rPr>
        <w:t xml:space="preserve">regarding the durability of tactile markings on Australian banknotes and the importance of ensuring these features remain effective throughout the life of the note. </w:t>
      </w:r>
      <w:r w:rsidR="0001308A">
        <w:rPr>
          <w:rFonts w:ascii="Arial" w:hAnsi="Arial" w:cs="Arial"/>
        </w:rPr>
        <w:t>Members report that</w:t>
      </w:r>
      <w:r w:rsidR="002956BB">
        <w:rPr>
          <w:rFonts w:ascii="Arial" w:hAnsi="Arial" w:cs="Arial"/>
        </w:rPr>
        <w:t xml:space="preserve"> currently</w:t>
      </w:r>
      <w:r w:rsidR="0001308A">
        <w:rPr>
          <w:rFonts w:ascii="Arial" w:hAnsi="Arial" w:cs="Arial"/>
        </w:rPr>
        <w:t xml:space="preserve"> t</w:t>
      </w:r>
      <w:r w:rsidR="002A52D0" w:rsidRPr="002A52D0">
        <w:rPr>
          <w:rFonts w:ascii="Arial" w:hAnsi="Arial" w:cs="Arial"/>
        </w:rPr>
        <w:t>here are significant quantities of bank notes in circulation which do not carry the identifying dots</w:t>
      </w:r>
      <w:r w:rsidR="0001308A">
        <w:rPr>
          <w:rFonts w:ascii="Arial" w:hAnsi="Arial" w:cs="Arial"/>
        </w:rPr>
        <w:t>.</w:t>
      </w:r>
    </w:p>
    <w:p w14:paraId="60002800" w14:textId="77777777" w:rsidR="005D7C7E" w:rsidRDefault="001F466C" w:rsidP="005A4D46">
      <w:pPr>
        <w:spacing w:line="360" w:lineRule="auto"/>
        <w:rPr>
          <w:rFonts w:ascii="Arial" w:hAnsi="Arial" w:cs="Arial"/>
        </w:rPr>
      </w:pPr>
      <w:r>
        <w:rPr>
          <w:rFonts w:ascii="Arial" w:hAnsi="Arial" w:cs="Arial"/>
        </w:rPr>
        <w:t>A</w:t>
      </w:r>
      <w:r w:rsidRPr="001F466C">
        <w:rPr>
          <w:rFonts w:ascii="Arial" w:hAnsi="Arial" w:cs="Arial"/>
        </w:rPr>
        <w:t>lthough the Bills do not regulate banknote design, the establishment of a national framework for preserving cash provides an appropriate opportunity for Parliament to recognise the importance of maintaining accessible banknote design.</w:t>
      </w:r>
      <w:r w:rsidR="005A4D46">
        <w:rPr>
          <w:rFonts w:ascii="Arial" w:hAnsi="Arial" w:cs="Arial"/>
        </w:rPr>
        <w:t xml:space="preserve"> </w:t>
      </w:r>
    </w:p>
    <w:p w14:paraId="60D6501F" w14:textId="1D65A88F" w:rsidR="005A4D46" w:rsidRPr="007022B9" w:rsidRDefault="005A4D46" w:rsidP="005A4D46">
      <w:pPr>
        <w:spacing w:line="360" w:lineRule="auto"/>
        <w:rPr>
          <w:rFonts w:ascii="Arial" w:hAnsi="Arial" w:cs="Arial"/>
        </w:rPr>
      </w:pPr>
      <w:r w:rsidRPr="007022B9">
        <w:rPr>
          <w:rFonts w:ascii="Arial" w:hAnsi="Arial" w:cs="Arial"/>
        </w:rPr>
        <w:t xml:space="preserve">Future banknote design should include meaningful co-design, user testing and periodic review of accessibility features to ensure they continue to meet the needs of the community. </w:t>
      </w:r>
    </w:p>
    <w:p w14:paraId="0A7BDB74" w14:textId="5D5AD258" w:rsidR="00B268FD" w:rsidRPr="00B268FD" w:rsidRDefault="00446CBC" w:rsidP="00B268FD">
      <w:pPr>
        <w:pStyle w:val="Heading3"/>
      </w:pPr>
      <w:r>
        <w:lastRenderedPageBreak/>
        <w:t xml:space="preserve">8. </w:t>
      </w:r>
      <w:r w:rsidR="00B268FD" w:rsidRPr="00B268FD">
        <w:t>Cash acceptance</w:t>
      </w:r>
      <w:r w:rsidR="00BB1875">
        <w:t xml:space="preserve"> remains important</w:t>
      </w:r>
    </w:p>
    <w:p w14:paraId="6A0DE0BD" w14:textId="77777777" w:rsidR="00CB1850" w:rsidRDefault="00064A84" w:rsidP="003C5D4D">
      <w:pPr>
        <w:spacing w:line="360" w:lineRule="auto"/>
        <w:rPr>
          <w:rFonts w:ascii="Arial" w:hAnsi="Arial" w:cs="Arial"/>
        </w:rPr>
      </w:pPr>
      <w:r w:rsidRPr="003C5D4D">
        <w:rPr>
          <w:rFonts w:ascii="Arial" w:hAnsi="Arial" w:cs="Arial"/>
        </w:rPr>
        <w:t xml:space="preserve">Maintaining the distribution of cash will have limited practical benefit if consumers cannot use cash to purchase essential goods and services. </w:t>
      </w:r>
      <w:r w:rsidR="00CB1850">
        <w:rPr>
          <w:rFonts w:ascii="Arial" w:hAnsi="Arial" w:cs="Arial"/>
        </w:rPr>
        <w:t>A</w:t>
      </w:r>
      <w:r w:rsidRPr="003C5D4D">
        <w:rPr>
          <w:rFonts w:ascii="Arial" w:hAnsi="Arial" w:cs="Arial"/>
        </w:rPr>
        <w:t>n increasing number of transactions cannot be completed using cash, even where a person has cash available.</w:t>
      </w:r>
      <w:r w:rsidR="00CB1850">
        <w:rPr>
          <w:rFonts w:ascii="Arial" w:hAnsi="Arial" w:cs="Arial"/>
        </w:rPr>
        <w:t xml:space="preserve"> </w:t>
      </w:r>
    </w:p>
    <w:p w14:paraId="5C81199F" w14:textId="789D4882" w:rsidR="00064A84" w:rsidRPr="003C5D4D" w:rsidRDefault="00652484" w:rsidP="003C5D4D">
      <w:pPr>
        <w:spacing w:line="360" w:lineRule="auto"/>
        <w:rPr>
          <w:rFonts w:ascii="Arial" w:hAnsi="Arial" w:cs="Arial"/>
        </w:rPr>
      </w:pPr>
      <w:r>
        <w:rPr>
          <w:rFonts w:ascii="Arial" w:hAnsi="Arial" w:cs="Arial"/>
        </w:rPr>
        <w:t>While t</w:t>
      </w:r>
      <w:r w:rsidR="00064A84" w:rsidRPr="003C5D4D">
        <w:rPr>
          <w:rFonts w:ascii="Arial" w:hAnsi="Arial" w:cs="Arial"/>
        </w:rPr>
        <w:t>he</w:t>
      </w:r>
      <w:r w:rsidR="000E6EBB">
        <w:rPr>
          <w:rFonts w:ascii="Arial" w:hAnsi="Arial" w:cs="Arial"/>
        </w:rPr>
        <w:t>se</w:t>
      </w:r>
      <w:r w:rsidR="00064A84" w:rsidRPr="003C5D4D">
        <w:rPr>
          <w:rFonts w:ascii="Arial" w:hAnsi="Arial" w:cs="Arial"/>
        </w:rPr>
        <w:t xml:space="preserve"> Bills focus largely on the delivery and collection of cash</w:t>
      </w:r>
      <w:r>
        <w:rPr>
          <w:rFonts w:ascii="Arial" w:hAnsi="Arial" w:cs="Arial"/>
        </w:rPr>
        <w:t>, s</w:t>
      </w:r>
      <w:r w:rsidR="00064A84" w:rsidRPr="003C5D4D">
        <w:rPr>
          <w:rFonts w:ascii="Arial" w:hAnsi="Arial" w:cs="Arial"/>
        </w:rPr>
        <w:t xml:space="preserve">eparately, the </w:t>
      </w:r>
      <w:r w:rsidR="00F108D9">
        <w:rPr>
          <w:rFonts w:ascii="Arial" w:hAnsi="Arial" w:cs="Arial"/>
        </w:rPr>
        <w:t xml:space="preserve">Australian </w:t>
      </w:r>
      <w:r w:rsidR="00064A84" w:rsidRPr="003C5D4D">
        <w:rPr>
          <w:rFonts w:ascii="Arial" w:hAnsi="Arial" w:cs="Arial"/>
        </w:rPr>
        <w:t>Government has proposed requiring certain businesses supplying essential goods and services to accept cash, subject to appropriate exemptions. Treasury has recognised that there is currently no general requirement for businesses to accept cash and that cash acceptance supports participation by consumers who cannot use digital payment methods, as well as resilience during digital outages and emergencies</w:t>
      </w:r>
      <w:r w:rsidR="00B21901">
        <w:rPr>
          <w:rStyle w:val="FootnoteReference"/>
          <w:rFonts w:ascii="Arial" w:hAnsi="Arial" w:cs="Arial"/>
        </w:rPr>
        <w:footnoteReference w:id="1"/>
      </w:r>
      <w:r w:rsidR="00064A84" w:rsidRPr="003C5D4D">
        <w:rPr>
          <w:rFonts w:ascii="Arial" w:hAnsi="Arial" w:cs="Arial"/>
        </w:rPr>
        <w:t>.</w:t>
      </w:r>
    </w:p>
    <w:p w14:paraId="5FC0D7F4" w14:textId="77777777" w:rsidR="00064A84" w:rsidRPr="003C5D4D" w:rsidRDefault="00064A84" w:rsidP="003C5D4D">
      <w:pPr>
        <w:spacing w:line="360" w:lineRule="auto"/>
        <w:rPr>
          <w:rFonts w:ascii="Arial" w:hAnsi="Arial" w:cs="Arial"/>
        </w:rPr>
      </w:pPr>
      <w:r w:rsidRPr="003C5D4D">
        <w:rPr>
          <w:rFonts w:ascii="Arial" w:hAnsi="Arial" w:cs="Arial"/>
        </w:rPr>
        <w:t xml:space="preserve">These reforms should be developed and implemented as complementary parts of a coherent national cash policy. </w:t>
      </w:r>
    </w:p>
    <w:p w14:paraId="16490C35" w14:textId="3C432308" w:rsidR="00B8211D" w:rsidRDefault="00933BF0" w:rsidP="00D87DBA">
      <w:pPr>
        <w:pStyle w:val="Heading2"/>
      </w:pPr>
      <w:r>
        <w:t>Recommendations</w:t>
      </w:r>
    </w:p>
    <w:p w14:paraId="46B2A26B" w14:textId="3342FEE5" w:rsidR="00F16859" w:rsidRPr="00F16859" w:rsidRDefault="00F16859" w:rsidP="00F16859">
      <w:pPr>
        <w:spacing w:line="360" w:lineRule="auto"/>
        <w:rPr>
          <w:rFonts w:ascii="Arial" w:hAnsi="Arial" w:cs="Arial"/>
          <w:b/>
          <w:bCs/>
        </w:rPr>
      </w:pPr>
      <w:r w:rsidRPr="00F16859">
        <w:rPr>
          <w:rFonts w:ascii="Arial" w:hAnsi="Arial" w:cs="Arial"/>
          <w:b/>
          <w:bCs/>
        </w:rPr>
        <w:t xml:space="preserve">Recommendation 1 – Recognise accessible consumer access to cash </w:t>
      </w:r>
    </w:p>
    <w:p w14:paraId="4E0DCB05" w14:textId="77777777" w:rsidR="00F16859" w:rsidRPr="00F16859" w:rsidRDefault="00F16859" w:rsidP="00F16859">
      <w:pPr>
        <w:spacing w:line="360" w:lineRule="auto"/>
        <w:rPr>
          <w:rFonts w:ascii="Arial" w:hAnsi="Arial" w:cs="Arial"/>
        </w:rPr>
      </w:pPr>
      <w:r w:rsidRPr="00F16859">
        <w:rPr>
          <w:rFonts w:ascii="Arial" w:hAnsi="Arial" w:cs="Arial"/>
        </w:rPr>
        <w:t>Amend the objects of the Bill (clause 3) to recognise that maintaining Australia's cash system includes ensuring people with disability can obtain and use cash on an equal basis with other Australians.</w:t>
      </w:r>
    </w:p>
    <w:p w14:paraId="02326B18" w14:textId="2C3968DD" w:rsidR="00F16859" w:rsidRPr="00B5051C" w:rsidRDefault="00F16859" w:rsidP="00F16859">
      <w:pPr>
        <w:spacing w:line="360" w:lineRule="auto"/>
        <w:rPr>
          <w:rFonts w:ascii="Arial" w:hAnsi="Arial" w:cs="Arial"/>
          <w:b/>
          <w:bCs/>
        </w:rPr>
      </w:pPr>
      <w:r w:rsidRPr="00B5051C">
        <w:rPr>
          <w:rFonts w:ascii="Arial" w:hAnsi="Arial" w:cs="Arial"/>
          <w:b/>
          <w:bCs/>
        </w:rPr>
        <w:t xml:space="preserve">Recommendation 2 – Embed accessibility in service standards </w:t>
      </w:r>
    </w:p>
    <w:p w14:paraId="634316E3" w14:textId="77777777" w:rsidR="00F16859" w:rsidRPr="00F16859" w:rsidRDefault="00F16859" w:rsidP="00F16859">
      <w:pPr>
        <w:spacing w:line="360" w:lineRule="auto"/>
        <w:rPr>
          <w:rFonts w:ascii="Arial" w:hAnsi="Arial" w:cs="Arial"/>
        </w:rPr>
      </w:pPr>
      <w:r w:rsidRPr="00F16859">
        <w:rPr>
          <w:rFonts w:ascii="Arial" w:hAnsi="Arial" w:cs="Arial"/>
        </w:rPr>
        <w:t>Amend the provisions relating to service-level standards (clauses 60–68) to require the Australian Competition and Consumer Commission (ACCC), when developing service standards and related regulatory instruments, to expressly consider accessibility for people with disability, including equitable geographic access and consumers' practical ability to obtain, identify, deposit and use cash.</w:t>
      </w:r>
    </w:p>
    <w:p w14:paraId="1FD1F1E3" w14:textId="77777777" w:rsidR="00F16859" w:rsidRPr="00B5051C" w:rsidRDefault="00F16859" w:rsidP="00F16859">
      <w:pPr>
        <w:spacing w:line="360" w:lineRule="auto"/>
        <w:rPr>
          <w:rFonts w:ascii="Arial" w:hAnsi="Arial" w:cs="Arial"/>
          <w:b/>
          <w:bCs/>
        </w:rPr>
      </w:pPr>
      <w:r w:rsidRPr="00B5051C">
        <w:rPr>
          <w:rFonts w:ascii="Arial" w:hAnsi="Arial" w:cs="Arial"/>
          <w:b/>
          <w:bCs/>
        </w:rPr>
        <w:t>Recommendation 3 – Require disability consultation (Clauses 60–68 and 205)</w:t>
      </w:r>
    </w:p>
    <w:p w14:paraId="54395FC4" w14:textId="77777777" w:rsidR="00F16859" w:rsidRPr="00F16859" w:rsidRDefault="00F16859" w:rsidP="00F16859">
      <w:pPr>
        <w:spacing w:line="360" w:lineRule="auto"/>
        <w:rPr>
          <w:rFonts w:ascii="Arial" w:hAnsi="Arial" w:cs="Arial"/>
        </w:rPr>
      </w:pPr>
      <w:r w:rsidRPr="00F16859">
        <w:rPr>
          <w:rFonts w:ascii="Arial" w:hAnsi="Arial" w:cs="Arial"/>
        </w:rPr>
        <w:t xml:space="preserve">Amend the Bill to require the Minister, the ACCC and the Reserve Bank of Australia (RBA) to undertake meaningful consultation with people with disability and disability </w:t>
      </w:r>
      <w:r w:rsidRPr="00F16859">
        <w:rPr>
          <w:rFonts w:ascii="Arial" w:hAnsi="Arial" w:cs="Arial"/>
        </w:rPr>
        <w:lastRenderedPageBreak/>
        <w:t>representative organisations when developing, implementing or reviewing service standards, rules and other significant regulatory arrangements under the framework, including rules made under clause 205.</w:t>
      </w:r>
    </w:p>
    <w:p w14:paraId="381BB4ED" w14:textId="595145BC" w:rsidR="00F16859" w:rsidRPr="000A375E" w:rsidRDefault="00F16859" w:rsidP="00F16859">
      <w:pPr>
        <w:spacing w:line="360" w:lineRule="auto"/>
        <w:rPr>
          <w:rFonts w:ascii="Arial" w:hAnsi="Arial" w:cs="Arial"/>
          <w:b/>
          <w:bCs/>
        </w:rPr>
      </w:pPr>
      <w:r w:rsidRPr="000A375E">
        <w:rPr>
          <w:rFonts w:ascii="Arial" w:hAnsi="Arial" w:cs="Arial"/>
          <w:b/>
          <w:bCs/>
        </w:rPr>
        <w:t xml:space="preserve">Recommendation 4 – Strengthen emergency resilience </w:t>
      </w:r>
    </w:p>
    <w:p w14:paraId="19F8AFF5" w14:textId="77777777" w:rsidR="00F16859" w:rsidRPr="00F16859" w:rsidRDefault="00F16859" w:rsidP="00F16859">
      <w:pPr>
        <w:spacing w:line="360" w:lineRule="auto"/>
        <w:rPr>
          <w:rFonts w:ascii="Arial" w:hAnsi="Arial" w:cs="Arial"/>
        </w:rPr>
      </w:pPr>
      <w:r w:rsidRPr="00F16859">
        <w:rPr>
          <w:rFonts w:ascii="Arial" w:hAnsi="Arial" w:cs="Arial"/>
        </w:rPr>
        <w:t>Amend the framework supporting the availability of cash in Australia (clause 7) to require crisis planning and business continuity arrangements to explicitly consider the needs of people with disability, including continuity of access to cash, accessible communications and appropriate contingency arrangements during emergencies and major service disruptions.</w:t>
      </w:r>
    </w:p>
    <w:p w14:paraId="748304E5" w14:textId="77777777" w:rsidR="00F16859" w:rsidRPr="000A375E" w:rsidRDefault="00F16859" w:rsidP="00F16859">
      <w:pPr>
        <w:spacing w:line="360" w:lineRule="auto"/>
        <w:rPr>
          <w:rFonts w:ascii="Arial" w:hAnsi="Arial" w:cs="Arial"/>
          <w:b/>
          <w:bCs/>
        </w:rPr>
      </w:pPr>
      <w:r w:rsidRPr="000A375E">
        <w:rPr>
          <w:rFonts w:ascii="Arial" w:hAnsi="Arial" w:cs="Arial"/>
          <w:b/>
          <w:bCs/>
        </w:rPr>
        <w:t>Recommendation 5 – Protect accessible banknote design</w:t>
      </w:r>
    </w:p>
    <w:p w14:paraId="615FBC8D" w14:textId="77777777" w:rsidR="00F16859" w:rsidRPr="00F16859" w:rsidRDefault="00F16859" w:rsidP="00F16859">
      <w:pPr>
        <w:spacing w:line="360" w:lineRule="auto"/>
        <w:rPr>
          <w:rFonts w:ascii="Arial" w:hAnsi="Arial" w:cs="Arial"/>
        </w:rPr>
      </w:pPr>
      <w:r w:rsidRPr="00F16859">
        <w:rPr>
          <w:rFonts w:ascii="Arial" w:hAnsi="Arial" w:cs="Arial"/>
        </w:rPr>
        <w:t>Introduce a legislative requirement that all future Australian banknote series preserve or enhance accessibility for people who are blind or vision impaired by maintaining effective tactile, visual and other accessibility features that enable independent identification of banknote denominations, developed in consultation with people who are blind or vision impaired.</w:t>
      </w:r>
    </w:p>
    <w:p w14:paraId="30D154B3" w14:textId="77777777" w:rsidR="00F16859" w:rsidRPr="000A375E" w:rsidRDefault="00F16859" w:rsidP="00F16859">
      <w:pPr>
        <w:spacing w:line="360" w:lineRule="auto"/>
        <w:rPr>
          <w:rFonts w:ascii="Arial" w:hAnsi="Arial" w:cs="Arial"/>
          <w:b/>
          <w:bCs/>
        </w:rPr>
      </w:pPr>
      <w:r w:rsidRPr="000A375E">
        <w:rPr>
          <w:rFonts w:ascii="Arial" w:hAnsi="Arial" w:cs="Arial"/>
          <w:b/>
          <w:bCs/>
        </w:rPr>
        <w:t>Recommendation 6 – Align with broader cash reforms</w:t>
      </w:r>
    </w:p>
    <w:p w14:paraId="69AB2AF2" w14:textId="538DC0F9" w:rsidR="00F16859" w:rsidRPr="00F16859" w:rsidRDefault="00F16859" w:rsidP="00F16859">
      <w:pPr>
        <w:spacing w:line="360" w:lineRule="auto"/>
        <w:rPr>
          <w:rFonts w:ascii="Arial" w:hAnsi="Arial" w:cs="Arial"/>
        </w:rPr>
      </w:pPr>
      <w:r w:rsidRPr="00F16859">
        <w:rPr>
          <w:rFonts w:ascii="Arial" w:hAnsi="Arial" w:cs="Arial"/>
        </w:rPr>
        <w:t xml:space="preserve">Ensure the </w:t>
      </w:r>
      <w:r w:rsidR="00475E63">
        <w:rPr>
          <w:rFonts w:ascii="Arial" w:hAnsi="Arial" w:cs="Arial"/>
        </w:rPr>
        <w:t>c</w:t>
      </w:r>
      <w:r w:rsidRPr="00F16859">
        <w:rPr>
          <w:rFonts w:ascii="Arial" w:hAnsi="Arial" w:cs="Arial"/>
        </w:rPr>
        <w:t xml:space="preserve">ash </w:t>
      </w:r>
      <w:r w:rsidR="00475E63">
        <w:rPr>
          <w:rFonts w:ascii="Arial" w:hAnsi="Arial" w:cs="Arial"/>
        </w:rPr>
        <w:t>d</w:t>
      </w:r>
      <w:r w:rsidRPr="00F16859">
        <w:rPr>
          <w:rFonts w:ascii="Arial" w:hAnsi="Arial" w:cs="Arial"/>
        </w:rPr>
        <w:t xml:space="preserve">istribution </w:t>
      </w:r>
      <w:r w:rsidR="00475E63">
        <w:rPr>
          <w:rFonts w:ascii="Arial" w:hAnsi="Arial" w:cs="Arial"/>
        </w:rPr>
        <w:t>f</w:t>
      </w:r>
      <w:r w:rsidRPr="00F16859">
        <w:rPr>
          <w:rFonts w:ascii="Arial" w:hAnsi="Arial" w:cs="Arial"/>
        </w:rPr>
        <w:t>ramework operates consistently with the proposed cash acceptance mandate and other Government initiatives intended to preserve consumer access to cash, recognising that maintaining the supply of cash alone will not ensure people can obtain and use cash in practice.</w:t>
      </w:r>
    </w:p>
    <w:p w14:paraId="4543F2BE" w14:textId="1A35AC9D" w:rsidR="004825EC" w:rsidRPr="008E20B3" w:rsidRDefault="008E20B3" w:rsidP="008E20B3">
      <w:pPr>
        <w:pStyle w:val="Heading2"/>
      </w:pPr>
      <w:r w:rsidRPr="008E20B3">
        <w:t>Lived Experience Insights</w:t>
      </w:r>
    </w:p>
    <w:p w14:paraId="76310B62" w14:textId="4A7BC67D" w:rsidR="00761B3C" w:rsidRPr="00761B3C" w:rsidRDefault="00761B3C" w:rsidP="00761B3C">
      <w:pPr>
        <w:spacing w:line="360" w:lineRule="auto"/>
        <w:rPr>
          <w:rFonts w:ascii="Arial" w:hAnsi="Arial" w:cs="Arial"/>
          <w:b/>
          <w:bCs/>
        </w:rPr>
      </w:pPr>
      <w:r w:rsidRPr="00761B3C">
        <w:rPr>
          <w:rFonts w:ascii="Arial" w:hAnsi="Arial" w:cs="Arial"/>
          <w:b/>
          <w:bCs/>
        </w:rPr>
        <w:t xml:space="preserve">Case study </w:t>
      </w:r>
      <w:r w:rsidR="004F3144">
        <w:rPr>
          <w:rFonts w:ascii="Arial" w:hAnsi="Arial" w:cs="Arial"/>
          <w:b/>
          <w:bCs/>
        </w:rPr>
        <w:t>1</w:t>
      </w:r>
    </w:p>
    <w:p w14:paraId="528EAE34" w14:textId="38530C5C" w:rsidR="00761B3C" w:rsidRPr="00761B3C" w:rsidRDefault="00761B3C" w:rsidP="00761B3C">
      <w:pPr>
        <w:spacing w:line="360" w:lineRule="auto"/>
        <w:rPr>
          <w:rFonts w:ascii="Arial" w:hAnsi="Arial" w:cs="Arial"/>
        </w:rPr>
      </w:pPr>
      <w:r w:rsidRPr="00761B3C">
        <w:rPr>
          <w:rFonts w:ascii="Arial" w:hAnsi="Arial" w:cs="Arial"/>
        </w:rPr>
        <w:t xml:space="preserve">A BCA member who is blind described that, although they prefer to pay with cash in some situations, they are increasingly unable to do so independently. Many </w:t>
      </w:r>
      <w:r>
        <w:rPr>
          <w:rFonts w:ascii="Arial" w:hAnsi="Arial" w:cs="Arial"/>
        </w:rPr>
        <w:t xml:space="preserve">supermarkets and </w:t>
      </w:r>
      <w:r w:rsidRPr="00761B3C">
        <w:rPr>
          <w:rFonts w:ascii="Arial" w:hAnsi="Arial" w:cs="Arial"/>
        </w:rPr>
        <w:t xml:space="preserve">convenience stores have introduced self-checkout kiosks that </w:t>
      </w:r>
      <w:r w:rsidR="00481E19">
        <w:rPr>
          <w:rFonts w:ascii="Arial" w:hAnsi="Arial" w:cs="Arial"/>
        </w:rPr>
        <w:t xml:space="preserve">are not </w:t>
      </w:r>
      <w:r w:rsidRPr="00761B3C">
        <w:rPr>
          <w:rFonts w:ascii="Arial" w:hAnsi="Arial" w:cs="Arial"/>
        </w:rPr>
        <w:t>designed to support customers who are blind or vision impaired</w:t>
      </w:r>
      <w:r w:rsidR="00EB1ED7">
        <w:rPr>
          <w:rFonts w:ascii="Arial" w:hAnsi="Arial" w:cs="Arial"/>
        </w:rPr>
        <w:t xml:space="preserve"> and </w:t>
      </w:r>
      <w:r w:rsidR="000A5802">
        <w:rPr>
          <w:rFonts w:ascii="Arial" w:hAnsi="Arial" w:cs="Arial"/>
        </w:rPr>
        <w:t xml:space="preserve">often </w:t>
      </w:r>
      <w:r w:rsidR="00EB1ED7">
        <w:rPr>
          <w:rFonts w:ascii="Arial" w:hAnsi="Arial" w:cs="Arial"/>
        </w:rPr>
        <w:t>don’t accept cash</w:t>
      </w:r>
      <w:r w:rsidRPr="00761B3C">
        <w:rPr>
          <w:rFonts w:ascii="Arial" w:hAnsi="Arial" w:cs="Arial"/>
        </w:rPr>
        <w:t>. As a result, the member must either seek assistance from staff, compromising their privacy and independence, or queue for the limited staffed checkout.</w:t>
      </w:r>
    </w:p>
    <w:p w14:paraId="46BDE79E" w14:textId="2E692362" w:rsidR="00761B3C" w:rsidRPr="00761B3C" w:rsidRDefault="00761B3C" w:rsidP="00761B3C">
      <w:pPr>
        <w:spacing w:line="360" w:lineRule="auto"/>
        <w:rPr>
          <w:rFonts w:ascii="Arial" w:hAnsi="Arial" w:cs="Arial"/>
        </w:rPr>
      </w:pPr>
      <w:r w:rsidRPr="00761B3C">
        <w:rPr>
          <w:rFonts w:ascii="Arial" w:hAnsi="Arial" w:cs="Arial"/>
        </w:rPr>
        <w:lastRenderedPageBreak/>
        <w:t xml:space="preserve">The member explained that obtaining cash has become increasingly difficult due to the </w:t>
      </w:r>
      <w:r w:rsidR="00A642E2">
        <w:rPr>
          <w:rFonts w:ascii="Arial" w:hAnsi="Arial" w:cs="Arial"/>
        </w:rPr>
        <w:t>paucity</w:t>
      </w:r>
      <w:r w:rsidRPr="00761B3C">
        <w:rPr>
          <w:rFonts w:ascii="Arial" w:hAnsi="Arial" w:cs="Arial"/>
        </w:rPr>
        <w:t xml:space="preserve"> of bank branches and ATMs and limited accessible public transport to the remaining facilities. They called for greater accessibility of self-service payment technology, disability awareness training for </w:t>
      </w:r>
      <w:r w:rsidR="00A43452">
        <w:rPr>
          <w:rFonts w:ascii="Arial" w:hAnsi="Arial" w:cs="Arial"/>
        </w:rPr>
        <w:t xml:space="preserve">business owners and </w:t>
      </w:r>
      <w:r w:rsidRPr="00761B3C">
        <w:rPr>
          <w:rFonts w:ascii="Arial" w:hAnsi="Arial" w:cs="Arial"/>
        </w:rPr>
        <w:t>customer-facing staff, and improved access to cash withdrawal services within local communities.</w:t>
      </w:r>
    </w:p>
    <w:p w14:paraId="7F974B55" w14:textId="3AB6CF2F" w:rsidR="004F3144" w:rsidRPr="004F3144" w:rsidRDefault="004F3144" w:rsidP="004F3144">
      <w:pPr>
        <w:spacing w:line="360" w:lineRule="auto"/>
        <w:rPr>
          <w:rFonts w:ascii="Arial" w:hAnsi="Arial" w:cs="Arial"/>
          <w:b/>
          <w:bCs/>
        </w:rPr>
      </w:pPr>
      <w:r w:rsidRPr="004F3144">
        <w:rPr>
          <w:rFonts w:ascii="Arial" w:hAnsi="Arial" w:cs="Arial"/>
          <w:b/>
          <w:bCs/>
        </w:rPr>
        <w:t xml:space="preserve">Case study </w:t>
      </w:r>
      <w:r>
        <w:rPr>
          <w:rFonts w:ascii="Arial" w:hAnsi="Arial" w:cs="Arial"/>
          <w:b/>
          <w:bCs/>
        </w:rPr>
        <w:t>2</w:t>
      </w:r>
    </w:p>
    <w:p w14:paraId="6A31ECCB" w14:textId="7AEB70F6" w:rsidR="004F3144" w:rsidRPr="004F3144" w:rsidRDefault="004F3144" w:rsidP="004F3144">
      <w:pPr>
        <w:spacing w:line="360" w:lineRule="auto"/>
        <w:rPr>
          <w:rFonts w:ascii="Arial" w:hAnsi="Arial" w:cs="Arial"/>
        </w:rPr>
      </w:pPr>
      <w:r w:rsidRPr="004F3144">
        <w:rPr>
          <w:rFonts w:ascii="Arial" w:hAnsi="Arial" w:cs="Arial"/>
        </w:rPr>
        <w:t>A BCA member who is blind explained that</w:t>
      </w:r>
      <w:r w:rsidR="007F628E">
        <w:rPr>
          <w:rFonts w:ascii="Arial" w:hAnsi="Arial" w:cs="Arial"/>
        </w:rPr>
        <w:t xml:space="preserve"> t</w:t>
      </w:r>
      <w:r w:rsidRPr="004F3144">
        <w:rPr>
          <w:rFonts w:ascii="Arial" w:hAnsi="Arial" w:cs="Arial"/>
        </w:rPr>
        <w:t>o buy a coffee, they first need to locate an ATM they can use independently. If the ATM is inaccessible, difficult to reach or only dispenses $50 notes, obtaining cash becomes more difficult and increases the risk of error or fraud when paying for a low-value purchase</w:t>
      </w:r>
      <w:r w:rsidR="005D677C">
        <w:rPr>
          <w:rFonts w:ascii="Arial" w:hAnsi="Arial" w:cs="Arial"/>
        </w:rPr>
        <w:t xml:space="preserve"> using a high denomination note</w:t>
      </w:r>
      <w:r w:rsidRPr="004F3144">
        <w:rPr>
          <w:rFonts w:ascii="Arial" w:hAnsi="Arial" w:cs="Arial"/>
        </w:rPr>
        <w:t>.</w:t>
      </w:r>
    </w:p>
    <w:p w14:paraId="18561DC3" w14:textId="5927932D" w:rsidR="004F3144" w:rsidRPr="004F3144" w:rsidRDefault="004F3144" w:rsidP="004F3144">
      <w:pPr>
        <w:spacing w:line="360" w:lineRule="auto"/>
        <w:rPr>
          <w:rFonts w:ascii="Arial" w:hAnsi="Arial" w:cs="Arial"/>
        </w:rPr>
      </w:pPr>
      <w:r w:rsidRPr="004F3144">
        <w:rPr>
          <w:rFonts w:ascii="Arial" w:hAnsi="Arial" w:cs="Arial"/>
        </w:rPr>
        <w:t>The member also described the increasing use of touchscreen payment terminals and self-service technology</w:t>
      </w:r>
      <w:r w:rsidR="005D677C">
        <w:rPr>
          <w:rFonts w:ascii="Arial" w:hAnsi="Arial" w:cs="Arial"/>
        </w:rPr>
        <w:t>.</w:t>
      </w:r>
      <w:r w:rsidRPr="004F3144">
        <w:rPr>
          <w:rFonts w:ascii="Arial" w:hAnsi="Arial" w:cs="Arial"/>
        </w:rPr>
        <w:t xml:space="preserve"> </w:t>
      </w:r>
      <w:r w:rsidR="00F95F19">
        <w:rPr>
          <w:rFonts w:ascii="Arial" w:hAnsi="Arial" w:cs="Arial"/>
        </w:rPr>
        <w:t>Their experience was that i</w:t>
      </w:r>
      <w:r w:rsidRPr="004F3144">
        <w:rPr>
          <w:rFonts w:ascii="Arial" w:hAnsi="Arial" w:cs="Arial"/>
        </w:rPr>
        <w:t>n many situations, people who are blind or vision impaired cannot confidently verify the amount being charged or independently complete a transaction.</w:t>
      </w:r>
    </w:p>
    <w:p w14:paraId="3AC0788A" w14:textId="6F2EEF27" w:rsidR="004F3144" w:rsidRPr="004F3144" w:rsidRDefault="004F3144" w:rsidP="004F3144">
      <w:pPr>
        <w:spacing w:line="360" w:lineRule="auto"/>
        <w:rPr>
          <w:rFonts w:ascii="Arial" w:hAnsi="Arial" w:cs="Arial"/>
        </w:rPr>
      </w:pPr>
      <w:r w:rsidRPr="004F3144">
        <w:rPr>
          <w:rFonts w:ascii="Arial" w:hAnsi="Arial" w:cs="Arial"/>
        </w:rPr>
        <w:t xml:space="preserve">For this member, accessible access to cash means being able to obtain cash in appropriate denominations, identify banknotes, pay for everyday purchases, </w:t>
      </w:r>
      <w:r w:rsidR="009C35D8">
        <w:rPr>
          <w:rFonts w:ascii="Arial" w:hAnsi="Arial" w:cs="Arial"/>
        </w:rPr>
        <w:t xml:space="preserve">and be confident that they are </w:t>
      </w:r>
      <w:r w:rsidRPr="004F3144">
        <w:rPr>
          <w:rFonts w:ascii="Arial" w:hAnsi="Arial" w:cs="Arial"/>
        </w:rPr>
        <w:t>receiv</w:t>
      </w:r>
      <w:r w:rsidR="009C35D8">
        <w:rPr>
          <w:rFonts w:ascii="Arial" w:hAnsi="Arial" w:cs="Arial"/>
        </w:rPr>
        <w:t>ing</w:t>
      </w:r>
      <w:r w:rsidRPr="004F3144">
        <w:rPr>
          <w:rFonts w:ascii="Arial" w:hAnsi="Arial" w:cs="Arial"/>
        </w:rPr>
        <w:t xml:space="preserve"> the correct change. </w:t>
      </w:r>
    </w:p>
    <w:p w14:paraId="0052713C" w14:textId="77777777" w:rsidR="004825EC" w:rsidRPr="00946274" w:rsidRDefault="004825EC" w:rsidP="004825EC">
      <w:pPr>
        <w:spacing w:line="360" w:lineRule="auto"/>
        <w:rPr>
          <w:rFonts w:ascii="Arial" w:hAnsi="Arial" w:cs="Arial"/>
        </w:rPr>
      </w:pPr>
    </w:p>
    <w:sectPr w:rsidR="004825EC" w:rsidRPr="0094627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D8E58" w14:textId="77777777" w:rsidR="0092435F" w:rsidRDefault="0092435F" w:rsidP="00B14C85">
      <w:pPr>
        <w:spacing w:after="0" w:line="240" w:lineRule="auto"/>
      </w:pPr>
      <w:r>
        <w:separator/>
      </w:r>
    </w:p>
  </w:endnote>
  <w:endnote w:type="continuationSeparator" w:id="0">
    <w:p w14:paraId="15F6909E" w14:textId="77777777" w:rsidR="0092435F" w:rsidRDefault="0092435F" w:rsidP="00B14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4188414"/>
      <w:docPartObj>
        <w:docPartGallery w:val="Page Numbers (Bottom of Page)"/>
        <w:docPartUnique/>
      </w:docPartObj>
    </w:sdtPr>
    <w:sdtContent>
      <w:sdt>
        <w:sdtPr>
          <w:id w:val="-1705238520"/>
          <w:docPartObj>
            <w:docPartGallery w:val="Page Numbers (Top of Page)"/>
            <w:docPartUnique/>
          </w:docPartObj>
        </w:sdtPr>
        <w:sdtContent>
          <w:p w14:paraId="0395D3C3" w14:textId="57F18C56" w:rsidR="00B14C85" w:rsidRDefault="00B14C85" w:rsidP="00B14C85">
            <w:pPr>
              <w:pStyle w:val="Footer"/>
              <w:ind w:left="720"/>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63BAE5D" w14:textId="77777777" w:rsidR="00B14C85" w:rsidRDefault="00B14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6A780" w14:textId="77777777" w:rsidR="0092435F" w:rsidRDefault="0092435F" w:rsidP="00B14C85">
      <w:pPr>
        <w:spacing w:after="0" w:line="240" w:lineRule="auto"/>
      </w:pPr>
      <w:r>
        <w:separator/>
      </w:r>
    </w:p>
  </w:footnote>
  <w:footnote w:type="continuationSeparator" w:id="0">
    <w:p w14:paraId="58C03EA4" w14:textId="77777777" w:rsidR="0092435F" w:rsidRDefault="0092435F" w:rsidP="00B14C85">
      <w:pPr>
        <w:spacing w:after="0" w:line="240" w:lineRule="auto"/>
      </w:pPr>
      <w:r>
        <w:continuationSeparator/>
      </w:r>
    </w:p>
  </w:footnote>
  <w:footnote w:id="1">
    <w:p w14:paraId="0C930CD4" w14:textId="33B1A12B" w:rsidR="00B21901" w:rsidRDefault="00B21901">
      <w:pPr>
        <w:pStyle w:val="FootnoteText"/>
      </w:pPr>
      <w:r>
        <w:rPr>
          <w:rStyle w:val="FootnoteReference"/>
        </w:rPr>
        <w:footnoteRef/>
      </w:r>
      <w:r>
        <w:t xml:space="preserve"> </w:t>
      </w:r>
      <w:r w:rsidR="00537208" w:rsidRPr="00537208">
        <w:t xml:space="preserve">The Treasury (Cth), </w:t>
      </w:r>
      <w:r w:rsidR="00537208" w:rsidRPr="00537208">
        <w:rPr>
          <w:i/>
          <w:iCs/>
        </w:rPr>
        <w:t>Mandating Cash Acceptance: Consultation Paper</w:t>
      </w:r>
      <w:r w:rsidR="00537208" w:rsidRPr="00537208">
        <w:t xml:space="preserve"> (Consultation Paper, December 2024).</w:t>
      </w:r>
      <w:r w:rsidR="00537208">
        <w:t xml:space="preserve"> </w:t>
      </w:r>
      <w:hyperlink r:id="rId1" w:history="1">
        <w:r w:rsidRPr="00B21901">
          <w:rPr>
            <w:rStyle w:val="Hyperlink"/>
          </w:rPr>
          <w:t>Consultation paper: Mandating cash acceptance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4B43"/>
    <w:multiLevelType w:val="multilevel"/>
    <w:tmpl w:val="FDFA1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50020D"/>
    <w:multiLevelType w:val="hybridMultilevel"/>
    <w:tmpl w:val="D76036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4550B3D"/>
    <w:multiLevelType w:val="multilevel"/>
    <w:tmpl w:val="C3AAE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A73F6D"/>
    <w:multiLevelType w:val="multilevel"/>
    <w:tmpl w:val="F0941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2E5B2B"/>
    <w:multiLevelType w:val="multilevel"/>
    <w:tmpl w:val="76D66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1603194">
    <w:abstractNumId w:val="3"/>
  </w:num>
  <w:num w:numId="2" w16cid:durableId="996345850">
    <w:abstractNumId w:val="1"/>
  </w:num>
  <w:num w:numId="3" w16cid:durableId="1302930241">
    <w:abstractNumId w:val="0"/>
  </w:num>
  <w:num w:numId="4" w16cid:durableId="262345676">
    <w:abstractNumId w:val="4"/>
  </w:num>
  <w:num w:numId="5" w16cid:durableId="11088128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E23"/>
    <w:rsid w:val="0001308A"/>
    <w:rsid w:val="00023626"/>
    <w:rsid w:val="000304DF"/>
    <w:rsid w:val="000511A2"/>
    <w:rsid w:val="000521F7"/>
    <w:rsid w:val="00064A84"/>
    <w:rsid w:val="00081257"/>
    <w:rsid w:val="00094238"/>
    <w:rsid w:val="000A375E"/>
    <w:rsid w:val="000A5802"/>
    <w:rsid w:val="000B699C"/>
    <w:rsid w:val="000B7C74"/>
    <w:rsid w:val="000C50FA"/>
    <w:rsid w:val="000D2A85"/>
    <w:rsid w:val="000D7558"/>
    <w:rsid w:val="000E3FD7"/>
    <w:rsid w:val="000E6EBB"/>
    <w:rsid w:val="000F78A5"/>
    <w:rsid w:val="00102059"/>
    <w:rsid w:val="00152BCF"/>
    <w:rsid w:val="00173474"/>
    <w:rsid w:val="0017672C"/>
    <w:rsid w:val="00177E36"/>
    <w:rsid w:val="0019103D"/>
    <w:rsid w:val="001A1B54"/>
    <w:rsid w:val="001A3557"/>
    <w:rsid w:val="001A4B23"/>
    <w:rsid w:val="001B5621"/>
    <w:rsid w:val="001C4827"/>
    <w:rsid w:val="001C73F0"/>
    <w:rsid w:val="001D07EB"/>
    <w:rsid w:val="001D22D2"/>
    <w:rsid w:val="001E6513"/>
    <w:rsid w:val="001F1646"/>
    <w:rsid w:val="001F1E39"/>
    <w:rsid w:val="001F3317"/>
    <w:rsid w:val="001F466C"/>
    <w:rsid w:val="0020353E"/>
    <w:rsid w:val="0020492A"/>
    <w:rsid w:val="002050DF"/>
    <w:rsid w:val="002103B2"/>
    <w:rsid w:val="00221C3F"/>
    <w:rsid w:val="00227F74"/>
    <w:rsid w:val="002378F3"/>
    <w:rsid w:val="00240863"/>
    <w:rsid w:val="00246C2A"/>
    <w:rsid w:val="00252C00"/>
    <w:rsid w:val="00252E82"/>
    <w:rsid w:val="002574C3"/>
    <w:rsid w:val="002762EC"/>
    <w:rsid w:val="002835A1"/>
    <w:rsid w:val="00283F02"/>
    <w:rsid w:val="00291987"/>
    <w:rsid w:val="002956BB"/>
    <w:rsid w:val="002A1662"/>
    <w:rsid w:val="002A52D0"/>
    <w:rsid w:val="002C1879"/>
    <w:rsid w:val="002C2FB2"/>
    <w:rsid w:val="002C6344"/>
    <w:rsid w:val="002C70A4"/>
    <w:rsid w:val="002C7B03"/>
    <w:rsid w:val="002D675C"/>
    <w:rsid w:val="002D6CCA"/>
    <w:rsid w:val="002E0901"/>
    <w:rsid w:val="002E7457"/>
    <w:rsid w:val="002F0432"/>
    <w:rsid w:val="0031395B"/>
    <w:rsid w:val="00332000"/>
    <w:rsid w:val="003518C6"/>
    <w:rsid w:val="0035715B"/>
    <w:rsid w:val="00360519"/>
    <w:rsid w:val="00361D5C"/>
    <w:rsid w:val="00361FC5"/>
    <w:rsid w:val="003779C9"/>
    <w:rsid w:val="0038187A"/>
    <w:rsid w:val="003835B5"/>
    <w:rsid w:val="0038498D"/>
    <w:rsid w:val="003908A8"/>
    <w:rsid w:val="003922C7"/>
    <w:rsid w:val="003A3D35"/>
    <w:rsid w:val="003A5886"/>
    <w:rsid w:val="003B30FC"/>
    <w:rsid w:val="003C3839"/>
    <w:rsid w:val="003C5D4D"/>
    <w:rsid w:val="003D3832"/>
    <w:rsid w:val="003D730D"/>
    <w:rsid w:val="003E339F"/>
    <w:rsid w:val="003F7A51"/>
    <w:rsid w:val="003F7CB0"/>
    <w:rsid w:val="00400087"/>
    <w:rsid w:val="00417521"/>
    <w:rsid w:val="00427DD4"/>
    <w:rsid w:val="00430145"/>
    <w:rsid w:val="00431150"/>
    <w:rsid w:val="004360D9"/>
    <w:rsid w:val="00441BB2"/>
    <w:rsid w:val="00446CBC"/>
    <w:rsid w:val="004647E5"/>
    <w:rsid w:val="00466594"/>
    <w:rsid w:val="00475E63"/>
    <w:rsid w:val="00481E19"/>
    <w:rsid w:val="004825EC"/>
    <w:rsid w:val="00490224"/>
    <w:rsid w:val="004906D5"/>
    <w:rsid w:val="00491C10"/>
    <w:rsid w:val="00493E65"/>
    <w:rsid w:val="004952BF"/>
    <w:rsid w:val="00496218"/>
    <w:rsid w:val="00496DAB"/>
    <w:rsid w:val="004A2266"/>
    <w:rsid w:val="004B188B"/>
    <w:rsid w:val="004B3FE8"/>
    <w:rsid w:val="004B501B"/>
    <w:rsid w:val="004B557F"/>
    <w:rsid w:val="004C0B16"/>
    <w:rsid w:val="004C759B"/>
    <w:rsid w:val="004D1012"/>
    <w:rsid w:val="004D4B41"/>
    <w:rsid w:val="004E3B76"/>
    <w:rsid w:val="004E5520"/>
    <w:rsid w:val="004E6020"/>
    <w:rsid w:val="004F3144"/>
    <w:rsid w:val="004F528C"/>
    <w:rsid w:val="00521AC6"/>
    <w:rsid w:val="00533C33"/>
    <w:rsid w:val="005369B9"/>
    <w:rsid w:val="00537208"/>
    <w:rsid w:val="00546C28"/>
    <w:rsid w:val="00560BCD"/>
    <w:rsid w:val="00573850"/>
    <w:rsid w:val="005739EC"/>
    <w:rsid w:val="0057422A"/>
    <w:rsid w:val="005762D3"/>
    <w:rsid w:val="0058574A"/>
    <w:rsid w:val="00596221"/>
    <w:rsid w:val="005A4D46"/>
    <w:rsid w:val="005A77D0"/>
    <w:rsid w:val="005B03BC"/>
    <w:rsid w:val="005B79E0"/>
    <w:rsid w:val="005C197B"/>
    <w:rsid w:val="005C4CCF"/>
    <w:rsid w:val="005C5A84"/>
    <w:rsid w:val="005D3B66"/>
    <w:rsid w:val="005D677C"/>
    <w:rsid w:val="005D7C7E"/>
    <w:rsid w:val="005E5EA8"/>
    <w:rsid w:val="005E6AAE"/>
    <w:rsid w:val="005F04CD"/>
    <w:rsid w:val="00605EB8"/>
    <w:rsid w:val="00606E35"/>
    <w:rsid w:val="00607F1B"/>
    <w:rsid w:val="00616586"/>
    <w:rsid w:val="006259AE"/>
    <w:rsid w:val="00634FF4"/>
    <w:rsid w:val="00635727"/>
    <w:rsid w:val="00652484"/>
    <w:rsid w:val="006652EE"/>
    <w:rsid w:val="006740E0"/>
    <w:rsid w:val="00680F18"/>
    <w:rsid w:val="00686CFA"/>
    <w:rsid w:val="0069143E"/>
    <w:rsid w:val="006B70C8"/>
    <w:rsid w:val="006C6B36"/>
    <w:rsid w:val="006D06AC"/>
    <w:rsid w:val="006D16E3"/>
    <w:rsid w:val="006E4322"/>
    <w:rsid w:val="006E6B09"/>
    <w:rsid w:val="006F765B"/>
    <w:rsid w:val="007022B9"/>
    <w:rsid w:val="007064C8"/>
    <w:rsid w:val="00711F44"/>
    <w:rsid w:val="00735E05"/>
    <w:rsid w:val="007519FA"/>
    <w:rsid w:val="00761B3C"/>
    <w:rsid w:val="0078012D"/>
    <w:rsid w:val="0078396E"/>
    <w:rsid w:val="0078537D"/>
    <w:rsid w:val="00786E1E"/>
    <w:rsid w:val="007945D5"/>
    <w:rsid w:val="007B1FDE"/>
    <w:rsid w:val="007B6C43"/>
    <w:rsid w:val="007C08AD"/>
    <w:rsid w:val="007C5A91"/>
    <w:rsid w:val="007C5ED8"/>
    <w:rsid w:val="007C6201"/>
    <w:rsid w:val="007D4BEF"/>
    <w:rsid w:val="007E2AFA"/>
    <w:rsid w:val="007F27E5"/>
    <w:rsid w:val="007F59A7"/>
    <w:rsid w:val="007F628E"/>
    <w:rsid w:val="007F7CFF"/>
    <w:rsid w:val="00811647"/>
    <w:rsid w:val="0082798B"/>
    <w:rsid w:val="00827D5C"/>
    <w:rsid w:val="0083098E"/>
    <w:rsid w:val="00830B79"/>
    <w:rsid w:val="00836DCD"/>
    <w:rsid w:val="00843C9D"/>
    <w:rsid w:val="00850662"/>
    <w:rsid w:val="00866433"/>
    <w:rsid w:val="008762D6"/>
    <w:rsid w:val="00877D61"/>
    <w:rsid w:val="0088314D"/>
    <w:rsid w:val="00892CAD"/>
    <w:rsid w:val="00895221"/>
    <w:rsid w:val="008A1364"/>
    <w:rsid w:val="008A4656"/>
    <w:rsid w:val="008A51B3"/>
    <w:rsid w:val="008A5945"/>
    <w:rsid w:val="008B06D4"/>
    <w:rsid w:val="008B2E2D"/>
    <w:rsid w:val="008D1619"/>
    <w:rsid w:val="008D460B"/>
    <w:rsid w:val="008D7DFF"/>
    <w:rsid w:val="008E1F79"/>
    <w:rsid w:val="008E20B3"/>
    <w:rsid w:val="008E2A19"/>
    <w:rsid w:val="008E3CDA"/>
    <w:rsid w:val="008E624C"/>
    <w:rsid w:val="008F686A"/>
    <w:rsid w:val="00900CB0"/>
    <w:rsid w:val="00903263"/>
    <w:rsid w:val="0090777D"/>
    <w:rsid w:val="00913072"/>
    <w:rsid w:val="0092435F"/>
    <w:rsid w:val="00933BF0"/>
    <w:rsid w:val="00946274"/>
    <w:rsid w:val="0095388E"/>
    <w:rsid w:val="00953B3E"/>
    <w:rsid w:val="009573CF"/>
    <w:rsid w:val="00960877"/>
    <w:rsid w:val="009671DF"/>
    <w:rsid w:val="009730A8"/>
    <w:rsid w:val="00974576"/>
    <w:rsid w:val="00981A33"/>
    <w:rsid w:val="00986F7E"/>
    <w:rsid w:val="00987843"/>
    <w:rsid w:val="0099272F"/>
    <w:rsid w:val="00993521"/>
    <w:rsid w:val="009A3656"/>
    <w:rsid w:val="009A69B8"/>
    <w:rsid w:val="009B1695"/>
    <w:rsid w:val="009C1C72"/>
    <w:rsid w:val="009C35D8"/>
    <w:rsid w:val="009C44E4"/>
    <w:rsid w:val="009E3659"/>
    <w:rsid w:val="009F608E"/>
    <w:rsid w:val="00A006BA"/>
    <w:rsid w:val="00A024AC"/>
    <w:rsid w:val="00A10D6D"/>
    <w:rsid w:val="00A13FA0"/>
    <w:rsid w:val="00A14089"/>
    <w:rsid w:val="00A2099C"/>
    <w:rsid w:val="00A20A4A"/>
    <w:rsid w:val="00A305A7"/>
    <w:rsid w:val="00A36EEC"/>
    <w:rsid w:val="00A43452"/>
    <w:rsid w:val="00A44D7F"/>
    <w:rsid w:val="00A45BC7"/>
    <w:rsid w:val="00A47A0D"/>
    <w:rsid w:val="00A63BDE"/>
    <w:rsid w:val="00A642E2"/>
    <w:rsid w:val="00A65D59"/>
    <w:rsid w:val="00A76A34"/>
    <w:rsid w:val="00A76EF5"/>
    <w:rsid w:val="00A82E23"/>
    <w:rsid w:val="00A84942"/>
    <w:rsid w:val="00A86A69"/>
    <w:rsid w:val="00A93618"/>
    <w:rsid w:val="00AB6348"/>
    <w:rsid w:val="00AB68B2"/>
    <w:rsid w:val="00AC4859"/>
    <w:rsid w:val="00AC5900"/>
    <w:rsid w:val="00AC71E7"/>
    <w:rsid w:val="00AD194E"/>
    <w:rsid w:val="00AD3D8B"/>
    <w:rsid w:val="00AD4071"/>
    <w:rsid w:val="00AD5E0F"/>
    <w:rsid w:val="00AE2E48"/>
    <w:rsid w:val="00AE4E07"/>
    <w:rsid w:val="00B14C85"/>
    <w:rsid w:val="00B213D4"/>
    <w:rsid w:val="00B21901"/>
    <w:rsid w:val="00B24397"/>
    <w:rsid w:val="00B25225"/>
    <w:rsid w:val="00B268FD"/>
    <w:rsid w:val="00B303D0"/>
    <w:rsid w:val="00B31DFA"/>
    <w:rsid w:val="00B36473"/>
    <w:rsid w:val="00B469DF"/>
    <w:rsid w:val="00B503B6"/>
    <w:rsid w:val="00B5051C"/>
    <w:rsid w:val="00B51698"/>
    <w:rsid w:val="00B51A79"/>
    <w:rsid w:val="00B52167"/>
    <w:rsid w:val="00B5241E"/>
    <w:rsid w:val="00B673D0"/>
    <w:rsid w:val="00B73CC6"/>
    <w:rsid w:val="00B76995"/>
    <w:rsid w:val="00B8211D"/>
    <w:rsid w:val="00B82F63"/>
    <w:rsid w:val="00B84449"/>
    <w:rsid w:val="00B84986"/>
    <w:rsid w:val="00B91F72"/>
    <w:rsid w:val="00B93B01"/>
    <w:rsid w:val="00BA02B7"/>
    <w:rsid w:val="00BA2D18"/>
    <w:rsid w:val="00BA357A"/>
    <w:rsid w:val="00BA44B5"/>
    <w:rsid w:val="00BA6885"/>
    <w:rsid w:val="00BB1875"/>
    <w:rsid w:val="00BB1BE4"/>
    <w:rsid w:val="00BB4CF5"/>
    <w:rsid w:val="00BC077E"/>
    <w:rsid w:val="00BC1E6B"/>
    <w:rsid w:val="00BD1507"/>
    <w:rsid w:val="00BD203F"/>
    <w:rsid w:val="00BD6789"/>
    <w:rsid w:val="00BD799C"/>
    <w:rsid w:val="00BE35EC"/>
    <w:rsid w:val="00BE72D4"/>
    <w:rsid w:val="00BF0302"/>
    <w:rsid w:val="00BF13B8"/>
    <w:rsid w:val="00C00BE4"/>
    <w:rsid w:val="00C108A6"/>
    <w:rsid w:val="00C30DE8"/>
    <w:rsid w:val="00C33093"/>
    <w:rsid w:val="00C3519F"/>
    <w:rsid w:val="00C44793"/>
    <w:rsid w:val="00C55770"/>
    <w:rsid w:val="00C57C7F"/>
    <w:rsid w:val="00C62799"/>
    <w:rsid w:val="00C67709"/>
    <w:rsid w:val="00C70636"/>
    <w:rsid w:val="00C70C83"/>
    <w:rsid w:val="00C8039A"/>
    <w:rsid w:val="00C828C5"/>
    <w:rsid w:val="00C937AB"/>
    <w:rsid w:val="00C942B1"/>
    <w:rsid w:val="00CA3F24"/>
    <w:rsid w:val="00CA5165"/>
    <w:rsid w:val="00CB164B"/>
    <w:rsid w:val="00CB1850"/>
    <w:rsid w:val="00CB2EC0"/>
    <w:rsid w:val="00CE20CB"/>
    <w:rsid w:val="00D256F0"/>
    <w:rsid w:val="00D34A44"/>
    <w:rsid w:val="00D401D5"/>
    <w:rsid w:val="00D42780"/>
    <w:rsid w:val="00D46577"/>
    <w:rsid w:val="00D53CC9"/>
    <w:rsid w:val="00D77AFD"/>
    <w:rsid w:val="00D83382"/>
    <w:rsid w:val="00D861CB"/>
    <w:rsid w:val="00D87DBA"/>
    <w:rsid w:val="00D97530"/>
    <w:rsid w:val="00D9769A"/>
    <w:rsid w:val="00DA0865"/>
    <w:rsid w:val="00DA609B"/>
    <w:rsid w:val="00DA75CE"/>
    <w:rsid w:val="00DB10E3"/>
    <w:rsid w:val="00DB6137"/>
    <w:rsid w:val="00DB6DE0"/>
    <w:rsid w:val="00DB7EE8"/>
    <w:rsid w:val="00DC4040"/>
    <w:rsid w:val="00DD4FD8"/>
    <w:rsid w:val="00DD500E"/>
    <w:rsid w:val="00DE4298"/>
    <w:rsid w:val="00E04E8C"/>
    <w:rsid w:val="00E10B5C"/>
    <w:rsid w:val="00E12AA5"/>
    <w:rsid w:val="00E24F27"/>
    <w:rsid w:val="00E346E5"/>
    <w:rsid w:val="00E532C9"/>
    <w:rsid w:val="00E533FE"/>
    <w:rsid w:val="00E73A03"/>
    <w:rsid w:val="00E75255"/>
    <w:rsid w:val="00E76B76"/>
    <w:rsid w:val="00E81222"/>
    <w:rsid w:val="00E821C2"/>
    <w:rsid w:val="00E91570"/>
    <w:rsid w:val="00EA0375"/>
    <w:rsid w:val="00EA0EBC"/>
    <w:rsid w:val="00EA4A06"/>
    <w:rsid w:val="00EB1ED7"/>
    <w:rsid w:val="00EB7050"/>
    <w:rsid w:val="00EB70D3"/>
    <w:rsid w:val="00EC1CA5"/>
    <w:rsid w:val="00EC727A"/>
    <w:rsid w:val="00EE0D21"/>
    <w:rsid w:val="00EF5A7D"/>
    <w:rsid w:val="00F01B2D"/>
    <w:rsid w:val="00F02A65"/>
    <w:rsid w:val="00F108D9"/>
    <w:rsid w:val="00F16859"/>
    <w:rsid w:val="00F2338C"/>
    <w:rsid w:val="00F24A04"/>
    <w:rsid w:val="00F2555E"/>
    <w:rsid w:val="00F2638A"/>
    <w:rsid w:val="00F271AA"/>
    <w:rsid w:val="00F32A05"/>
    <w:rsid w:val="00F431FD"/>
    <w:rsid w:val="00F443ED"/>
    <w:rsid w:val="00F50A43"/>
    <w:rsid w:val="00F531A7"/>
    <w:rsid w:val="00F55C93"/>
    <w:rsid w:val="00F60277"/>
    <w:rsid w:val="00F633A0"/>
    <w:rsid w:val="00F634DE"/>
    <w:rsid w:val="00F83124"/>
    <w:rsid w:val="00F95F19"/>
    <w:rsid w:val="00FA17D3"/>
    <w:rsid w:val="00FA2661"/>
    <w:rsid w:val="00FA7EB0"/>
    <w:rsid w:val="00FC05D4"/>
    <w:rsid w:val="00FC63E0"/>
    <w:rsid w:val="00FD17A8"/>
    <w:rsid w:val="00FD4849"/>
    <w:rsid w:val="00FE03E1"/>
    <w:rsid w:val="00FE75EF"/>
    <w:rsid w:val="00FF4C4A"/>
    <w:rsid w:val="00FF7F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C9E98"/>
  <w15:chartTrackingRefBased/>
  <w15:docId w15:val="{CD1E8072-14BC-4462-B8BF-F1C30458B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4"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2E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82E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82E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2E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2E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2E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2E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2E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2E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E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82E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82E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2E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2E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2E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2E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2E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2E23"/>
    <w:rPr>
      <w:rFonts w:eastAsiaTheme="majorEastAsia" w:cstheme="majorBidi"/>
      <w:color w:val="272727" w:themeColor="text1" w:themeTint="D8"/>
    </w:rPr>
  </w:style>
  <w:style w:type="paragraph" w:styleId="Title">
    <w:name w:val="Title"/>
    <w:basedOn w:val="Normal"/>
    <w:next w:val="Normal"/>
    <w:link w:val="TitleChar"/>
    <w:uiPriority w:val="10"/>
    <w:qFormat/>
    <w:rsid w:val="00A82E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E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E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E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2E23"/>
    <w:pPr>
      <w:spacing w:before="160"/>
      <w:jc w:val="center"/>
    </w:pPr>
    <w:rPr>
      <w:i/>
      <w:iCs/>
      <w:color w:val="404040" w:themeColor="text1" w:themeTint="BF"/>
    </w:rPr>
  </w:style>
  <w:style w:type="character" w:customStyle="1" w:styleId="QuoteChar">
    <w:name w:val="Quote Char"/>
    <w:basedOn w:val="DefaultParagraphFont"/>
    <w:link w:val="Quote"/>
    <w:uiPriority w:val="29"/>
    <w:rsid w:val="00A82E23"/>
    <w:rPr>
      <w:i/>
      <w:iCs/>
      <w:color w:val="404040" w:themeColor="text1" w:themeTint="BF"/>
    </w:rPr>
  </w:style>
  <w:style w:type="paragraph" w:styleId="ListParagraph">
    <w:name w:val="List Paragraph"/>
    <w:basedOn w:val="Normal"/>
    <w:uiPriority w:val="34"/>
    <w:qFormat/>
    <w:rsid w:val="00A82E23"/>
    <w:pPr>
      <w:ind w:left="720"/>
      <w:contextualSpacing/>
    </w:pPr>
  </w:style>
  <w:style w:type="character" w:styleId="IntenseEmphasis">
    <w:name w:val="Intense Emphasis"/>
    <w:basedOn w:val="DefaultParagraphFont"/>
    <w:uiPriority w:val="21"/>
    <w:qFormat/>
    <w:rsid w:val="00A82E23"/>
    <w:rPr>
      <w:i/>
      <w:iCs/>
      <w:color w:val="0F4761" w:themeColor="accent1" w:themeShade="BF"/>
    </w:rPr>
  </w:style>
  <w:style w:type="paragraph" w:styleId="IntenseQuote">
    <w:name w:val="Intense Quote"/>
    <w:basedOn w:val="Normal"/>
    <w:next w:val="Normal"/>
    <w:link w:val="IntenseQuoteChar"/>
    <w:uiPriority w:val="30"/>
    <w:qFormat/>
    <w:rsid w:val="00A82E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2E23"/>
    <w:rPr>
      <w:i/>
      <w:iCs/>
      <w:color w:val="0F4761" w:themeColor="accent1" w:themeShade="BF"/>
    </w:rPr>
  </w:style>
  <w:style w:type="character" w:styleId="IntenseReference">
    <w:name w:val="Intense Reference"/>
    <w:basedOn w:val="DefaultParagraphFont"/>
    <w:uiPriority w:val="32"/>
    <w:qFormat/>
    <w:rsid w:val="00A82E23"/>
    <w:rPr>
      <w:b/>
      <w:bCs/>
      <w:smallCaps/>
      <w:color w:val="0F4761" w:themeColor="accent1" w:themeShade="BF"/>
      <w:spacing w:val="5"/>
    </w:rPr>
  </w:style>
  <w:style w:type="character" w:styleId="Hyperlink">
    <w:name w:val="Hyperlink"/>
    <w:basedOn w:val="DefaultParagraphFont"/>
    <w:uiPriority w:val="99"/>
    <w:unhideWhenUsed/>
    <w:rsid w:val="005B03BC"/>
    <w:rPr>
      <w:color w:val="467886" w:themeColor="hyperlink"/>
      <w:u w:val="single"/>
    </w:rPr>
  </w:style>
  <w:style w:type="character" w:styleId="UnresolvedMention">
    <w:name w:val="Unresolved Mention"/>
    <w:basedOn w:val="DefaultParagraphFont"/>
    <w:uiPriority w:val="99"/>
    <w:semiHidden/>
    <w:unhideWhenUsed/>
    <w:rsid w:val="005B03BC"/>
    <w:rPr>
      <w:color w:val="605E5C"/>
      <w:shd w:val="clear" w:color="auto" w:fill="E1DFDD"/>
    </w:rPr>
  </w:style>
  <w:style w:type="paragraph" w:styleId="Header">
    <w:name w:val="header"/>
    <w:basedOn w:val="Normal"/>
    <w:link w:val="HeaderChar"/>
    <w:uiPriority w:val="99"/>
    <w:unhideWhenUsed/>
    <w:rsid w:val="00B14C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85"/>
  </w:style>
  <w:style w:type="paragraph" w:styleId="Footer">
    <w:name w:val="footer"/>
    <w:basedOn w:val="Normal"/>
    <w:link w:val="FooterChar"/>
    <w:uiPriority w:val="99"/>
    <w:unhideWhenUsed/>
    <w:rsid w:val="00B14C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85"/>
  </w:style>
  <w:style w:type="character" w:styleId="FollowedHyperlink">
    <w:name w:val="FollowedHyperlink"/>
    <w:basedOn w:val="DefaultParagraphFont"/>
    <w:uiPriority w:val="99"/>
    <w:semiHidden/>
    <w:unhideWhenUsed/>
    <w:rsid w:val="007C5A91"/>
    <w:rPr>
      <w:color w:val="96607D" w:themeColor="followedHyperlink"/>
      <w:u w:val="single"/>
    </w:rPr>
  </w:style>
  <w:style w:type="paragraph" w:styleId="Date">
    <w:name w:val="Date"/>
    <w:aliases w:val="Address"/>
    <w:basedOn w:val="Title"/>
    <w:next w:val="Salutation"/>
    <w:link w:val="DateChar"/>
    <w:uiPriority w:val="4"/>
    <w:unhideWhenUsed/>
    <w:qFormat/>
    <w:rsid w:val="0083098E"/>
    <w:pPr>
      <w:pBdr>
        <w:bottom w:val="single" w:sz="8" w:space="10" w:color="0E2841" w:themeColor="text2"/>
      </w:pBdr>
      <w:spacing w:before="120" w:after="0"/>
    </w:pPr>
    <w:rPr>
      <w:rFonts w:ascii="Arial" w:eastAsiaTheme="minorEastAsia" w:hAnsi="Arial" w:cs="Arial"/>
      <w:bCs/>
      <w:color w:val="500061"/>
      <w:spacing w:val="0"/>
      <w:kern w:val="0"/>
      <w:sz w:val="24"/>
      <w:szCs w:val="24"/>
      <w:lang w:val="en-US" w:eastAsia="ja-JP"/>
      <w14:ligatures w14:val="none"/>
    </w:rPr>
  </w:style>
  <w:style w:type="character" w:customStyle="1" w:styleId="DateChar">
    <w:name w:val="Date Char"/>
    <w:aliases w:val="Address Char"/>
    <w:basedOn w:val="DefaultParagraphFont"/>
    <w:link w:val="Date"/>
    <w:uiPriority w:val="4"/>
    <w:rsid w:val="0083098E"/>
    <w:rPr>
      <w:rFonts w:ascii="Arial" w:eastAsiaTheme="minorEastAsia" w:hAnsi="Arial" w:cs="Arial"/>
      <w:bCs/>
      <w:color w:val="500061"/>
      <w:kern w:val="0"/>
      <w:lang w:val="en-US" w:eastAsia="ja-JP"/>
      <w14:ligatures w14:val="none"/>
    </w:rPr>
  </w:style>
  <w:style w:type="paragraph" w:styleId="Salutation">
    <w:name w:val="Salutation"/>
    <w:basedOn w:val="Normal"/>
    <w:next w:val="Normal"/>
    <w:link w:val="SalutationChar"/>
    <w:uiPriority w:val="99"/>
    <w:semiHidden/>
    <w:unhideWhenUsed/>
    <w:rsid w:val="0083098E"/>
  </w:style>
  <w:style w:type="character" w:customStyle="1" w:styleId="SalutationChar">
    <w:name w:val="Salutation Char"/>
    <w:basedOn w:val="DefaultParagraphFont"/>
    <w:link w:val="Salutation"/>
    <w:uiPriority w:val="99"/>
    <w:semiHidden/>
    <w:rsid w:val="0083098E"/>
  </w:style>
  <w:style w:type="paragraph" w:styleId="FootnoteText">
    <w:name w:val="footnote text"/>
    <w:basedOn w:val="Normal"/>
    <w:link w:val="FootnoteTextChar"/>
    <w:uiPriority w:val="99"/>
    <w:semiHidden/>
    <w:unhideWhenUsed/>
    <w:rsid w:val="002574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74C3"/>
    <w:rPr>
      <w:sz w:val="20"/>
      <w:szCs w:val="20"/>
    </w:rPr>
  </w:style>
  <w:style w:type="character" w:styleId="FootnoteReference">
    <w:name w:val="footnote reference"/>
    <w:basedOn w:val="DefaultParagraphFont"/>
    <w:uiPriority w:val="99"/>
    <w:semiHidden/>
    <w:unhideWhenUsed/>
    <w:rsid w:val="002574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ca.org.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ca@bca.org.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lanie.chatfield@bca.org.a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treasury.gov.au/sites/default/files/2024-12/c2024-604832-cp.pdf?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167980590E0644B29A54F4150AFD74" ma:contentTypeVersion="18" ma:contentTypeDescription="Create a new document." ma:contentTypeScope="" ma:versionID="545c728d0da3ed1b921bbdcfe300bfcb">
  <xsd:schema xmlns:xsd="http://www.w3.org/2001/XMLSchema" xmlns:xs="http://www.w3.org/2001/XMLSchema" xmlns:p="http://schemas.microsoft.com/office/2006/metadata/properties" xmlns:ns2="0bec18fc-f114-415a-892c-7a4e80c68006" xmlns:ns3="e6b92012-73ef-42fe-b930-ea647f4e298e" targetNamespace="http://schemas.microsoft.com/office/2006/metadata/properties" ma:root="true" ma:fieldsID="f4d6a6b92538bf80940887da3ebd3498" ns2:_="" ns3:_="">
    <xsd:import namespace="0bec18fc-f114-415a-892c-7a4e80c68006"/>
    <xsd:import namespace="e6b92012-73ef-42fe-b930-ea647f4e29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c18fc-f114-415a-892c-7a4e80c6800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fb8bf5a4-7a59-4bdb-a290-f06a4b4fda02}" ma:internalName="TaxCatchAll" ma:showField="CatchAllData" ma:web="0bec18fc-f114-415a-892c-7a4e80c680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b92012-73ef-42fe-b930-ea647f4e298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e01812-f59d-44d9-ad51-72a85d65cb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6b92012-73ef-42fe-b930-ea647f4e298e">
      <Terms xmlns="http://schemas.microsoft.com/office/infopath/2007/PartnerControls"/>
    </lcf76f155ced4ddcb4097134ff3c332f>
    <TaxCatchAll xmlns="0bec18fc-f114-415a-892c-7a4e80c68006" xsi:nil="true"/>
  </documentManagement>
</p:properties>
</file>

<file path=customXml/itemProps1.xml><?xml version="1.0" encoding="utf-8"?>
<ds:datastoreItem xmlns:ds="http://schemas.openxmlformats.org/officeDocument/2006/customXml" ds:itemID="{5EB2D84D-79D7-4747-864B-9803CEA03756}">
  <ds:schemaRefs>
    <ds:schemaRef ds:uri="http://schemas.microsoft.com/sharepoint/v3/contenttype/forms"/>
  </ds:schemaRefs>
</ds:datastoreItem>
</file>

<file path=customXml/itemProps2.xml><?xml version="1.0" encoding="utf-8"?>
<ds:datastoreItem xmlns:ds="http://schemas.openxmlformats.org/officeDocument/2006/customXml" ds:itemID="{0CA021E5-DD35-4E53-A096-36E022BE5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c18fc-f114-415a-892c-7a4e80c68006"/>
    <ds:schemaRef ds:uri="e6b92012-73ef-42fe-b930-ea647f4e2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9B318D-D9EF-44E9-9FD7-334178013D51}">
  <ds:schemaRefs>
    <ds:schemaRef ds:uri="http://schemas.openxmlformats.org/officeDocument/2006/bibliography"/>
  </ds:schemaRefs>
</ds:datastoreItem>
</file>

<file path=customXml/itemProps4.xml><?xml version="1.0" encoding="utf-8"?>
<ds:datastoreItem xmlns:ds="http://schemas.openxmlformats.org/officeDocument/2006/customXml" ds:itemID="{0C6AFA54-D67A-4786-8021-22878F99ED8C}">
  <ds:schemaRefs>
    <ds:schemaRef ds:uri="http://schemas.microsoft.com/office/2006/metadata/properties"/>
    <ds:schemaRef ds:uri="http://schemas.microsoft.com/office/infopath/2007/PartnerControls"/>
    <ds:schemaRef ds:uri="e6b92012-73ef-42fe-b930-ea647f4e298e"/>
    <ds:schemaRef ds:uri="0bec18fc-f114-415a-892c-7a4e80c68006"/>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2125</Words>
  <Characters>12116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Chatfield</dc:creator>
  <cp:keywords/>
  <dc:description/>
  <cp:lastModifiedBy>Melanie Chatfield</cp:lastModifiedBy>
  <cp:revision>10</cp:revision>
  <dcterms:created xsi:type="dcterms:W3CDTF">2026-07-17T05:12:00Z</dcterms:created>
  <dcterms:modified xsi:type="dcterms:W3CDTF">2026-07-17T05:18:00Z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0x01010064167980590E0644B29A54F4150AFD74</vt:lpwstr>
  </property>
  <property fmtid="{D5CDD505-2E9C-101B-9397-08002B2CF9AE}" pid="3" name="MediaServiceImageTags">
    <vt:lpwstr/>
  </property>
</Properties>
</file>