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C9F2" w14:textId="77777777" w:rsidR="007E3155" w:rsidRPr="007E3155" w:rsidRDefault="007E3155" w:rsidP="00019954">
      <w:pPr>
        <w:spacing w:before="240" w:after="300" w:line="360" w:lineRule="auto"/>
        <w:contextualSpacing/>
        <w:outlineLvl w:val="0"/>
        <w:rPr>
          <w:rFonts w:ascii="Arial" w:eastAsia="Times New Roman" w:hAnsi="Arial" w:cs="Times New Roman"/>
          <w:b/>
          <w:bCs/>
          <w:color w:val="500061"/>
          <w:kern w:val="28"/>
          <w:sz w:val="44"/>
          <w:szCs w:val="44"/>
        </w:rPr>
      </w:pPr>
      <w:bookmarkStart w:id="0" w:name="_Toc218758764"/>
      <w:bookmarkStart w:id="1" w:name="_Toc219370138"/>
      <w:bookmarkStart w:id="2" w:name="_Toc232498696"/>
      <w:bookmarkStart w:id="3" w:name="_Toc233047130"/>
      <w:bookmarkStart w:id="4" w:name="_Toc233103183"/>
      <w:bookmarkStart w:id="5" w:name="_Toc236387958"/>
      <w:bookmarkStart w:id="6" w:name="_Toc236388437"/>
      <w:r>
        <w:rPr>
          <w:noProof/>
        </w:rPr>
        <w:drawing>
          <wp:inline distT="0" distB="0" distL="0" distR="0" wp14:anchorId="2F08D26D" wp14:editId="7D71E955">
            <wp:extent cx="5524500" cy="828675"/>
            <wp:effectExtent l="0" t="0" r="0" b="0"/>
            <wp:docPr id="3" name="Picture 3" descr="Blind Citizen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A LOGO LANDSCAPE.png"/>
                    <pic:cNvPicPr/>
                  </pic:nvPicPr>
                  <pic:blipFill>
                    <a:blip r:embed="rId11"/>
                    <a:stretch>
                      <a:fillRect/>
                    </a:stretch>
                  </pic:blipFill>
                  <pic:spPr>
                    <a:xfrm>
                      <a:off x="0" y="0"/>
                      <a:ext cx="5547133" cy="832070"/>
                    </a:xfrm>
                    <a:prstGeom prst="rect">
                      <a:avLst/>
                    </a:prstGeom>
                  </pic:spPr>
                </pic:pic>
              </a:graphicData>
            </a:graphic>
          </wp:inline>
        </w:drawing>
      </w:r>
      <w:bookmarkEnd w:id="0"/>
      <w:bookmarkEnd w:id="1"/>
      <w:bookmarkEnd w:id="2"/>
      <w:bookmarkEnd w:id="3"/>
      <w:bookmarkEnd w:id="4"/>
      <w:bookmarkEnd w:id="5"/>
      <w:bookmarkEnd w:id="6"/>
    </w:p>
    <w:p w14:paraId="5A532440" w14:textId="77777777" w:rsidR="007E3155" w:rsidRPr="007E3155" w:rsidRDefault="007E3155" w:rsidP="007E3155">
      <w:pPr>
        <w:pBdr>
          <w:bottom w:val="single" w:sz="8" w:space="10" w:color="44546A"/>
        </w:pBdr>
        <w:spacing w:before="120" w:after="0" w:line="240" w:lineRule="auto"/>
        <w:contextualSpacing/>
        <w:rPr>
          <w:rFonts w:ascii="Arial" w:eastAsia="Times New Roman" w:hAnsi="Arial" w:cs="Arial"/>
          <w:bCs/>
          <w:color w:val="500061"/>
          <w:sz w:val="24"/>
          <w:szCs w:val="24"/>
          <w:lang w:eastAsia="ja-JP"/>
        </w:rPr>
      </w:pPr>
      <w:bookmarkStart w:id="7" w:name="_Toc83292715"/>
      <w:r w:rsidRPr="007E3155">
        <w:rPr>
          <w:rFonts w:ascii="Arial" w:eastAsia="Times New Roman" w:hAnsi="Arial" w:cs="Arial"/>
          <w:bCs/>
          <w:color w:val="500061"/>
          <w:sz w:val="24"/>
          <w:szCs w:val="24"/>
          <w:lang w:eastAsia="ja-JP"/>
        </w:rPr>
        <w:t>Ph</w:t>
      </w:r>
      <w:bookmarkEnd w:id="7"/>
      <w:r w:rsidRPr="007E3155">
        <w:rPr>
          <w:rFonts w:ascii="Arial" w:eastAsia="Times New Roman" w:hAnsi="Arial" w:cs="Arial"/>
          <w:bCs/>
          <w:color w:val="500061"/>
          <w:sz w:val="24"/>
          <w:szCs w:val="24"/>
          <w:lang w:eastAsia="ja-JP"/>
        </w:rPr>
        <w:t xml:space="preserve"> 1800 033 660 | E </w:t>
      </w:r>
      <w:hyperlink r:id="rId12" w:history="1">
        <w:r w:rsidRPr="007E3155">
          <w:rPr>
            <w:rFonts w:ascii="Arial" w:eastAsia="Times New Roman" w:hAnsi="Arial" w:cs="Arial"/>
            <w:bCs/>
            <w:color w:val="44546A"/>
            <w:sz w:val="24"/>
            <w:szCs w:val="24"/>
            <w:u w:val="single"/>
            <w:lang w:eastAsia="ja-JP"/>
          </w:rPr>
          <w:t>bca@bca.org.au</w:t>
        </w:r>
      </w:hyperlink>
      <w:r w:rsidRPr="007E3155">
        <w:rPr>
          <w:rFonts w:ascii="Arial" w:eastAsia="Times New Roman" w:hAnsi="Arial" w:cs="Arial"/>
          <w:bCs/>
          <w:color w:val="44546A"/>
          <w:sz w:val="24"/>
          <w:szCs w:val="24"/>
          <w:u w:val="single"/>
          <w:lang w:eastAsia="ja-JP"/>
        </w:rPr>
        <w:t xml:space="preserve"> </w:t>
      </w:r>
      <w:r w:rsidRPr="007E3155">
        <w:rPr>
          <w:rFonts w:ascii="Arial" w:eastAsia="Times New Roman" w:hAnsi="Arial" w:cs="Arial"/>
          <w:bCs/>
          <w:color w:val="500061"/>
          <w:sz w:val="24"/>
          <w:szCs w:val="24"/>
          <w:lang w:eastAsia="ja-JP"/>
        </w:rPr>
        <w:t xml:space="preserve"> |  W </w:t>
      </w:r>
      <w:hyperlink r:id="rId13" w:tooltip="click to go to BCA website" w:history="1">
        <w:r w:rsidRPr="007E3155">
          <w:rPr>
            <w:rFonts w:ascii="Arial" w:eastAsia="Times New Roman" w:hAnsi="Arial" w:cs="Arial"/>
            <w:bCs/>
            <w:color w:val="44546A"/>
            <w:sz w:val="24"/>
            <w:szCs w:val="24"/>
            <w:u w:val="single"/>
            <w:lang w:eastAsia="ja-JP"/>
          </w:rPr>
          <w:t>bca.org.au</w:t>
        </w:r>
      </w:hyperlink>
      <w:r w:rsidRPr="007E3155">
        <w:rPr>
          <w:rFonts w:ascii="Arial" w:eastAsia="Times New Roman" w:hAnsi="Arial" w:cs="Arial"/>
          <w:bCs/>
          <w:color w:val="44546A"/>
          <w:sz w:val="24"/>
          <w:szCs w:val="24"/>
          <w:u w:val="single"/>
          <w:lang w:eastAsia="ja-JP"/>
        </w:rPr>
        <w:t xml:space="preserve"> | ABN</w:t>
      </w:r>
      <w:r w:rsidRPr="007E3155">
        <w:rPr>
          <w:rFonts w:ascii="Arial" w:eastAsia="Times New Roman" w:hAnsi="Arial" w:cs="Arial"/>
          <w:bCs/>
          <w:color w:val="500061"/>
          <w:sz w:val="24"/>
          <w:szCs w:val="24"/>
          <w:lang w:eastAsia="ja-JP"/>
        </w:rPr>
        <w:t xml:space="preserve"> 90 006 985 226</w:t>
      </w:r>
    </w:p>
    <w:p w14:paraId="42A29533" w14:textId="60549B93" w:rsidR="007E3155" w:rsidRPr="007E3155" w:rsidRDefault="009C388A" w:rsidP="005B4871">
      <w:pPr>
        <w:pStyle w:val="Heading1"/>
      </w:pPr>
      <w:bookmarkStart w:id="8" w:name="_Toc233047131"/>
      <w:bookmarkStart w:id="9" w:name="_Toc233103184"/>
      <w:bookmarkStart w:id="10" w:name="_Toc236387959"/>
      <w:bookmarkStart w:id="11" w:name="_Toc236388438"/>
      <w:r w:rsidRPr="009C388A">
        <w:t>Submission on reforms to the employment services system and overhaul of Workforce Australia June 2026</w:t>
      </w:r>
      <w:bookmarkEnd w:id="8"/>
      <w:bookmarkEnd w:id="9"/>
      <w:bookmarkEnd w:id="10"/>
      <w:bookmarkEnd w:id="11"/>
    </w:p>
    <w:p w14:paraId="72429938" w14:textId="77777777" w:rsidR="007E3155" w:rsidRPr="007E3155" w:rsidRDefault="007E3155" w:rsidP="007E3155">
      <w:pPr>
        <w:spacing w:before="120" w:after="0" w:line="360" w:lineRule="auto"/>
        <w:rPr>
          <w:rFonts w:ascii="Arial" w:eastAsia="MS Mincho" w:hAnsi="Arial" w:cs="Arial"/>
          <w:sz w:val="24"/>
          <w:szCs w:val="16"/>
          <w:lang w:eastAsia="ja-JP"/>
        </w:rPr>
      </w:pPr>
    </w:p>
    <w:p w14:paraId="7FFCF56C" w14:textId="4251FB04" w:rsidR="007E3155" w:rsidRPr="007E3155" w:rsidRDefault="007E3155" w:rsidP="007E3155">
      <w:pPr>
        <w:spacing w:before="120" w:after="0" w:line="360" w:lineRule="auto"/>
        <w:rPr>
          <w:rFonts w:ascii="Arial" w:eastAsia="MS Mincho" w:hAnsi="Arial" w:cs="Arial"/>
          <w:sz w:val="26"/>
          <w:szCs w:val="26"/>
          <w:lang w:eastAsia="ja-JP"/>
        </w:rPr>
      </w:pPr>
      <w:r w:rsidRPr="007E3155">
        <w:rPr>
          <w:rFonts w:ascii="Arial" w:eastAsia="MS Mincho" w:hAnsi="Arial" w:cs="Arial"/>
          <w:color w:val="2C2A29"/>
          <w:sz w:val="26"/>
          <w:szCs w:val="26"/>
          <w:shd w:val="clear" w:color="auto" w:fill="FFFFFF"/>
          <w:lang w:eastAsia="ja-JP"/>
        </w:rPr>
        <w:t xml:space="preserve">Lodged via: </w:t>
      </w:r>
      <w:hyperlink r:id="rId14" w:history="1">
        <w:r w:rsidR="00A11335" w:rsidRPr="00A11335">
          <w:rPr>
            <w:rStyle w:val="Hyperlink"/>
            <w:rFonts w:ascii="Arial" w:eastAsia="MS Mincho" w:hAnsi="Arial" w:cs="Arial"/>
            <w:sz w:val="26"/>
            <w:szCs w:val="26"/>
            <w:shd w:val="clear" w:color="auto" w:fill="FFFFFF"/>
            <w:lang w:eastAsia="ja-JP"/>
          </w:rPr>
          <w:t>Discussion Paper submission - Shaping the future of employment services - Department of Employment and Workplace Relations</w:t>
        </w:r>
      </w:hyperlink>
    </w:p>
    <w:p w14:paraId="520417E2" w14:textId="5955142F" w:rsidR="007E3155" w:rsidRDefault="007E3155" w:rsidP="007E3155">
      <w:pPr>
        <w:spacing w:before="120" w:after="0" w:line="360" w:lineRule="auto"/>
        <w:rPr>
          <w:rFonts w:ascii="Arial" w:eastAsia="MS Mincho" w:hAnsi="Arial" w:cs="Arial"/>
          <w:sz w:val="24"/>
          <w:szCs w:val="16"/>
          <w:lang w:eastAsia="ja-JP"/>
        </w:rPr>
      </w:pPr>
      <w:r w:rsidRPr="007E3155">
        <w:rPr>
          <w:rFonts w:ascii="Arial" w:eastAsia="MS Mincho" w:hAnsi="Arial" w:cs="Arial"/>
          <w:sz w:val="24"/>
          <w:szCs w:val="16"/>
          <w:lang w:eastAsia="ja-JP"/>
        </w:rPr>
        <w:t>Author</w:t>
      </w:r>
      <w:r w:rsidR="002F1BBB">
        <w:rPr>
          <w:rFonts w:ascii="Arial" w:eastAsia="MS Mincho" w:hAnsi="Arial" w:cs="Arial"/>
          <w:sz w:val="24"/>
          <w:szCs w:val="16"/>
          <w:lang w:eastAsia="ja-JP"/>
        </w:rPr>
        <w:t>s</w:t>
      </w:r>
      <w:r w:rsidRPr="007E3155">
        <w:rPr>
          <w:rFonts w:ascii="Arial" w:eastAsia="MS Mincho" w:hAnsi="Arial" w:cs="Arial"/>
          <w:sz w:val="24"/>
          <w:szCs w:val="16"/>
          <w:lang w:eastAsia="ja-JP"/>
        </w:rPr>
        <w:t>:</w:t>
      </w:r>
      <w:r w:rsidR="001D26CC">
        <w:rPr>
          <w:rFonts w:ascii="Arial" w:eastAsia="MS Mincho" w:hAnsi="Arial" w:cs="Arial"/>
          <w:sz w:val="24"/>
          <w:szCs w:val="16"/>
          <w:lang w:eastAsia="ja-JP"/>
        </w:rPr>
        <w:t xml:space="preserve"> </w:t>
      </w:r>
      <w:r w:rsidR="002F1BBB">
        <w:rPr>
          <w:rFonts w:ascii="Arial" w:eastAsia="MS Mincho" w:hAnsi="Arial" w:cs="Arial"/>
          <w:sz w:val="24"/>
          <w:szCs w:val="16"/>
          <w:lang w:eastAsia="ja-JP"/>
        </w:rPr>
        <w:t>Stephanie Peebles</w:t>
      </w:r>
      <w:r w:rsidR="00AA77AD">
        <w:rPr>
          <w:rFonts w:ascii="Arial" w:eastAsia="MS Mincho" w:hAnsi="Arial" w:cs="Arial"/>
          <w:sz w:val="24"/>
          <w:szCs w:val="16"/>
          <w:lang w:eastAsia="ja-JP"/>
        </w:rPr>
        <w:t xml:space="preserve">, </w:t>
      </w:r>
      <w:r w:rsidR="00AA77AD" w:rsidRPr="00AA77AD">
        <w:rPr>
          <w:rFonts w:ascii="Arial" w:eastAsia="MS Mincho" w:hAnsi="Arial" w:cs="Arial"/>
          <w:sz w:val="24"/>
          <w:szCs w:val="16"/>
          <w:lang w:eastAsia="ja-JP"/>
        </w:rPr>
        <w:t>Project Coordinator</w:t>
      </w:r>
      <w:r w:rsidR="002F1BBB">
        <w:rPr>
          <w:rFonts w:ascii="Arial" w:eastAsia="MS Mincho" w:hAnsi="Arial" w:cs="Arial"/>
          <w:sz w:val="24"/>
          <w:szCs w:val="16"/>
          <w:lang w:eastAsia="ja-JP"/>
        </w:rPr>
        <w:t xml:space="preserve"> and </w:t>
      </w:r>
      <w:r w:rsidR="001D26CC">
        <w:rPr>
          <w:rFonts w:ascii="Arial" w:eastAsia="MS Mincho" w:hAnsi="Arial" w:cs="Arial"/>
          <w:sz w:val="24"/>
          <w:szCs w:val="16"/>
          <w:lang w:eastAsia="ja-JP"/>
        </w:rPr>
        <w:t>Melanie Chatfield</w:t>
      </w:r>
      <w:r w:rsidRPr="007E3155">
        <w:rPr>
          <w:rFonts w:ascii="Arial" w:eastAsia="MS Mincho" w:hAnsi="Arial" w:cs="Arial"/>
          <w:sz w:val="24"/>
          <w:szCs w:val="16"/>
          <w:lang w:eastAsia="ja-JP"/>
        </w:rPr>
        <w:t>, National Policy Officer</w:t>
      </w:r>
    </w:p>
    <w:p w14:paraId="2E81C265" w14:textId="2E16617E" w:rsidR="00516836" w:rsidRPr="007E3155" w:rsidRDefault="007260F8" w:rsidP="007E3155">
      <w:pPr>
        <w:spacing w:before="120" w:after="0" w:line="360" w:lineRule="auto"/>
        <w:rPr>
          <w:rFonts w:ascii="Arial" w:eastAsia="MS Mincho" w:hAnsi="Arial" w:cs="Arial"/>
          <w:sz w:val="24"/>
          <w:szCs w:val="16"/>
          <w:lang w:eastAsia="ja-JP"/>
        </w:rPr>
      </w:pPr>
      <w:r>
        <w:rPr>
          <w:rFonts w:ascii="Arial" w:eastAsia="MS Mincho" w:hAnsi="Arial" w:cs="Arial"/>
          <w:sz w:val="24"/>
          <w:szCs w:val="16"/>
          <w:lang w:eastAsia="ja-JP"/>
        </w:rPr>
        <w:t>Contact: m</w:t>
      </w:r>
      <w:r w:rsidR="0039655A" w:rsidRPr="000F6B35">
        <w:rPr>
          <w:rFonts w:ascii="Arial" w:eastAsia="MS Mincho" w:hAnsi="Arial" w:cs="Arial"/>
          <w:sz w:val="24"/>
          <w:szCs w:val="16"/>
          <w:lang w:eastAsia="ja-JP"/>
        </w:rPr>
        <w:t>elanie.chatfield@bca.org.au</w:t>
      </w:r>
    </w:p>
    <w:p w14:paraId="7F7B8296" w14:textId="7DF6791C" w:rsidR="007E3155" w:rsidRPr="007E3155" w:rsidRDefault="000C7065" w:rsidP="007E3155">
      <w:pPr>
        <w:spacing w:before="120" w:after="0" w:line="360" w:lineRule="auto"/>
        <w:rPr>
          <w:rFonts w:ascii="Arial" w:eastAsia="MS Mincho" w:hAnsi="Arial" w:cs="Arial"/>
          <w:sz w:val="24"/>
          <w:szCs w:val="24"/>
          <w:lang w:eastAsia="ja-JP"/>
        </w:rPr>
      </w:pPr>
      <w:bookmarkStart w:id="12" w:name="_Toc59048282"/>
      <w:r w:rsidRPr="478806A7">
        <w:rPr>
          <w:rFonts w:ascii="Arial" w:eastAsia="MS Mincho" w:hAnsi="Arial" w:cs="Arial"/>
          <w:sz w:val="24"/>
          <w:szCs w:val="24"/>
          <w:lang w:eastAsia="ja-JP"/>
        </w:rPr>
        <w:t>D</w:t>
      </w:r>
      <w:r w:rsidR="7AB340AD" w:rsidRPr="478806A7">
        <w:rPr>
          <w:rFonts w:ascii="Arial" w:eastAsia="MS Mincho" w:hAnsi="Arial" w:cs="Arial"/>
          <w:sz w:val="24"/>
          <w:szCs w:val="24"/>
          <w:lang w:eastAsia="ja-JP"/>
        </w:rPr>
        <w:t>ate: 31 July 2026</w:t>
      </w:r>
    </w:p>
    <w:p w14:paraId="404DBBF7" w14:textId="77777777" w:rsidR="007E3155" w:rsidRPr="007E3155" w:rsidRDefault="007E3155" w:rsidP="007E3155">
      <w:pPr>
        <w:spacing w:after="240" w:line="300" w:lineRule="auto"/>
        <w:ind w:left="3744"/>
        <w:rPr>
          <w:rFonts w:ascii="Arial" w:eastAsia="MS Mincho" w:hAnsi="Arial" w:cs="Arial"/>
          <w:sz w:val="24"/>
          <w:szCs w:val="16"/>
          <w:lang w:eastAsia="ja-JP"/>
        </w:rPr>
      </w:pPr>
      <w:r w:rsidRPr="007E3155">
        <w:rPr>
          <w:rFonts w:ascii="Arial" w:eastAsia="MS Mincho" w:hAnsi="Arial" w:cs="Arial"/>
          <w:sz w:val="24"/>
          <w:szCs w:val="16"/>
          <w:lang w:eastAsia="ja-JP"/>
        </w:rPr>
        <w:br w:type="page"/>
      </w:r>
    </w:p>
    <w:p w14:paraId="5953427F" w14:textId="0755FC6A" w:rsidR="00054186" w:rsidRPr="00054186" w:rsidRDefault="00054186" w:rsidP="00054186">
      <w:pPr>
        <w:rPr>
          <w:lang w:eastAsia="ja-JP"/>
        </w:rPr>
      </w:pPr>
    </w:p>
    <w:p w14:paraId="6B45AC69" w14:textId="77777777" w:rsidR="007D51B8" w:rsidRDefault="005A56FC" w:rsidP="007D51B8">
      <w:pPr>
        <w:pStyle w:val="TOC1"/>
        <w:rPr>
          <w:rFonts w:eastAsiaTheme="minorEastAsia"/>
          <w:kern w:val="2"/>
          <w:lang w:eastAsia="en-AU"/>
          <w14:ligatures w14:val="standardContextual"/>
        </w:rPr>
      </w:pPr>
      <w:r>
        <w:rPr>
          <w:webHidden/>
        </w:rPr>
        <w:t xml:space="preserve"> </w:t>
      </w:r>
    </w:p>
    <w:sdt>
      <w:sdtPr>
        <w:rPr>
          <w:rFonts w:ascii="Arial" w:eastAsiaTheme="minorEastAsia" w:hAnsi="Arial" w:cs="Arial"/>
          <w:color w:val="auto"/>
          <w:sz w:val="22"/>
          <w:szCs w:val="22"/>
          <w:lang w:val="en-AU"/>
        </w:rPr>
        <w:id w:val="155587386"/>
        <w:docPartObj>
          <w:docPartGallery w:val="Table of Contents"/>
          <w:docPartUnique/>
        </w:docPartObj>
      </w:sdtPr>
      <w:sdtEndPr>
        <w:rPr>
          <w:b/>
          <w:bCs/>
          <w:noProof/>
        </w:rPr>
      </w:sdtEndPr>
      <w:sdtContent>
        <w:p w14:paraId="6AF42324" w14:textId="0EF914E5" w:rsidR="007D51B8" w:rsidRPr="00052A22" w:rsidRDefault="007D51B8">
          <w:pPr>
            <w:pStyle w:val="TOCHeading"/>
            <w:rPr>
              <w:rFonts w:ascii="Arial" w:hAnsi="Arial" w:cs="Arial"/>
            </w:rPr>
          </w:pPr>
          <w:r w:rsidRPr="00052A22">
            <w:rPr>
              <w:rFonts w:ascii="Arial" w:hAnsi="Arial" w:cs="Arial"/>
            </w:rPr>
            <w:t>Contents</w:t>
          </w:r>
        </w:p>
        <w:p w14:paraId="5B5CD95D" w14:textId="19EB971B" w:rsidR="005550BD" w:rsidRPr="000925FB" w:rsidRDefault="007D51B8">
          <w:pPr>
            <w:pStyle w:val="TOC1"/>
            <w:rPr>
              <w:rFonts w:eastAsiaTheme="minorEastAsia"/>
              <w:kern w:val="2"/>
              <w:lang w:eastAsia="en-AU"/>
              <w14:ligatures w14:val="standardContextual"/>
            </w:rPr>
          </w:pPr>
          <w:r w:rsidRPr="00052A22">
            <w:fldChar w:fldCharType="begin"/>
          </w:r>
          <w:r w:rsidRPr="00052A22">
            <w:instrText xml:space="preserve"> TOC \o "1-3" \h \z \u </w:instrText>
          </w:r>
          <w:r w:rsidRPr="00052A22">
            <w:fldChar w:fldCharType="separate"/>
          </w:r>
          <w:hyperlink w:anchor="_Toc236388437" w:history="1">
            <w:r w:rsidR="005550BD" w:rsidRPr="00554647">
              <w:rPr>
                <w:rStyle w:val="Hyperlink"/>
              </w:rPr>
              <w:drawing>
                <wp:inline distT="0" distB="0" distL="0" distR="0" wp14:anchorId="11B857E5" wp14:editId="535301E0">
                  <wp:extent cx="5676900" cy="828675"/>
                  <wp:effectExtent l="0" t="0" r="0" b="0"/>
                  <wp:docPr id="826513676" name="Picture 826513676" descr="Blind Citizen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A LOGO LANDSCAPE.png"/>
                          <pic:cNvPicPr/>
                        </pic:nvPicPr>
                        <pic:blipFill>
                          <a:blip r:embed="rId11"/>
                          <a:stretch>
                            <a:fillRect/>
                          </a:stretch>
                        </pic:blipFill>
                        <pic:spPr>
                          <a:xfrm>
                            <a:off x="0" y="0"/>
                            <a:ext cx="5700165" cy="832071"/>
                          </a:xfrm>
                          <a:prstGeom prst="rect">
                            <a:avLst/>
                          </a:prstGeom>
                        </pic:spPr>
                      </pic:pic>
                    </a:graphicData>
                  </a:graphic>
                </wp:inline>
              </w:drawing>
            </w:r>
            <w:r w:rsidR="005550BD">
              <w:rPr>
                <w:webHidden/>
              </w:rPr>
              <w:fldChar w:fldCharType="begin"/>
            </w:r>
            <w:r w:rsidR="005550BD">
              <w:rPr>
                <w:webHidden/>
              </w:rPr>
              <w:instrText xml:space="preserve"> PAGEREF _Toc236388437 \h </w:instrText>
            </w:r>
            <w:r w:rsidR="005550BD">
              <w:rPr>
                <w:webHidden/>
              </w:rPr>
            </w:r>
            <w:r w:rsidR="005550BD">
              <w:rPr>
                <w:webHidden/>
              </w:rPr>
              <w:fldChar w:fldCharType="separate"/>
            </w:r>
            <w:r w:rsidR="005550BD">
              <w:rPr>
                <w:webHidden/>
              </w:rPr>
              <w:t>1</w:t>
            </w:r>
            <w:r w:rsidR="005550BD">
              <w:rPr>
                <w:webHidden/>
              </w:rPr>
              <w:fldChar w:fldCharType="end"/>
            </w:r>
          </w:hyperlink>
          <w:r w:rsidR="005550BD" w:rsidRPr="000925FB">
            <w:rPr>
              <w:rStyle w:val="Hyperlink"/>
            </w:rPr>
            <w:fldChar w:fldCharType="begin"/>
          </w:r>
          <w:r w:rsidR="005550BD" w:rsidRPr="000925FB">
            <w:rPr>
              <w:rStyle w:val="Hyperlink"/>
            </w:rPr>
            <w:instrText xml:space="preserve"> </w:instrText>
          </w:r>
          <w:r w:rsidR="005550BD" w:rsidRPr="000925FB">
            <w:instrText>HYPERLINK \l "_Toc236388438"</w:instrText>
          </w:r>
          <w:r w:rsidR="005550BD" w:rsidRPr="000925FB">
            <w:rPr>
              <w:rStyle w:val="Hyperlink"/>
            </w:rPr>
            <w:instrText xml:space="preserve"> </w:instrText>
          </w:r>
          <w:r w:rsidR="005550BD" w:rsidRPr="000925FB">
            <w:rPr>
              <w:rStyle w:val="Hyperlink"/>
            </w:rPr>
          </w:r>
          <w:r w:rsidR="005550BD" w:rsidRPr="000925FB">
            <w:rPr>
              <w:rStyle w:val="Hyperlink"/>
            </w:rPr>
            <w:fldChar w:fldCharType="separate"/>
          </w:r>
          <w:r w:rsidR="005550BD" w:rsidRPr="000925FB">
            <w:rPr>
              <w:rStyle w:val="Hyperlink"/>
            </w:rPr>
            <w:t>Submission on reforms to the employment services system and overhaul of Workforce Australia June 2026</w:t>
          </w:r>
          <w:r w:rsidR="005550BD" w:rsidRPr="000925FB">
            <w:rPr>
              <w:webHidden/>
            </w:rPr>
            <w:tab/>
          </w:r>
          <w:r w:rsidR="005550BD" w:rsidRPr="000925FB">
            <w:rPr>
              <w:webHidden/>
            </w:rPr>
            <w:fldChar w:fldCharType="begin"/>
          </w:r>
          <w:r w:rsidR="005550BD" w:rsidRPr="000925FB">
            <w:rPr>
              <w:webHidden/>
            </w:rPr>
            <w:instrText xml:space="preserve"> PAGEREF _Toc236388438 \h </w:instrText>
          </w:r>
          <w:r w:rsidR="005550BD" w:rsidRPr="000925FB">
            <w:rPr>
              <w:webHidden/>
            </w:rPr>
          </w:r>
          <w:r w:rsidR="005550BD" w:rsidRPr="000925FB">
            <w:rPr>
              <w:webHidden/>
            </w:rPr>
            <w:fldChar w:fldCharType="separate"/>
          </w:r>
          <w:r w:rsidR="005550BD" w:rsidRPr="000925FB">
            <w:rPr>
              <w:webHidden/>
            </w:rPr>
            <w:t>1</w:t>
          </w:r>
          <w:r w:rsidR="005550BD" w:rsidRPr="000925FB">
            <w:rPr>
              <w:webHidden/>
            </w:rPr>
            <w:fldChar w:fldCharType="end"/>
          </w:r>
          <w:r w:rsidR="005550BD" w:rsidRPr="000925FB">
            <w:rPr>
              <w:rStyle w:val="Hyperlink"/>
            </w:rPr>
            <w:fldChar w:fldCharType="end"/>
          </w:r>
        </w:p>
        <w:p w14:paraId="140BAF7C" w14:textId="43413A85" w:rsidR="005550BD" w:rsidRPr="000925FB" w:rsidRDefault="005550BD">
          <w:pPr>
            <w:pStyle w:val="TOC2"/>
            <w:tabs>
              <w:tab w:val="left" w:pos="720"/>
            </w:tabs>
            <w:rPr>
              <w:rFonts w:ascii="Arial" w:eastAsiaTheme="minorEastAsia" w:hAnsi="Arial" w:cs="Arial"/>
              <w:noProof/>
              <w:kern w:val="2"/>
              <w:sz w:val="24"/>
              <w:szCs w:val="24"/>
              <w:lang w:eastAsia="en-AU"/>
              <w14:ligatures w14:val="standardContextual"/>
            </w:rPr>
          </w:pPr>
          <w:hyperlink w:anchor="_Toc236388439" w:history="1">
            <w:r w:rsidRPr="000925FB">
              <w:rPr>
                <w:rStyle w:val="Hyperlink"/>
                <w:rFonts w:ascii="Arial" w:hAnsi="Arial" w:cs="Arial"/>
                <w:noProof/>
                <w:sz w:val="24"/>
                <w:szCs w:val="24"/>
              </w:rPr>
              <w:t>1.</w:t>
            </w:r>
            <w:r w:rsidRPr="000925FB">
              <w:rPr>
                <w:rFonts w:ascii="Arial" w:eastAsiaTheme="minorEastAsia" w:hAnsi="Arial" w:cs="Arial"/>
                <w:noProof/>
                <w:kern w:val="2"/>
                <w:sz w:val="24"/>
                <w:szCs w:val="24"/>
                <w:lang w:eastAsia="en-AU"/>
                <w14:ligatures w14:val="standardContextual"/>
              </w:rPr>
              <w:tab/>
            </w:r>
            <w:r w:rsidRPr="000925FB">
              <w:rPr>
                <w:rStyle w:val="Hyperlink"/>
                <w:rFonts w:ascii="Arial" w:hAnsi="Arial" w:cs="Arial"/>
                <w:noProof/>
                <w:sz w:val="24"/>
                <w:szCs w:val="24"/>
              </w:rPr>
              <w:t>Executive Summary</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_Toc236388439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3</w:t>
            </w:r>
            <w:r w:rsidRPr="000925FB">
              <w:rPr>
                <w:rFonts w:ascii="Arial" w:hAnsi="Arial" w:cs="Arial"/>
                <w:noProof/>
                <w:webHidden/>
                <w:sz w:val="24"/>
                <w:szCs w:val="24"/>
              </w:rPr>
              <w:fldChar w:fldCharType="end"/>
            </w:r>
          </w:hyperlink>
        </w:p>
        <w:p w14:paraId="1F57F4B3" w14:textId="11BC4ACC" w:rsidR="005550BD" w:rsidRPr="000925FB" w:rsidRDefault="005550BD">
          <w:pPr>
            <w:pStyle w:val="TOC2"/>
            <w:tabs>
              <w:tab w:val="left" w:pos="720"/>
            </w:tabs>
            <w:rPr>
              <w:rFonts w:ascii="Arial" w:eastAsiaTheme="minorEastAsia" w:hAnsi="Arial" w:cs="Arial"/>
              <w:noProof/>
              <w:kern w:val="2"/>
              <w:sz w:val="24"/>
              <w:szCs w:val="24"/>
              <w:lang w:eastAsia="en-AU"/>
              <w14:ligatures w14:val="standardContextual"/>
            </w:rPr>
          </w:pPr>
          <w:hyperlink w:anchor="_Toc236388440" w:history="1">
            <w:r w:rsidRPr="000925FB">
              <w:rPr>
                <w:rStyle w:val="Hyperlink"/>
                <w:rFonts w:ascii="Arial" w:hAnsi="Arial" w:cs="Arial"/>
                <w:noProof/>
                <w:sz w:val="24"/>
                <w:szCs w:val="24"/>
              </w:rPr>
              <w:t>2.</w:t>
            </w:r>
            <w:r w:rsidRPr="000925FB">
              <w:rPr>
                <w:rFonts w:ascii="Arial" w:eastAsiaTheme="minorEastAsia" w:hAnsi="Arial" w:cs="Arial"/>
                <w:noProof/>
                <w:kern w:val="2"/>
                <w:sz w:val="24"/>
                <w:szCs w:val="24"/>
                <w:lang w:eastAsia="en-AU"/>
                <w14:ligatures w14:val="standardContextual"/>
              </w:rPr>
              <w:tab/>
            </w:r>
            <w:r w:rsidRPr="000925FB">
              <w:rPr>
                <w:rStyle w:val="Hyperlink"/>
                <w:rFonts w:ascii="Arial" w:hAnsi="Arial" w:cs="Arial"/>
                <w:noProof/>
                <w:sz w:val="24"/>
                <w:szCs w:val="24"/>
              </w:rPr>
              <w:t>About Blind Citizens Australia</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_Toc236388440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4</w:t>
            </w:r>
            <w:r w:rsidRPr="000925FB">
              <w:rPr>
                <w:rFonts w:ascii="Arial" w:hAnsi="Arial" w:cs="Arial"/>
                <w:noProof/>
                <w:webHidden/>
                <w:sz w:val="24"/>
                <w:szCs w:val="24"/>
              </w:rPr>
              <w:fldChar w:fldCharType="end"/>
            </w:r>
          </w:hyperlink>
        </w:p>
        <w:p w14:paraId="0C5349E7" w14:textId="0EB37316" w:rsidR="005550BD" w:rsidRPr="000925FB" w:rsidRDefault="005550BD">
          <w:pPr>
            <w:pStyle w:val="TOC2"/>
            <w:tabs>
              <w:tab w:val="left" w:pos="720"/>
            </w:tabs>
            <w:rPr>
              <w:rFonts w:ascii="Arial" w:eastAsiaTheme="minorEastAsia" w:hAnsi="Arial" w:cs="Arial"/>
              <w:noProof/>
              <w:kern w:val="2"/>
              <w:sz w:val="24"/>
              <w:szCs w:val="24"/>
              <w:lang w:eastAsia="en-AU"/>
              <w14:ligatures w14:val="standardContextual"/>
            </w:rPr>
          </w:pPr>
          <w:hyperlink w:anchor="_Toc236388441" w:history="1">
            <w:r w:rsidRPr="000925FB">
              <w:rPr>
                <w:rStyle w:val="Hyperlink"/>
                <w:rFonts w:ascii="Arial" w:hAnsi="Arial" w:cs="Arial"/>
                <w:noProof/>
                <w:sz w:val="24"/>
                <w:szCs w:val="24"/>
              </w:rPr>
              <w:t>3.</w:t>
            </w:r>
            <w:r w:rsidRPr="000925FB">
              <w:rPr>
                <w:rFonts w:ascii="Arial" w:eastAsiaTheme="minorEastAsia" w:hAnsi="Arial" w:cs="Arial"/>
                <w:noProof/>
                <w:kern w:val="2"/>
                <w:sz w:val="24"/>
                <w:szCs w:val="24"/>
                <w:lang w:eastAsia="en-AU"/>
                <w14:ligatures w14:val="standardContextual"/>
              </w:rPr>
              <w:tab/>
            </w:r>
            <w:r w:rsidRPr="000925FB">
              <w:rPr>
                <w:rStyle w:val="Hyperlink"/>
                <w:rFonts w:ascii="Arial" w:hAnsi="Arial" w:cs="Arial"/>
                <w:noProof/>
                <w:sz w:val="24"/>
                <w:szCs w:val="24"/>
              </w:rPr>
              <w:t>Response to consultation</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_Toc236388441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5</w:t>
            </w:r>
            <w:r w:rsidRPr="000925FB">
              <w:rPr>
                <w:rFonts w:ascii="Arial" w:hAnsi="Arial" w:cs="Arial"/>
                <w:noProof/>
                <w:webHidden/>
                <w:sz w:val="24"/>
                <w:szCs w:val="24"/>
              </w:rPr>
              <w:fldChar w:fldCharType="end"/>
            </w:r>
          </w:hyperlink>
        </w:p>
        <w:p w14:paraId="7246D258" w14:textId="23B179F9"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2" w:history="1">
            <w:r w:rsidRPr="000925FB">
              <w:rPr>
                <w:rStyle w:val="Hyperlink"/>
                <w:rFonts w:ascii="Arial" w:hAnsi="Arial" w:cs="Arial"/>
                <w:noProof/>
                <w:sz w:val="24"/>
                <w:szCs w:val="24"/>
              </w:rPr>
              <w:t>3.1 Overview</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_Toc236388442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5</w:t>
            </w:r>
            <w:r w:rsidRPr="000925FB">
              <w:rPr>
                <w:rFonts w:ascii="Arial" w:hAnsi="Arial" w:cs="Arial"/>
                <w:noProof/>
                <w:webHidden/>
                <w:sz w:val="24"/>
                <w:szCs w:val="24"/>
              </w:rPr>
              <w:fldChar w:fldCharType="end"/>
            </w:r>
          </w:hyperlink>
        </w:p>
        <w:p w14:paraId="22007959" w14:textId="41BBFDF9"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3" w:history="1">
            <w:r w:rsidRPr="000925FB">
              <w:rPr>
                <w:rStyle w:val="Hyperlink"/>
                <w:rFonts w:ascii="Arial" w:hAnsi="Arial" w:cs="Arial"/>
                <w:noProof/>
                <w:sz w:val="24"/>
                <w:szCs w:val="24"/>
              </w:rPr>
              <w:t>3.2 Lack of choice and control</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_Toc236388443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8</w:t>
            </w:r>
            <w:r w:rsidRPr="000925FB">
              <w:rPr>
                <w:rFonts w:ascii="Arial" w:hAnsi="Arial" w:cs="Arial"/>
                <w:noProof/>
                <w:webHidden/>
                <w:sz w:val="24"/>
                <w:szCs w:val="24"/>
              </w:rPr>
              <w:fldChar w:fldCharType="end"/>
            </w:r>
          </w:hyperlink>
        </w:p>
        <w:p w14:paraId="073C1D15" w14:textId="164C6F2A"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4" w:history="1">
            <w:r w:rsidRPr="000925FB">
              <w:rPr>
                <w:rStyle w:val="Hyperlink"/>
                <w:rFonts w:ascii="Arial" w:hAnsi="Arial" w:cs="Arial"/>
                <w:noProof/>
                <w:sz w:val="24"/>
                <w:szCs w:val="24"/>
              </w:rPr>
              <w:t>3.4 Allow remote access to IEA providers</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_Toc236388444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9</w:t>
            </w:r>
            <w:r w:rsidRPr="000925FB">
              <w:rPr>
                <w:rFonts w:ascii="Arial" w:hAnsi="Arial" w:cs="Arial"/>
                <w:noProof/>
                <w:webHidden/>
                <w:sz w:val="24"/>
                <w:szCs w:val="24"/>
              </w:rPr>
              <w:fldChar w:fldCharType="end"/>
            </w:r>
          </w:hyperlink>
        </w:p>
        <w:p w14:paraId="283468A0" w14:textId="07963E7C"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5" w:history="1">
            <w:r w:rsidRPr="000925FB">
              <w:rPr>
                <w:rStyle w:val="Hyperlink"/>
                <w:rFonts w:ascii="Arial" w:hAnsi="Arial" w:cs="Arial"/>
                <w:noProof/>
                <w:sz w:val="24"/>
                <w:szCs w:val="24"/>
              </w:rPr>
              <w:t>3.5 Public reporting and accountability</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_Toc236388445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10</w:t>
            </w:r>
            <w:r w:rsidRPr="000925FB">
              <w:rPr>
                <w:rFonts w:ascii="Arial" w:hAnsi="Arial" w:cs="Arial"/>
                <w:noProof/>
                <w:webHidden/>
                <w:sz w:val="24"/>
                <w:szCs w:val="24"/>
              </w:rPr>
              <w:fldChar w:fldCharType="end"/>
            </w:r>
          </w:hyperlink>
        </w:p>
        <w:p w14:paraId="7D9E8C3A" w14:textId="3D1E7A06"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6" w:history="1">
            <w:r w:rsidRPr="000925FB">
              <w:rPr>
                <w:rStyle w:val="Hyperlink"/>
                <w:rFonts w:ascii="Arial" w:hAnsi="Arial" w:cs="Arial"/>
                <w:noProof/>
                <w:sz w:val="24"/>
                <w:szCs w:val="24"/>
              </w:rPr>
              <w:t>3.6 Require IEA providers to walk the talk</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_Toc236388446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11</w:t>
            </w:r>
            <w:r w:rsidRPr="000925FB">
              <w:rPr>
                <w:rFonts w:ascii="Arial" w:hAnsi="Arial" w:cs="Arial"/>
                <w:noProof/>
                <w:webHidden/>
                <w:sz w:val="24"/>
                <w:szCs w:val="24"/>
              </w:rPr>
              <w:fldChar w:fldCharType="end"/>
            </w:r>
          </w:hyperlink>
        </w:p>
        <w:p w14:paraId="46767F90" w14:textId="7CDC97DD"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7" w:history="1">
            <w:r w:rsidRPr="000925FB">
              <w:rPr>
                <w:rStyle w:val="Hyperlink"/>
                <w:rFonts w:ascii="Arial" w:hAnsi="Arial" w:cs="Arial"/>
                <w:noProof/>
                <w:sz w:val="24"/>
                <w:szCs w:val="24"/>
              </w:rPr>
              <w:t>3.7 Expand the reporting framework</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_Toc236388447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12</w:t>
            </w:r>
            <w:r w:rsidRPr="000925FB">
              <w:rPr>
                <w:rFonts w:ascii="Arial" w:hAnsi="Arial" w:cs="Arial"/>
                <w:noProof/>
                <w:webHidden/>
                <w:sz w:val="24"/>
                <w:szCs w:val="24"/>
              </w:rPr>
              <w:fldChar w:fldCharType="end"/>
            </w:r>
          </w:hyperlink>
        </w:p>
        <w:p w14:paraId="4B087FC5" w14:textId="60E54373"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8" w:history="1">
            <w:r w:rsidRPr="000925FB">
              <w:rPr>
                <w:rStyle w:val="Hyperlink"/>
                <w:rFonts w:ascii="Arial" w:hAnsi="Arial" w:cs="Arial"/>
                <w:noProof/>
                <w:sz w:val="24"/>
                <w:szCs w:val="24"/>
              </w:rPr>
              <w:t>3.8 A systems theory perspective</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_Toc236388448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13</w:t>
            </w:r>
            <w:r w:rsidRPr="000925FB">
              <w:rPr>
                <w:rFonts w:ascii="Arial" w:hAnsi="Arial" w:cs="Arial"/>
                <w:noProof/>
                <w:webHidden/>
                <w:sz w:val="24"/>
                <w:szCs w:val="24"/>
              </w:rPr>
              <w:fldChar w:fldCharType="end"/>
            </w:r>
          </w:hyperlink>
        </w:p>
        <w:p w14:paraId="201A74D8" w14:textId="41100AE8" w:rsidR="005550BD" w:rsidRPr="000925FB" w:rsidRDefault="005550BD">
          <w:pPr>
            <w:pStyle w:val="TOC3"/>
            <w:rPr>
              <w:rFonts w:ascii="Arial" w:eastAsiaTheme="minorEastAsia" w:hAnsi="Arial" w:cs="Arial"/>
              <w:noProof/>
              <w:kern w:val="2"/>
              <w:sz w:val="24"/>
              <w:szCs w:val="24"/>
              <w:lang w:eastAsia="en-AU"/>
              <w14:ligatures w14:val="standardContextual"/>
            </w:rPr>
          </w:pPr>
          <w:hyperlink w:anchor="_Toc236388449" w:history="1">
            <w:r w:rsidRPr="000925FB">
              <w:rPr>
                <w:rStyle w:val="Hyperlink"/>
                <w:rFonts w:ascii="Arial" w:hAnsi="Arial" w:cs="Arial"/>
                <w:noProof/>
                <w:sz w:val="24"/>
                <w:szCs w:val="24"/>
              </w:rPr>
              <w:t>3.9 Supporting Geographic Mobility and Relocation as an Employment Investment</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_Toc236388449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15</w:t>
            </w:r>
            <w:r w:rsidRPr="000925FB">
              <w:rPr>
                <w:rFonts w:ascii="Arial" w:hAnsi="Arial" w:cs="Arial"/>
                <w:noProof/>
                <w:webHidden/>
                <w:sz w:val="24"/>
                <w:szCs w:val="24"/>
              </w:rPr>
              <w:fldChar w:fldCharType="end"/>
            </w:r>
          </w:hyperlink>
        </w:p>
        <w:p w14:paraId="320158DD" w14:textId="6D44F408" w:rsidR="005550BD" w:rsidRPr="000925FB" w:rsidRDefault="005550BD">
          <w:pPr>
            <w:pStyle w:val="TOC2"/>
            <w:tabs>
              <w:tab w:val="left" w:pos="720"/>
            </w:tabs>
            <w:rPr>
              <w:rFonts w:ascii="Arial" w:eastAsiaTheme="minorEastAsia" w:hAnsi="Arial" w:cs="Arial"/>
              <w:noProof/>
              <w:kern w:val="2"/>
              <w:sz w:val="24"/>
              <w:szCs w:val="24"/>
              <w:lang w:eastAsia="en-AU"/>
              <w14:ligatures w14:val="standardContextual"/>
            </w:rPr>
          </w:pPr>
          <w:hyperlink w:anchor="_Toc236388450" w:history="1">
            <w:r w:rsidRPr="000925FB">
              <w:rPr>
                <w:rStyle w:val="Hyperlink"/>
                <w:rFonts w:ascii="Arial" w:hAnsi="Arial" w:cs="Arial"/>
                <w:noProof/>
                <w:sz w:val="24"/>
                <w:szCs w:val="24"/>
              </w:rPr>
              <w:t>4.</w:t>
            </w:r>
            <w:r w:rsidRPr="000925FB">
              <w:rPr>
                <w:rFonts w:ascii="Arial" w:eastAsiaTheme="minorEastAsia" w:hAnsi="Arial" w:cs="Arial"/>
                <w:noProof/>
                <w:kern w:val="2"/>
                <w:sz w:val="24"/>
                <w:szCs w:val="24"/>
                <w:lang w:eastAsia="en-AU"/>
                <w14:ligatures w14:val="standardContextual"/>
              </w:rPr>
              <w:tab/>
            </w:r>
            <w:r w:rsidRPr="000925FB">
              <w:rPr>
                <w:rStyle w:val="Hyperlink"/>
                <w:rFonts w:ascii="Arial" w:hAnsi="Arial" w:cs="Arial"/>
                <w:noProof/>
                <w:sz w:val="24"/>
                <w:szCs w:val="24"/>
              </w:rPr>
              <w:t>Recommendations</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_Toc236388450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17</w:t>
            </w:r>
            <w:r w:rsidRPr="000925FB">
              <w:rPr>
                <w:rFonts w:ascii="Arial" w:hAnsi="Arial" w:cs="Arial"/>
                <w:noProof/>
                <w:webHidden/>
                <w:sz w:val="24"/>
                <w:szCs w:val="24"/>
              </w:rPr>
              <w:fldChar w:fldCharType="end"/>
            </w:r>
          </w:hyperlink>
        </w:p>
        <w:p w14:paraId="78BADA51" w14:textId="453C3695" w:rsidR="005550BD" w:rsidRPr="000925FB" w:rsidRDefault="005550BD">
          <w:pPr>
            <w:pStyle w:val="TOC2"/>
            <w:tabs>
              <w:tab w:val="left" w:pos="720"/>
            </w:tabs>
            <w:rPr>
              <w:rFonts w:ascii="Arial" w:eastAsiaTheme="minorEastAsia" w:hAnsi="Arial" w:cs="Arial"/>
              <w:noProof/>
              <w:kern w:val="2"/>
              <w:sz w:val="24"/>
              <w:szCs w:val="24"/>
              <w:lang w:eastAsia="en-AU"/>
              <w14:ligatures w14:val="standardContextual"/>
            </w:rPr>
          </w:pPr>
          <w:hyperlink w:anchor="_Toc236388451" w:history="1">
            <w:r w:rsidRPr="000925FB">
              <w:rPr>
                <w:rStyle w:val="Hyperlink"/>
                <w:rFonts w:ascii="Arial" w:hAnsi="Arial" w:cs="Arial"/>
                <w:noProof/>
                <w:sz w:val="24"/>
                <w:szCs w:val="24"/>
              </w:rPr>
              <w:t>5.</w:t>
            </w:r>
            <w:r w:rsidRPr="000925FB">
              <w:rPr>
                <w:rFonts w:ascii="Arial" w:eastAsiaTheme="minorEastAsia" w:hAnsi="Arial" w:cs="Arial"/>
                <w:noProof/>
                <w:kern w:val="2"/>
                <w:sz w:val="24"/>
                <w:szCs w:val="24"/>
                <w:lang w:eastAsia="en-AU"/>
                <w14:ligatures w14:val="standardContextual"/>
              </w:rPr>
              <w:tab/>
            </w:r>
            <w:r w:rsidRPr="000925FB">
              <w:rPr>
                <w:rStyle w:val="Hyperlink"/>
                <w:rFonts w:ascii="Arial" w:hAnsi="Arial" w:cs="Arial"/>
                <w:noProof/>
                <w:sz w:val="24"/>
                <w:szCs w:val="24"/>
              </w:rPr>
              <w:t>Conclusion</w:t>
            </w:r>
            <w:r w:rsidRPr="000925FB">
              <w:rPr>
                <w:rFonts w:ascii="Arial" w:hAnsi="Arial" w:cs="Arial"/>
                <w:noProof/>
                <w:webHidden/>
                <w:sz w:val="24"/>
                <w:szCs w:val="24"/>
              </w:rPr>
              <w:tab/>
            </w:r>
            <w:r w:rsidRPr="000925FB">
              <w:rPr>
                <w:rFonts w:ascii="Arial" w:hAnsi="Arial" w:cs="Arial"/>
                <w:noProof/>
                <w:webHidden/>
                <w:sz w:val="24"/>
                <w:szCs w:val="24"/>
              </w:rPr>
              <w:fldChar w:fldCharType="begin"/>
            </w:r>
            <w:r w:rsidRPr="000925FB">
              <w:rPr>
                <w:rFonts w:ascii="Arial" w:hAnsi="Arial" w:cs="Arial"/>
                <w:noProof/>
                <w:webHidden/>
                <w:sz w:val="24"/>
                <w:szCs w:val="24"/>
              </w:rPr>
              <w:instrText xml:space="preserve"> PAGEREF _Toc236388451 \h </w:instrText>
            </w:r>
            <w:r w:rsidRPr="000925FB">
              <w:rPr>
                <w:rFonts w:ascii="Arial" w:hAnsi="Arial" w:cs="Arial"/>
                <w:noProof/>
                <w:webHidden/>
                <w:sz w:val="24"/>
                <w:szCs w:val="24"/>
              </w:rPr>
            </w:r>
            <w:r w:rsidRPr="000925FB">
              <w:rPr>
                <w:rFonts w:ascii="Arial" w:hAnsi="Arial" w:cs="Arial"/>
                <w:noProof/>
                <w:webHidden/>
                <w:sz w:val="24"/>
                <w:szCs w:val="24"/>
              </w:rPr>
              <w:fldChar w:fldCharType="separate"/>
            </w:r>
            <w:r w:rsidRPr="000925FB">
              <w:rPr>
                <w:rFonts w:ascii="Arial" w:hAnsi="Arial" w:cs="Arial"/>
                <w:noProof/>
                <w:webHidden/>
                <w:sz w:val="24"/>
                <w:szCs w:val="24"/>
              </w:rPr>
              <w:t>18</w:t>
            </w:r>
            <w:r w:rsidRPr="000925FB">
              <w:rPr>
                <w:rFonts w:ascii="Arial" w:hAnsi="Arial" w:cs="Arial"/>
                <w:noProof/>
                <w:webHidden/>
                <w:sz w:val="24"/>
                <w:szCs w:val="24"/>
              </w:rPr>
              <w:fldChar w:fldCharType="end"/>
            </w:r>
          </w:hyperlink>
        </w:p>
        <w:p w14:paraId="32F5049B" w14:textId="335652EF" w:rsidR="007D51B8" w:rsidRPr="00052A22" w:rsidRDefault="007D51B8">
          <w:pPr>
            <w:rPr>
              <w:rFonts w:ascii="Arial" w:hAnsi="Arial" w:cs="Arial"/>
            </w:rPr>
          </w:pPr>
          <w:r w:rsidRPr="00052A22">
            <w:rPr>
              <w:rFonts w:ascii="Arial" w:hAnsi="Arial" w:cs="Arial"/>
              <w:b/>
              <w:bCs/>
              <w:noProof/>
            </w:rPr>
            <w:fldChar w:fldCharType="end"/>
          </w:r>
        </w:p>
      </w:sdtContent>
    </w:sdt>
    <w:p w14:paraId="6C9A5BB2" w14:textId="7B9C9422" w:rsidR="00454FFE" w:rsidRDefault="00454FFE">
      <w:pPr>
        <w:rPr>
          <w:rFonts w:ascii="Arial" w:eastAsiaTheme="minorEastAsia" w:hAnsi="Arial" w:cs="Arial"/>
          <w:noProof/>
          <w:kern w:val="2"/>
          <w:sz w:val="24"/>
          <w:szCs w:val="24"/>
          <w:lang w:eastAsia="en-AU"/>
          <w14:ligatures w14:val="standardContextual"/>
        </w:rPr>
      </w:pPr>
      <w:r>
        <w:rPr>
          <w:rFonts w:eastAsiaTheme="minorEastAsia"/>
          <w:kern w:val="2"/>
          <w:lang w:eastAsia="en-AU"/>
          <w14:ligatures w14:val="standardContextual"/>
        </w:rPr>
        <w:br w:type="page"/>
      </w:r>
    </w:p>
    <w:p w14:paraId="047B4557" w14:textId="382FB85C" w:rsidR="00A9157A" w:rsidRPr="00052A22" w:rsidRDefault="00447B13">
      <w:pPr>
        <w:pStyle w:val="Heading2"/>
        <w:numPr>
          <w:ilvl w:val="0"/>
          <w:numId w:val="4"/>
        </w:numPr>
      </w:pPr>
      <w:bookmarkStart w:id="13" w:name="_Toc232498699"/>
      <w:r>
        <w:lastRenderedPageBreak/>
        <w:t xml:space="preserve"> </w:t>
      </w:r>
      <w:bookmarkStart w:id="14" w:name="_Toc236388439"/>
      <w:r w:rsidR="00A9157A" w:rsidRPr="00052A22">
        <w:t>Executive Summary</w:t>
      </w:r>
      <w:bookmarkEnd w:id="13"/>
      <w:bookmarkEnd w:id="14"/>
    </w:p>
    <w:p w14:paraId="71D431B4" w14:textId="77777777" w:rsidR="0071183F" w:rsidRDefault="0071183F">
      <w:pPr>
        <w:spacing w:before="120" w:after="0" w:line="360" w:lineRule="auto"/>
      </w:pPr>
      <w:r w:rsidRPr="001F1B6C">
        <w:rPr>
          <w:rFonts w:ascii="Arial" w:hAnsi="Arial" w:cs="Arial"/>
          <w:sz w:val="24"/>
          <w:szCs w:val="24"/>
        </w:rPr>
        <w:t>This submission supports the Government’s proposed reforms to the employment services system. It acknowledges the need to move toward a more tailored system that responds to individual circumstances, supports suitable employment pathways and delivers stronger long-term employment outcomes.</w:t>
      </w:r>
    </w:p>
    <w:p w14:paraId="7DFACEE5" w14:textId="6D1A8F59" w:rsidR="0071183F" w:rsidRDefault="0071183F">
      <w:pPr>
        <w:spacing w:before="120" w:after="0" w:line="360" w:lineRule="auto"/>
      </w:pPr>
      <w:r w:rsidRPr="4E0A3F49">
        <w:rPr>
          <w:rFonts w:ascii="Arial" w:hAnsi="Arial" w:cs="Arial"/>
          <w:sz w:val="24"/>
          <w:szCs w:val="24"/>
        </w:rPr>
        <w:t>For people who are blind or vision</w:t>
      </w:r>
      <w:r w:rsidR="7AFBB9E0" w:rsidRPr="4E0A3F49">
        <w:rPr>
          <w:rFonts w:ascii="Arial" w:hAnsi="Arial" w:cs="Arial"/>
          <w:sz w:val="24"/>
          <w:szCs w:val="24"/>
        </w:rPr>
        <w:t xml:space="preserve"> impaired</w:t>
      </w:r>
      <w:r w:rsidRPr="4E0A3F49">
        <w:rPr>
          <w:rFonts w:ascii="Arial" w:hAnsi="Arial" w:cs="Arial"/>
          <w:sz w:val="24"/>
          <w:szCs w:val="24"/>
        </w:rPr>
        <w:t>, generic employment service models are often inadequate. Employment barriers are frequently linked not to motivation or qualifications, but to employer confidence, workplace accessibility, assistive technology and the need for specialist workplace adjustments. These issues require specialist expertise and strong employer engagement capability rather than standardised case management approaches.</w:t>
      </w:r>
    </w:p>
    <w:p w14:paraId="0C350EF9" w14:textId="7261136B" w:rsidR="0071183F" w:rsidRDefault="0071183F">
      <w:pPr>
        <w:spacing w:before="120" w:after="0" w:line="360" w:lineRule="auto"/>
      </w:pPr>
      <w:r w:rsidRPr="4E0A3F49">
        <w:rPr>
          <w:rFonts w:ascii="Arial" w:hAnsi="Arial" w:cs="Arial"/>
          <w:sz w:val="24"/>
          <w:szCs w:val="24"/>
        </w:rPr>
        <w:t>This submission also raises concerns regarding limited participant choice and control within the specialist blindness employment sector. In practice, many participants have access to only one specialist provider within their state or territory, limiting competition, accountability and informed choice. The concentration of multiple government-funded functions within the same organisations further raises important questions regarding market stewardship, transparency and participant autonomy.</w:t>
      </w:r>
    </w:p>
    <w:p w14:paraId="25F88591" w14:textId="77777777" w:rsidR="0071183F" w:rsidRDefault="0071183F">
      <w:pPr>
        <w:spacing w:before="120" w:after="0" w:line="360" w:lineRule="auto"/>
      </w:pPr>
      <w:r w:rsidRPr="000C2D64">
        <w:rPr>
          <w:rFonts w:ascii="Arial" w:hAnsi="Arial" w:cs="Arial"/>
          <w:sz w:val="24"/>
          <w:szCs w:val="24"/>
        </w:rPr>
        <w:t>The proposed reforms present an opportunity to redesign employment services around participant outcomes, specialist expertise, accessibility and genuine inclusion rather than administrative compliance and provider-centred service delivery. These principles are also consistent with the objectives of Australia’s Disability Strategy 2021</w:t>
      </w:r>
      <w:r>
        <w:rPr>
          <w:rFonts w:ascii="Arial" w:hAnsi="Arial" w:cs="Arial"/>
          <w:sz w:val="24"/>
          <w:szCs w:val="24"/>
        </w:rPr>
        <w:t>–</w:t>
      </w:r>
      <w:r w:rsidRPr="000C2D64">
        <w:rPr>
          <w:rFonts w:ascii="Arial" w:hAnsi="Arial" w:cs="Arial"/>
          <w:sz w:val="24"/>
          <w:szCs w:val="24"/>
        </w:rPr>
        <w:t>2031, which emphasises economic participation, accessibility, inclusion and greater choice and control for people with disability.</w:t>
      </w:r>
    </w:p>
    <w:p w14:paraId="22958789" w14:textId="77777777" w:rsidR="0071183F" w:rsidRDefault="0071183F">
      <w:pPr>
        <w:spacing w:before="120" w:after="0" w:line="360" w:lineRule="auto"/>
      </w:pPr>
      <w:r w:rsidRPr="000C2D64">
        <w:rPr>
          <w:rFonts w:ascii="Arial" w:hAnsi="Arial" w:cs="Arial"/>
          <w:sz w:val="24"/>
          <w:szCs w:val="24"/>
        </w:rPr>
        <w:t>This submission recommends that the redesigned employment services system:</w:t>
      </w:r>
    </w:p>
    <w:p w14:paraId="44F2B8AD" w14:textId="77777777" w:rsidR="00B47FC7" w:rsidRPr="0006236A" w:rsidRDefault="00B47FC7">
      <w:pPr>
        <w:pStyle w:val="ListParagraph"/>
        <w:numPr>
          <w:ilvl w:val="0"/>
          <w:numId w:val="18"/>
        </w:numPr>
        <w:rPr>
          <w:kern w:val="2"/>
          <w:sz w:val="24"/>
          <w:szCs w:val="24"/>
          <w:lang w:eastAsia="en-AU"/>
          <w14:ligatures w14:val="standardContextual"/>
        </w:rPr>
      </w:pPr>
      <w:bookmarkStart w:id="15" w:name="_Toc59048283"/>
      <w:bookmarkStart w:id="16" w:name="_Toc232498700"/>
      <w:bookmarkStart w:id="17" w:name="_Toc43900325"/>
      <w:bookmarkEnd w:id="12"/>
      <w:r w:rsidRPr="0006236A">
        <w:rPr>
          <w:rFonts w:ascii="Arial" w:hAnsi="Arial" w:cs="Arial"/>
          <w:sz w:val="24"/>
          <w:szCs w:val="24"/>
        </w:rPr>
        <w:t>embeds accessibility from the outset, particularly within digital service pathways</w:t>
      </w:r>
    </w:p>
    <w:p w14:paraId="2EA39DCA" w14:textId="77777777" w:rsidR="00B47FC7" w:rsidRPr="0006236A" w:rsidRDefault="00B47FC7">
      <w:pPr>
        <w:pStyle w:val="ListParagraph"/>
        <w:numPr>
          <w:ilvl w:val="0"/>
          <w:numId w:val="18"/>
        </w:numPr>
        <w:rPr>
          <w:sz w:val="24"/>
          <w:szCs w:val="24"/>
        </w:rPr>
      </w:pPr>
      <w:r w:rsidRPr="0006236A">
        <w:rPr>
          <w:rFonts w:ascii="Arial" w:hAnsi="Arial" w:cs="Arial"/>
          <w:sz w:val="24"/>
          <w:szCs w:val="24"/>
        </w:rPr>
        <w:t>recognises the need for specialist expertise for low-incidence disability cohorts</w:t>
      </w:r>
    </w:p>
    <w:p w14:paraId="55E91929" w14:textId="77777777" w:rsidR="00B47FC7" w:rsidRPr="0006236A" w:rsidRDefault="00B47FC7">
      <w:pPr>
        <w:pStyle w:val="ListParagraph"/>
        <w:numPr>
          <w:ilvl w:val="0"/>
          <w:numId w:val="18"/>
        </w:numPr>
        <w:rPr>
          <w:sz w:val="24"/>
          <w:szCs w:val="24"/>
        </w:rPr>
      </w:pPr>
      <w:r w:rsidRPr="0006236A">
        <w:rPr>
          <w:rFonts w:ascii="Arial" w:hAnsi="Arial" w:cs="Arial"/>
          <w:sz w:val="24"/>
          <w:szCs w:val="24"/>
        </w:rPr>
        <w:t>strengthens and professionalises the employment consulting workforce through recognised qualifications and capability standards</w:t>
      </w:r>
    </w:p>
    <w:p w14:paraId="6A771E5F" w14:textId="77777777" w:rsidR="00B47FC7" w:rsidRPr="0006236A" w:rsidRDefault="00B47FC7">
      <w:pPr>
        <w:pStyle w:val="ListParagraph"/>
        <w:numPr>
          <w:ilvl w:val="0"/>
          <w:numId w:val="18"/>
        </w:numPr>
        <w:rPr>
          <w:sz w:val="24"/>
          <w:szCs w:val="24"/>
        </w:rPr>
      </w:pPr>
      <w:r w:rsidRPr="0006236A">
        <w:rPr>
          <w:rFonts w:ascii="Arial" w:hAnsi="Arial" w:cs="Arial"/>
          <w:sz w:val="24"/>
          <w:szCs w:val="24"/>
        </w:rPr>
        <w:t>expands participant choice and control, including allowing remote access to specialist providers regardless of geography</w:t>
      </w:r>
    </w:p>
    <w:p w14:paraId="76D5129A" w14:textId="77777777" w:rsidR="00B47FC7" w:rsidRPr="0006236A" w:rsidRDefault="00B47FC7">
      <w:pPr>
        <w:pStyle w:val="ListParagraph"/>
        <w:numPr>
          <w:ilvl w:val="0"/>
          <w:numId w:val="18"/>
        </w:numPr>
        <w:rPr>
          <w:sz w:val="24"/>
          <w:szCs w:val="24"/>
        </w:rPr>
      </w:pPr>
      <w:r w:rsidRPr="0006236A">
        <w:rPr>
          <w:rFonts w:ascii="Arial" w:hAnsi="Arial" w:cs="Arial"/>
          <w:sz w:val="24"/>
          <w:szCs w:val="24"/>
        </w:rPr>
        <w:lastRenderedPageBreak/>
        <w:t>improves public reporting and transparency regarding provider performance, participant outcomes and employer engagement</w:t>
      </w:r>
    </w:p>
    <w:p w14:paraId="673793F5" w14:textId="77777777" w:rsidR="00B47FC7" w:rsidRPr="0006236A" w:rsidRDefault="00B47FC7">
      <w:pPr>
        <w:pStyle w:val="ListParagraph"/>
        <w:numPr>
          <w:ilvl w:val="0"/>
          <w:numId w:val="18"/>
        </w:numPr>
        <w:rPr>
          <w:sz w:val="24"/>
          <w:szCs w:val="24"/>
        </w:rPr>
      </w:pPr>
      <w:r w:rsidRPr="0006236A">
        <w:rPr>
          <w:rFonts w:ascii="Arial" w:hAnsi="Arial" w:cs="Arial"/>
          <w:sz w:val="24"/>
          <w:szCs w:val="24"/>
        </w:rPr>
        <w:t>requires employment providers to demonstrate leadership in disability employment within their own organisations.</w:t>
      </w:r>
    </w:p>
    <w:p w14:paraId="664A8C39" w14:textId="77777777" w:rsidR="0071183F" w:rsidRDefault="0071183F">
      <w:pPr>
        <w:spacing w:before="120" w:after="0" w:line="360" w:lineRule="auto"/>
      </w:pPr>
      <w:r w:rsidRPr="000C2D64">
        <w:rPr>
          <w:rFonts w:ascii="Arial" w:hAnsi="Arial" w:cs="Arial"/>
          <w:sz w:val="24"/>
          <w:szCs w:val="24"/>
        </w:rPr>
        <w:t>The evidence clearly demonstrates that people who are blind or have low vision can and do participate successfully in education, professional careers and the broader workforce. The policy challenge</w:t>
      </w:r>
      <w:r w:rsidRPr="006F5BB6">
        <w:rPr>
          <w:rFonts w:ascii="Arial" w:hAnsi="Arial" w:cs="Arial"/>
          <w:sz w:val="24"/>
          <w:szCs w:val="24"/>
        </w:rPr>
        <w:t xml:space="preserve"> is whether Australia’s employment services system is structured to recognise, support and translate that capability into meaningful and sustainable employment outcomes.</w:t>
      </w:r>
    </w:p>
    <w:p w14:paraId="7E260121" w14:textId="1F97CD10" w:rsidR="007E3155" w:rsidRPr="007E3155" w:rsidRDefault="007502A8" w:rsidP="00447B13">
      <w:pPr>
        <w:pStyle w:val="Heading2"/>
        <w:numPr>
          <w:ilvl w:val="0"/>
          <w:numId w:val="4"/>
        </w:numPr>
      </w:pPr>
      <w:r>
        <w:t xml:space="preserve"> </w:t>
      </w:r>
      <w:bookmarkStart w:id="18" w:name="_Toc236388440"/>
      <w:r w:rsidR="007E3155">
        <w:t>About Blind Citizens Australia</w:t>
      </w:r>
      <w:bookmarkEnd w:id="15"/>
      <w:bookmarkEnd w:id="16"/>
      <w:bookmarkEnd w:id="18"/>
    </w:p>
    <w:p w14:paraId="47FCE91A" w14:textId="1D1C65B0" w:rsidR="001C297B" w:rsidRPr="001C297B" w:rsidRDefault="001C297B" w:rsidP="001C297B">
      <w:pPr>
        <w:spacing w:before="120" w:after="0" w:line="360" w:lineRule="auto"/>
        <w:rPr>
          <w:rFonts w:ascii="Arial" w:eastAsia="MS Mincho" w:hAnsi="Arial" w:cs="Arial"/>
          <w:sz w:val="24"/>
          <w:szCs w:val="16"/>
          <w:lang w:eastAsia="ja-JP"/>
        </w:rPr>
      </w:pPr>
      <w:bookmarkStart w:id="19" w:name="_Toc59048284"/>
      <w:bookmarkEnd w:id="17"/>
      <w:r w:rsidRPr="001C297B">
        <w:rPr>
          <w:rFonts w:ascii="Arial" w:eastAsia="MS Mincho" w:hAnsi="Arial" w:cs="Arial"/>
          <w:sz w:val="24"/>
          <w:szCs w:val="16"/>
          <w:lang w:eastAsia="ja-JP"/>
        </w:rPr>
        <w:t xml:space="preserve">Blind Citizens Australia (BCA) is the peak national representative organisation for Australians who are blind or vision impaired. For over 50 years, BCA has empowered </w:t>
      </w:r>
      <w:r w:rsidR="00DC2AA3">
        <w:rPr>
          <w:rFonts w:ascii="Arial" w:eastAsia="MS Mincho" w:hAnsi="Arial" w:cs="Arial"/>
          <w:sz w:val="24"/>
          <w:szCs w:val="16"/>
          <w:lang w:eastAsia="ja-JP"/>
        </w:rPr>
        <w:t xml:space="preserve">people </w:t>
      </w:r>
      <w:r w:rsidRPr="001C297B">
        <w:rPr>
          <w:rFonts w:ascii="Arial" w:eastAsia="MS Mincho" w:hAnsi="Arial" w:cs="Arial"/>
          <w:sz w:val="24"/>
          <w:szCs w:val="16"/>
          <w:lang w:eastAsia="ja-JP"/>
        </w:rPr>
        <w:t>to lead full, active lives and participate meaningfully in society.</w:t>
      </w:r>
    </w:p>
    <w:p w14:paraId="4C87567F" w14:textId="4619F685" w:rsidR="001C297B" w:rsidRPr="001C297B" w:rsidRDefault="00C058FB" w:rsidP="001C297B">
      <w:pPr>
        <w:spacing w:before="120" w:after="0" w:line="360" w:lineRule="auto"/>
        <w:rPr>
          <w:rFonts w:ascii="Arial" w:eastAsia="MS Mincho" w:hAnsi="Arial" w:cs="Arial"/>
          <w:sz w:val="24"/>
          <w:szCs w:val="16"/>
          <w:lang w:eastAsia="ja-JP"/>
        </w:rPr>
      </w:pPr>
      <w:r>
        <w:rPr>
          <w:rFonts w:ascii="Arial" w:hAnsi="Arial" w:cs="Arial"/>
          <w:kern w:val="2"/>
          <w:sz w:val="24"/>
          <w:szCs w:val="24"/>
          <w14:ligatures w14:val="standardContextual"/>
        </w:rPr>
        <w:t xml:space="preserve">BCA </w:t>
      </w:r>
      <w:r w:rsidRPr="0093418E">
        <w:rPr>
          <w:rFonts w:ascii="Arial" w:hAnsi="Arial" w:cs="Arial"/>
          <w:kern w:val="2"/>
          <w:sz w:val="24"/>
          <w:szCs w:val="24"/>
          <w14:ligatures w14:val="standardContextual"/>
        </w:rPr>
        <w:t xml:space="preserve">provides expert, </w:t>
      </w:r>
      <w:r>
        <w:rPr>
          <w:rFonts w:ascii="Arial" w:hAnsi="Arial" w:cs="Arial"/>
          <w:kern w:val="2"/>
          <w:sz w:val="24"/>
          <w:szCs w:val="24"/>
          <w14:ligatures w14:val="standardContextual"/>
        </w:rPr>
        <w:t>individual and systemic</w:t>
      </w:r>
      <w:r w:rsidRPr="0093418E">
        <w:rPr>
          <w:rFonts w:ascii="Arial" w:hAnsi="Arial" w:cs="Arial"/>
          <w:kern w:val="2"/>
          <w:sz w:val="24"/>
          <w:szCs w:val="24"/>
          <w14:ligatures w14:val="standardContextual"/>
        </w:rPr>
        <w:t xml:space="preserve"> advocacy, advice, and </w:t>
      </w:r>
      <w:r w:rsidR="0014458F">
        <w:rPr>
          <w:rFonts w:ascii="Arial" w:hAnsi="Arial" w:cs="Arial"/>
          <w:kern w:val="2"/>
          <w:sz w:val="24"/>
          <w:szCs w:val="24"/>
          <w14:ligatures w14:val="standardContextual"/>
        </w:rPr>
        <w:t xml:space="preserve">peer </w:t>
      </w:r>
      <w:r w:rsidRPr="0093418E">
        <w:rPr>
          <w:rFonts w:ascii="Arial" w:hAnsi="Arial" w:cs="Arial"/>
          <w:kern w:val="2"/>
          <w:sz w:val="24"/>
          <w:szCs w:val="24"/>
          <w14:ligatures w14:val="standardContextual"/>
        </w:rPr>
        <w:t>support for people who are blind or vision impaired</w:t>
      </w:r>
      <w:r w:rsidR="0064582D">
        <w:rPr>
          <w:rFonts w:ascii="Arial" w:hAnsi="Arial" w:cs="Arial"/>
          <w:kern w:val="2"/>
          <w:sz w:val="24"/>
          <w:szCs w:val="24"/>
          <w14:ligatures w14:val="standardContextual"/>
        </w:rPr>
        <w:t>.</w:t>
      </w:r>
      <w:r w:rsidR="001C297B" w:rsidRPr="001C297B">
        <w:rPr>
          <w:rFonts w:ascii="Arial" w:eastAsia="MS Mincho" w:hAnsi="Arial" w:cs="Arial"/>
          <w:sz w:val="24"/>
          <w:szCs w:val="16"/>
          <w:lang w:eastAsia="ja-JP"/>
        </w:rPr>
        <w:t xml:space="preserve"> As a disability-led organisation, our work is directly informed by lived experience: most staff and volunteers are blind or vision impaired, and all directors are members</w:t>
      </w:r>
      <w:r w:rsidR="00DC2AA3">
        <w:rPr>
          <w:rFonts w:ascii="Arial" w:eastAsia="MS Mincho" w:hAnsi="Arial" w:cs="Arial"/>
          <w:sz w:val="24"/>
          <w:szCs w:val="16"/>
          <w:lang w:eastAsia="ja-JP"/>
        </w:rPr>
        <w:t xml:space="preserve"> of BCA</w:t>
      </w:r>
      <w:r w:rsidR="001C297B" w:rsidRPr="001C297B">
        <w:rPr>
          <w:rFonts w:ascii="Arial" w:eastAsia="MS Mincho" w:hAnsi="Arial" w:cs="Arial"/>
          <w:sz w:val="24"/>
          <w:szCs w:val="16"/>
          <w:lang w:eastAsia="ja-JP"/>
        </w:rPr>
        <w:t xml:space="preserve">. </w:t>
      </w:r>
      <w:r w:rsidR="007B17A4" w:rsidRPr="007B17A4">
        <w:rPr>
          <w:rFonts w:ascii="Arial" w:eastAsia="MS Mincho" w:hAnsi="Arial" w:cs="Arial"/>
          <w:sz w:val="24"/>
          <w:szCs w:val="16"/>
          <w:lang w:eastAsia="ja-JP"/>
        </w:rPr>
        <w:t xml:space="preserve">We provide culturally safe, intersectional advocacy that recognises </w:t>
      </w:r>
      <w:r w:rsidR="00F30BAE">
        <w:rPr>
          <w:rFonts w:ascii="Arial" w:eastAsia="MS Mincho" w:hAnsi="Arial" w:cs="Arial"/>
          <w:sz w:val="24"/>
          <w:szCs w:val="16"/>
          <w:lang w:eastAsia="ja-JP"/>
        </w:rPr>
        <w:t xml:space="preserve">people’s </w:t>
      </w:r>
      <w:r w:rsidR="007B17A4" w:rsidRPr="007B17A4">
        <w:rPr>
          <w:rFonts w:ascii="Arial" w:eastAsia="MS Mincho" w:hAnsi="Arial" w:cs="Arial"/>
          <w:sz w:val="24"/>
          <w:szCs w:val="16"/>
          <w:lang w:eastAsia="ja-JP"/>
        </w:rPr>
        <w:t>unique needs and identities</w:t>
      </w:r>
      <w:r w:rsidR="00F30BAE">
        <w:rPr>
          <w:rFonts w:ascii="Arial" w:eastAsia="MS Mincho" w:hAnsi="Arial" w:cs="Arial"/>
          <w:sz w:val="24"/>
          <w:szCs w:val="16"/>
          <w:lang w:eastAsia="ja-JP"/>
        </w:rPr>
        <w:t>, including</w:t>
      </w:r>
      <w:r w:rsidR="007B17A4" w:rsidRPr="007B17A4">
        <w:rPr>
          <w:rFonts w:ascii="Arial" w:eastAsia="MS Mincho" w:hAnsi="Arial" w:cs="Arial"/>
          <w:sz w:val="24"/>
          <w:szCs w:val="16"/>
          <w:lang w:eastAsia="ja-JP"/>
        </w:rPr>
        <w:t xml:space="preserve"> Aboriginal and Torres Strait Islander peoples, culturally and linguistically diverse communities, and people experiencing multiple disabilities or complex health conditions.</w:t>
      </w:r>
    </w:p>
    <w:bookmarkEnd w:id="19"/>
    <w:p w14:paraId="566FA139" w14:textId="0E91C3FF" w:rsidR="005D0077" w:rsidRDefault="005A0119" w:rsidP="005D0077">
      <w:pPr>
        <w:spacing w:before="240" w:line="360" w:lineRule="auto"/>
        <w:rPr>
          <w:rFonts w:ascii="Arial" w:hAnsi="Arial" w:cs="Arial"/>
          <w:kern w:val="2"/>
          <w:sz w:val="24"/>
          <w:szCs w:val="24"/>
          <w14:ligatures w14:val="standardContextual"/>
        </w:rPr>
      </w:pPr>
      <w:r>
        <w:rPr>
          <w:rFonts w:ascii="Arial" w:hAnsi="Arial" w:cs="Arial"/>
          <w:kern w:val="2"/>
          <w:sz w:val="24"/>
          <w:szCs w:val="24"/>
          <w14:ligatures w14:val="standardContextual"/>
        </w:rPr>
        <w:t>Our advice is inform</w:t>
      </w:r>
      <w:r w:rsidR="00F356F3">
        <w:rPr>
          <w:rFonts w:ascii="Arial" w:hAnsi="Arial" w:cs="Arial"/>
          <w:kern w:val="2"/>
          <w:sz w:val="24"/>
          <w:szCs w:val="24"/>
          <w14:ligatures w14:val="standardContextual"/>
        </w:rPr>
        <w:t>ed</w:t>
      </w:r>
      <w:r>
        <w:rPr>
          <w:rFonts w:ascii="Arial" w:hAnsi="Arial" w:cs="Arial"/>
          <w:kern w:val="2"/>
          <w:sz w:val="24"/>
          <w:szCs w:val="24"/>
          <w14:ligatures w14:val="standardContextual"/>
        </w:rPr>
        <w:t xml:space="preserve"> by </w:t>
      </w:r>
      <w:r w:rsidR="005D0077" w:rsidRPr="001C648A">
        <w:rPr>
          <w:rFonts w:ascii="Arial" w:hAnsi="Arial" w:cs="Arial"/>
          <w:kern w:val="2"/>
          <w:sz w:val="24"/>
          <w:szCs w:val="24"/>
          <w14:ligatures w14:val="standardContextual"/>
        </w:rPr>
        <w:t xml:space="preserve">consultations with </w:t>
      </w:r>
      <w:r w:rsidR="005D0077">
        <w:rPr>
          <w:rFonts w:ascii="Arial" w:hAnsi="Arial" w:cs="Arial"/>
          <w:kern w:val="2"/>
          <w:sz w:val="24"/>
          <w:szCs w:val="24"/>
          <w14:ligatures w14:val="standardContextual"/>
        </w:rPr>
        <w:t xml:space="preserve">our 3000+ </w:t>
      </w:r>
      <w:r w:rsidR="005D0077" w:rsidRPr="001C648A">
        <w:rPr>
          <w:rFonts w:ascii="Arial" w:hAnsi="Arial" w:cs="Arial"/>
          <w:kern w:val="2"/>
          <w:sz w:val="24"/>
          <w:szCs w:val="24"/>
          <w14:ligatures w14:val="standardContextual"/>
        </w:rPr>
        <w:t>members</w:t>
      </w:r>
      <w:r w:rsidR="005D0077">
        <w:rPr>
          <w:rFonts w:ascii="Arial" w:hAnsi="Arial" w:cs="Arial"/>
          <w:kern w:val="2"/>
          <w:sz w:val="24"/>
          <w:szCs w:val="24"/>
          <w14:ligatures w14:val="standardContextual"/>
        </w:rPr>
        <w:t>,</w:t>
      </w:r>
      <w:r w:rsidR="005D0077" w:rsidRPr="001C648A">
        <w:rPr>
          <w:rFonts w:ascii="Arial" w:hAnsi="Arial" w:cs="Arial"/>
          <w:kern w:val="2"/>
          <w:sz w:val="24"/>
          <w:szCs w:val="24"/>
          <w14:ligatures w14:val="standardContextual"/>
        </w:rPr>
        <w:t xml:space="preserve"> other people who are blind or vision impaired, </w:t>
      </w:r>
      <w:r w:rsidR="005D0077">
        <w:rPr>
          <w:rFonts w:ascii="Arial" w:hAnsi="Arial" w:cs="Arial"/>
          <w:kern w:val="2"/>
          <w:sz w:val="24"/>
          <w:szCs w:val="24"/>
          <w14:ligatures w14:val="standardContextual"/>
        </w:rPr>
        <w:t xml:space="preserve">and </w:t>
      </w:r>
      <w:r w:rsidR="005D0077" w:rsidRPr="001C648A">
        <w:rPr>
          <w:rFonts w:ascii="Arial" w:hAnsi="Arial" w:cs="Arial"/>
          <w:kern w:val="2"/>
          <w:sz w:val="24"/>
          <w:szCs w:val="24"/>
          <w14:ligatures w14:val="standardContextual"/>
        </w:rPr>
        <w:t xml:space="preserve">our ongoing </w:t>
      </w:r>
      <w:r w:rsidR="005D0077">
        <w:rPr>
          <w:rFonts w:ascii="Arial" w:hAnsi="Arial" w:cs="Arial"/>
          <w:kern w:val="2"/>
          <w:sz w:val="24"/>
          <w:szCs w:val="24"/>
          <w14:ligatures w14:val="standardContextual"/>
        </w:rPr>
        <w:t>collaboration and representation with key stakeholders across industry, government and the disability and community services sector</w:t>
      </w:r>
      <w:r>
        <w:rPr>
          <w:rFonts w:ascii="Arial" w:hAnsi="Arial" w:cs="Arial"/>
          <w:kern w:val="2"/>
          <w:sz w:val="24"/>
          <w:szCs w:val="24"/>
          <w14:ligatures w14:val="standardContextual"/>
        </w:rPr>
        <w:t xml:space="preserve"> and </w:t>
      </w:r>
      <w:r w:rsidR="00917217">
        <w:rPr>
          <w:rFonts w:ascii="Arial" w:hAnsi="Arial" w:cs="Arial"/>
          <w:kern w:val="2"/>
          <w:sz w:val="24"/>
          <w:szCs w:val="24"/>
          <w14:ligatures w14:val="standardContextual"/>
        </w:rPr>
        <w:t>guided by</w:t>
      </w:r>
      <w:r>
        <w:rPr>
          <w:rFonts w:ascii="Arial" w:hAnsi="Arial" w:cs="Arial"/>
          <w:kern w:val="2"/>
          <w:sz w:val="24"/>
          <w:szCs w:val="24"/>
          <w14:ligatures w14:val="standardContextual"/>
        </w:rPr>
        <w:t>:</w:t>
      </w:r>
      <w:r w:rsidR="005D0077" w:rsidRPr="001C648A">
        <w:rPr>
          <w:rFonts w:ascii="Arial" w:hAnsi="Arial" w:cs="Arial"/>
          <w:kern w:val="2"/>
          <w:sz w:val="24"/>
          <w:szCs w:val="24"/>
          <w14:ligatures w14:val="standardContextual"/>
        </w:rPr>
        <w:t xml:space="preserve"> </w:t>
      </w:r>
    </w:p>
    <w:p w14:paraId="0469F33C" w14:textId="77777777" w:rsidR="005D0077" w:rsidRPr="004800C6" w:rsidRDefault="005D0077" w:rsidP="002A2F75">
      <w:pPr>
        <w:numPr>
          <w:ilvl w:val="0"/>
          <w:numId w:val="2"/>
        </w:numPr>
        <w:spacing w:before="120" w:after="0" w:line="360" w:lineRule="auto"/>
        <w:contextualSpacing/>
        <w:rPr>
          <w:rFonts w:ascii="Arial" w:eastAsia="MS Mincho" w:hAnsi="Arial" w:cs="Arial"/>
          <w:sz w:val="24"/>
          <w:szCs w:val="24"/>
          <w:lang w:eastAsia="ja-JP"/>
        </w:rPr>
      </w:pPr>
      <w:r w:rsidRPr="004800C6">
        <w:rPr>
          <w:rFonts w:ascii="Arial" w:eastAsia="MS Mincho" w:hAnsi="Arial" w:cs="Arial"/>
          <w:sz w:val="24"/>
          <w:szCs w:val="24"/>
          <w:lang w:eastAsia="ja-JP"/>
        </w:rPr>
        <w:t>Disability Discrimination Act 1992 (</w:t>
      </w:r>
      <w:proofErr w:type="spellStart"/>
      <w:r w:rsidRPr="004800C6">
        <w:rPr>
          <w:rFonts w:ascii="Arial" w:eastAsia="MS Mincho" w:hAnsi="Arial" w:cs="Arial"/>
          <w:sz w:val="24"/>
          <w:szCs w:val="24"/>
          <w:lang w:eastAsia="ja-JP"/>
        </w:rPr>
        <w:t>Cth</w:t>
      </w:r>
      <w:proofErr w:type="spellEnd"/>
      <w:r w:rsidRPr="004800C6">
        <w:rPr>
          <w:rFonts w:ascii="Arial" w:eastAsia="MS Mincho" w:hAnsi="Arial" w:cs="Arial"/>
          <w:sz w:val="24"/>
          <w:szCs w:val="24"/>
          <w:lang w:eastAsia="ja-JP"/>
        </w:rPr>
        <w:t>) (DDA</w:t>
      </w:r>
      <w:r>
        <w:rPr>
          <w:rFonts w:ascii="Arial" w:eastAsia="MS Mincho" w:hAnsi="Arial" w:cs="Arial"/>
          <w:sz w:val="24"/>
          <w:szCs w:val="24"/>
          <w:lang w:eastAsia="ja-JP"/>
        </w:rPr>
        <w:t>/the Act</w:t>
      </w:r>
      <w:r w:rsidRPr="004800C6">
        <w:rPr>
          <w:rFonts w:ascii="Arial" w:eastAsia="MS Mincho" w:hAnsi="Arial" w:cs="Arial"/>
          <w:sz w:val="24"/>
          <w:szCs w:val="24"/>
          <w:lang w:eastAsia="ja-JP"/>
        </w:rPr>
        <w:t>)</w:t>
      </w:r>
      <w:r>
        <w:rPr>
          <w:rFonts w:ascii="Arial" w:eastAsia="MS Mincho" w:hAnsi="Arial" w:cs="Arial"/>
          <w:sz w:val="24"/>
          <w:szCs w:val="24"/>
          <w:lang w:eastAsia="ja-JP"/>
        </w:rPr>
        <w:t>.</w:t>
      </w:r>
    </w:p>
    <w:p w14:paraId="6FA4F9FE" w14:textId="77777777" w:rsidR="005D0077" w:rsidRPr="004800C6" w:rsidRDefault="005D0077" w:rsidP="002A2F75">
      <w:pPr>
        <w:numPr>
          <w:ilvl w:val="0"/>
          <w:numId w:val="2"/>
        </w:numPr>
        <w:spacing w:before="120" w:after="0" w:line="360" w:lineRule="auto"/>
        <w:contextualSpacing/>
        <w:rPr>
          <w:rFonts w:ascii="Arial" w:eastAsia="MS Mincho" w:hAnsi="Arial" w:cs="Arial"/>
          <w:sz w:val="24"/>
          <w:szCs w:val="24"/>
          <w:lang w:eastAsia="ja-JP"/>
        </w:rPr>
      </w:pPr>
      <w:r w:rsidRPr="004800C6">
        <w:rPr>
          <w:rFonts w:ascii="Arial" w:eastAsia="MS Mincho" w:hAnsi="Arial" w:cs="Arial"/>
          <w:sz w:val="24"/>
          <w:szCs w:val="24"/>
          <w:lang w:eastAsia="ja-JP"/>
        </w:rPr>
        <w:t>Australian Human Rights Commission Act 1986 (</w:t>
      </w:r>
      <w:proofErr w:type="spellStart"/>
      <w:r w:rsidRPr="004800C6">
        <w:rPr>
          <w:rFonts w:ascii="Arial" w:eastAsia="MS Mincho" w:hAnsi="Arial" w:cs="Arial"/>
          <w:sz w:val="24"/>
          <w:szCs w:val="24"/>
          <w:lang w:eastAsia="ja-JP"/>
        </w:rPr>
        <w:t>Cth</w:t>
      </w:r>
      <w:proofErr w:type="spellEnd"/>
      <w:r>
        <w:rPr>
          <w:rFonts w:ascii="Arial" w:eastAsia="MS Mincho" w:hAnsi="Arial" w:cs="Arial"/>
          <w:sz w:val="24"/>
          <w:szCs w:val="24"/>
          <w:lang w:eastAsia="ja-JP"/>
        </w:rPr>
        <w:t>).</w:t>
      </w:r>
    </w:p>
    <w:p w14:paraId="27178421" w14:textId="77777777" w:rsidR="005D0077" w:rsidRPr="00DA706B" w:rsidRDefault="005D0077" w:rsidP="002A2F75">
      <w:pPr>
        <w:numPr>
          <w:ilvl w:val="0"/>
          <w:numId w:val="2"/>
        </w:numPr>
        <w:spacing w:before="120" w:after="0" w:line="360" w:lineRule="auto"/>
        <w:contextualSpacing/>
        <w:rPr>
          <w:rFonts w:ascii="Arial" w:eastAsia="MS Mincho" w:hAnsi="Arial" w:cs="Arial"/>
          <w:sz w:val="24"/>
          <w:szCs w:val="24"/>
          <w:lang w:eastAsia="ja-JP"/>
        </w:rPr>
      </w:pPr>
      <w:r w:rsidRPr="004800C6">
        <w:rPr>
          <w:rFonts w:ascii="Arial" w:eastAsia="Times New Roman" w:hAnsi="Arial" w:cs="Arial"/>
          <w:sz w:val="24"/>
          <w:szCs w:val="24"/>
          <w:lang w:eastAsia="en-AU"/>
        </w:rPr>
        <w:t>Australia’s Disability Strategy 2021–2031</w:t>
      </w:r>
      <w:r>
        <w:rPr>
          <w:rFonts w:ascii="Arial" w:eastAsia="Times New Roman" w:hAnsi="Arial" w:cs="Arial"/>
          <w:sz w:val="24"/>
          <w:szCs w:val="24"/>
          <w:lang w:eastAsia="en-AU"/>
        </w:rPr>
        <w:t>.</w:t>
      </w:r>
    </w:p>
    <w:p w14:paraId="4C34AD65" w14:textId="77777777" w:rsidR="005D0077" w:rsidRDefault="005D0077" w:rsidP="002A2F75">
      <w:pPr>
        <w:numPr>
          <w:ilvl w:val="0"/>
          <w:numId w:val="2"/>
        </w:numPr>
        <w:spacing w:before="120" w:after="0" w:line="360" w:lineRule="auto"/>
        <w:contextualSpacing/>
        <w:rPr>
          <w:rFonts w:ascii="Arial" w:eastAsia="MS Mincho" w:hAnsi="Arial" w:cs="Arial"/>
          <w:sz w:val="24"/>
          <w:szCs w:val="24"/>
          <w:lang w:eastAsia="ja-JP"/>
        </w:rPr>
      </w:pPr>
      <w:r>
        <w:rPr>
          <w:rFonts w:ascii="Arial" w:eastAsia="MS Mincho" w:hAnsi="Arial" w:cs="Arial"/>
          <w:sz w:val="24"/>
          <w:szCs w:val="24"/>
          <w:lang w:eastAsia="ja-JP"/>
        </w:rPr>
        <w:t>Universal Declaration of Human Rights.</w:t>
      </w:r>
    </w:p>
    <w:p w14:paraId="1BECD981" w14:textId="77777777" w:rsidR="005D0077" w:rsidRPr="00724C35" w:rsidRDefault="005D0077" w:rsidP="002A2F75">
      <w:pPr>
        <w:numPr>
          <w:ilvl w:val="0"/>
          <w:numId w:val="2"/>
        </w:numPr>
        <w:spacing w:before="120" w:line="360" w:lineRule="auto"/>
        <w:contextualSpacing/>
        <w:rPr>
          <w:rFonts w:ascii="Arial" w:eastAsia="MS Mincho" w:hAnsi="Arial" w:cs="Arial"/>
          <w:sz w:val="24"/>
          <w:szCs w:val="24"/>
          <w:lang w:eastAsia="ja-JP"/>
        </w:rPr>
      </w:pPr>
      <w:r w:rsidRPr="004800C6">
        <w:rPr>
          <w:rFonts w:ascii="Arial" w:eastAsia="Times New Roman" w:hAnsi="Arial" w:cs="Arial"/>
          <w:sz w:val="24"/>
          <w:szCs w:val="24"/>
          <w:lang w:eastAsia="en-AU"/>
        </w:rPr>
        <w:t>United Nations Convention on the Rights of Persons with Disabilities (CRPD)</w:t>
      </w:r>
      <w:r>
        <w:rPr>
          <w:rFonts w:ascii="Arial" w:eastAsia="Times New Roman" w:hAnsi="Arial" w:cs="Arial"/>
          <w:sz w:val="24"/>
          <w:szCs w:val="24"/>
          <w:lang w:eastAsia="en-AU"/>
        </w:rPr>
        <w:t>.</w:t>
      </w:r>
    </w:p>
    <w:p w14:paraId="44E12990" w14:textId="3B9A1260" w:rsidR="00762E5E" w:rsidRPr="000D1CA7" w:rsidRDefault="005D0077" w:rsidP="000D1CA7">
      <w:pPr>
        <w:numPr>
          <w:ilvl w:val="0"/>
          <w:numId w:val="2"/>
        </w:numPr>
        <w:spacing w:before="120" w:after="0" w:line="360" w:lineRule="auto"/>
        <w:contextualSpacing/>
        <w:rPr>
          <w:rFonts w:ascii="Arial" w:eastAsia="MS Mincho" w:hAnsi="Arial" w:cs="Arial"/>
          <w:sz w:val="24"/>
          <w:szCs w:val="24"/>
          <w:lang w:eastAsia="ja-JP"/>
        </w:rPr>
      </w:pPr>
      <w:r>
        <w:rPr>
          <w:rFonts w:ascii="Arial" w:eastAsia="Times New Roman" w:hAnsi="Arial" w:cs="Arial"/>
          <w:sz w:val="24"/>
          <w:szCs w:val="24"/>
          <w:lang w:eastAsia="en-AU"/>
        </w:rPr>
        <w:lastRenderedPageBreak/>
        <w:t xml:space="preserve">Recommendations from the Disability Royal Commission </w:t>
      </w:r>
      <w:r w:rsidRPr="005F71EF">
        <w:rPr>
          <w:rFonts w:ascii="Arial" w:eastAsia="Times New Roman" w:hAnsi="Arial" w:cs="Arial"/>
          <w:sz w:val="24"/>
          <w:szCs w:val="24"/>
          <w:lang w:eastAsia="en-AU"/>
        </w:rPr>
        <w:t>into Violence, Abuse, Neglect and Exploitation of People with Disability</w:t>
      </w:r>
      <w:r>
        <w:rPr>
          <w:rFonts w:ascii="Arial" w:eastAsia="Times New Roman" w:hAnsi="Arial" w:cs="Arial"/>
          <w:sz w:val="24"/>
          <w:szCs w:val="24"/>
          <w:lang w:eastAsia="en-AU"/>
        </w:rPr>
        <w:t xml:space="preserve"> (The Royal Commission).</w:t>
      </w:r>
    </w:p>
    <w:p w14:paraId="2569DD1C" w14:textId="2A2A2CBB" w:rsidR="006C4DAE" w:rsidRDefault="00447B13" w:rsidP="00447B13">
      <w:pPr>
        <w:pStyle w:val="Heading2"/>
        <w:numPr>
          <w:ilvl w:val="0"/>
          <w:numId w:val="4"/>
        </w:numPr>
      </w:pPr>
      <w:bookmarkStart w:id="20" w:name="_Toc232498701"/>
      <w:r>
        <w:t xml:space="preserve"> </w:t>
      </w:r>
      <w:bookmarkStart w:id="21" w:name="_Toc236388441"/>
      <w:r w:rsidR="008A55E1" w:rsidRPr="00043AF6">
        <w:t>Response</w:t>
      </w:r>
      <w:r w:rsidR="00043AF6" w:rsidRPr="00043AF6">
        <w:t xml:space="preserve"> to consultation</w:t>
      </w:r>
      <w:bookmarkEnd w:id="20"/>
      <w:bookmarkEnd w:id="21"/>
      <w:r w:rsidR="008A55E1" w:rsidRPr="00043AF6">
        <w:t xml:space="preserve"> </w:t>
      </w:r>
    </w:p>
    <w:p w14:paraId="42A165D4" w14:textId="0F106A51" w:rsidR="00424787" w:rsidRDefault="0071183F" w:rsidP="00424787">
      <w:pPr>
        <w:spacing w:before="120" w:after="0" w:line="360" w:lineRule="auto"/>
        <w:rPr>
          <w:rFonts w:ascii="Arial" w:eastAsia="MS Mincho" w:hAnsi="Arial" w:cs="Arial"/>
          <w:sz w:val="24"/>
          <w:szCs w:val="24"/>
          <w:lang w:eastAsia="ja-JP"/>
        </w:rPr>
      </w:pPr>
      <w:r w:rsidRPr="4E0A3F49">
        <w:rPr>
          <w:rFonts w:ascii="Arial" w:hAnsi="Arial" w:cs="Arial"/>
          <w:sz w:val="24"/>
          <w:szCs w:val="24"/>
        </w:rPr>
        <w:t>BCA welcomes the opportunity to provide input to the reforms to the employment services system and overhaul of Workforce Australia</w:t>
      </w:r>
      <w:r w:rsidR="7C61D9B1" w:rsidRPr="4E0A3F49">
        <w:rPr>
          <w:rFonts w:ascii="Arial" w:hAnsi="Arial" w:cs="Arial"/>
          <w:sz w:val="24"/>
          <w:szCs w:val="24"/>
        </w:rPr>
        <w:t>.</w:t>
      </w:r>
      <w:r w:rsidR="11A14ED8" w:rsidRPr="4E0A3F49">
        <w:rPr>
          <w:rFonts w:ascii="Arial" w:hAnsi="Arial" w:cs="Arial"/>
          <w:sz w:val="24"/>
          <w:szCs w:val="24"/>
        </w:rPr>
        <w:t xml:space="preserve"> </w:t>
      </w:r>
      <w:r w:rsidR="33E704EF" w:rsidRPr="4E0A3F49">
        <w:rPr>
          <w:rFonts w:ascii="Arial" w:eastAsia="MS Mincho" w:hAnsi="Arial" w:cs="Arial"/>
          <w:sz w:val="24"/>
          <w:szCs w:val="24"/>
          <w:lang w:eastAsia="ja-JP"/>
        </w:rPr>
        <w:t>It’s estimated that o</w:t>
      </w:r>
      <w:r w:rsidR="00424787" w:rsidRPr="4E0A3F49">
        <w:rPr>
          <w:rFonts w:ascii="Arial" w:eastAsia="MS Mincho" w:hAnsi="Arial" w:cs="Arial"/>
          <w:sz w:val="24"/>
          <w:szCs w:val="24"/>
          <w:lang w:eastAsia="ja-JP"/>
        </w:rPr>
        <w:t>ver 500,000 people living in Australia are blind or vision impaired</w:t>
      </w:r>
      <w:r w:rsidR="00FC955A" w:rsidRPr="4E0A3F49">
        <w:rPr>
          <w:rFonts w:ascii="Arial" w:eastAsia="MS Mincho" w:hAnsi="Arial" w:cs="Arial"/>
          <w:sz w:val="24"/>
          <w:szCs w:val="24"/>
          <w:lang w:eastAsia="ja-JP"/>
        </w:rPr>
        <w:t>.</w:t>
      </w:r>
      <w:r w:rsidR="00424787" w:rsidRPr="4E0A3F49">
        <w:rPr>
          <w:rFonts w:ascii="Arial" w:eastAsia="MS Mincho" w:hAnsi="Arial" w:cs="Arial"/>
          <w:sz w:val="24"/>
          <w:szCs w:val="24"/>
          <w:lang w:eastAsia="ja-JP"/>
        </w:rPr>
        <w:t xml:space="preserve"> The extent to which people who are blind or vision impaired can actively and independently participate in community life relies on public facilities, services and systems being designed in a way that is inclusive.</w:t>
      </w:r>
    </w:p>
    <w:p w14:paraId="7697B637" w14:textId="78EB8A51" w:rsidR="00CE6490" w:rsidRPr="009806E1" w:rsidRDefault="00C60CB8" w:rsidP="00447B13">
      <w:pPr>
        <w:pStyle w:val="Heading3"/>
      </w:pPr>
      <w:bookmarkStart w:id="22" w:name="_Toc236388442"/>
      <w:r>
        <w:t xml:space="preserve">3.1 </w:t>
      </w:r>
      <w:r w:rsidR="00CE6490" w:rsidRPr="009806E1">
        <w:t>Overview</w:t>
      </w:r>
      <w:bookmarkEnd w:id="22"/>
    </w:p>
    <w:p w14:paraId="4A667B36" w14:textId="2B89A135" w:rsidR="0071183F" w:rsidRDefault="0071183F">
      <w:pPr>
        <w:spacing w:before="120" w:after="0" w:line="360" w:lineRule="auto"/>
      </w:pPr>
      <w:r w:rsidRPr="4E0A3F49">
        <w:rPr>
          <w:rFonts w:ascii="Arial" w:hAnsi="Arial" w:cs="Arial"/>
          <w:sz w:val="24"/>
          <w:szCs w:val="24"/>
        </w:rPr>
        <w:t>BCA welcomes the Government’s acknowledgement that the current employment services system has become overly bureaucratic and that a one-size-fits-all approach has not delivered the employment outcomes Australians deserve. The proposed tiered model represents an important opportunity to rethink how employment services are delivered, particularly for people who are blind or vision</w:t>
      </w:r>
      <w:r w:rsidR="2E41AEF5" w:rsidRPr="4E0A3F49">
        <w:rPr>
          <w:rFonts w:ascii="Arial" w:hAnsi="Arial" w:cs="Arial"/>
          <w:sz w:val="24"/>
          <w:szCs w:val="24"/>
        </w:rPr>
        <w:t xml:space="preserve"> impaired</w:t>
      </w:r>
      <w:r w:rsidRPr="4E0A3F49">
        <w:rPr>
          <w:rFonts w:ascii="Arial" w:hAnsi="Arial" w:cs="Arial"/>
          <w:sz w:val="24"/>
          <w:szCs w:val="24"/>
        </w:rPr>
        <w:t>.</w:t>
      </w:r>
    </w:p>
    <w:p w14:paraId="0A42146D" w14:textId="77777777" w:rsidR="0071183F" w:rsidRDefault="0071183F">
      <w:pPr>
        <w:spacing w:before="120" w:after="0" w:line="360" w:lineRule="auto"/>
      </w:pPr>
      <w:r w:rsidRPr="00CB7358">
        <w:rPr>
          <w:rFonts w:ascii="Arial" w:hAnsi="Arial" w:cs="Arial"/>
          <w:sz w:val="24"/>
          <w:szCs w:val="24"/>
        </w:rPr>
        <w:t>The rollout of Inclusive Employment Australia (IEA) in November 2025 was intended to improve employment outcomes for people with disability. However, in February 2026 the Minister acknowledged that forms required to access the system remained inaccessible to people using screen readers, with no confirmed timeline for remediation.</w:t>
      </w:r>
    </w:p>
    <w:p w14:paraId="4ABCA230" w14:textId="77777777" w:rsidR="0071183F" w:rsidRDefault="0071183F">
      <w:pPr>
        <w:spacing w:before="120" w:after="0" w:line="360" w:lineRule="auto"/>
      </w:pPr>
      <w:r w:rsidRPr="00CB7358">
        <w:rPr>
          <w:rFonts w:ascii="Arial" w:hAnsi="Arial" w:cs="Arial"/>
          <w:sz w:val="24"/>
          <w:szCs w:val="24"/>
        </w:rPr>
        <w:t>A system cannot be considered fully inclusive when some participants cannot independently access its entry pathways. This issue is also inconsistent with the objectives of Australia’s Disability Strategy 2021</w:t>
      </w:r>
      <w:r>
        <w:rPr>
          <w:rFonts w:ascii="Arial" w:hAnsi="Arial" w:cs="Arial"/>
          <w:sz w:val="24"/>
          <w:szCs w:val="24"/>
        </w:rPr>
        <w:t>–</w:t>
      </w:r>
      <w:r w:rsidRPr="00CB7358">
        <w:rPr>
          <w:rFonts w:ascii="Arial" w:hAnsi="Arial" w:cs="Arial"/>
          <w:sz w:val="24"/>
          <w:szCs w:val="24"/>
        </w:rPr>
        <w:t>2031, which identifies accessible systems and services as essential to improving social and economic participation for people with disability.</w:t>
      </w:r>
    </w:p>
    <w:p w14:paraId="1D7062F9" w14:textId="384DAA83" w:rsidR="0071183F" w:rsidRDefault="0071183F">
      <w:pPr>
        <w:spacing w:before="120" w:after="0" w:line="360" w:lineRule="auto"/>
      </w:pPr>
      <w:r w:rsidRPr="00CB7358">
        <w:rPr>
          <w:rFonts w:ascii="Arial" w:hAnsi="Arial" w:cs="Arial"/>
          <w:sz w:val="24"/>
          <w:szCs w:val="24"/>
        </w:rPr>
        <w:lastRenderedPageBreak/>
        <w:t>Recent reporting indicates that only 11.7</w:t>
      </w:r>
      <w:r w:rsidR="009A709C">
        <w:rPr>
          <w:rFonts w:ascii="Arial" w:hAnsi="Arial" w:cs="Arial"/>
          <w:sz w:val="24"/>
          <w:szCs w:val="24"/>
        </w:rPr>
        <w:t xml:space="preserve"> per </w:t>
      </w:r>
      <w:r w:rsidRPr="00CB7358">
        <w:rPr>
          <w:rFonts w:ascii="Arial" w:hAnsi="Arial" w:cs="Arial"/>
          <w:sz w:val="24"/>
          <w:szCs w:val="24"/>
        </w:rPr>
        <w:t>cent of jobseekers secured long-term employment through a job provider during the 2024</w:t>
      </w:r>
      <w:r w:rsidR="009A709C">
        <w:rPr>
          <w:rFonts w:ascii="Arial" w:hAnsi="Arial" w:cs="Arial"/>
          <w:sz w:val="24"/>
          <w:szCs w:val="24"/>
        </w:rPr>
        <w:t>-</w:t>
      </w:r>
      <w:r w:rsidRPr="00CB7358">
        <w:rPr>
          <w:rFonts w:ascii="Arial" w:hAnsi="Arial" w:cs="Arial"/>
          <w:sz w:val="24"/>
          <w:szCs w:val="24"/>
        </w:rPr>
        <w:t>25 financial year</w:t>
      </w:r>
      <w:r w:rsidR="00EA68BA">
        <w:rPr>
          <w:rFonts w:ascii="Arial" w:hAnsi="Arial" w:cs="Arial"/>
          <w:sz w:val="24"/>
          <w:szCs w:val="24"/>
        </w:rPr>
        <w:t xml:space="preserve"> (</w:t>
      </w:r>
      <w:hyperlink r:id="rId15" w:history="1">
        <w:r w:rsidR="00A07250" w:rsidRPr="007E4D47">
          <w:rPr>
            <w:rStyle w:val="Hyperlink"/>
            <w:rFonts w:ascii="Arial" w:hAnsi="Arial" w:cs="Arial"/>
            <w:sz w:val="24"/>
            <w:szCs w:val="24"/>
          </w:rPr>
          <w:t>https://ministers.dewr.gov.au/burke/government-response-house-select-committee-workforce-australia-employment-services</w:t>
        </w:r>
      </w:hyperlink>
      <w:proofErr w:type="gramStart"/>
      <w:r w:rsidR="00A07250">
        <w:rPr>
          <w:rFonts w:ascii="Arial" w:hAnsi="Arial" w:cs="Arial"/>
          <w:sz w:val="24"/>
          <w:szCs w:val="24"/>
        </w:rPr>
        <w:t xml:space="preserve">) </w:t>
      </w:r>
      <w:r w:rsidRPr="00CB7358">
        <w:rPr>
          <w:rFonts w:ascii="Arial" w:hAnsi="Arial" w:cs="Arial"/>
          <w:sz w:val="24"/>
          <w:szCs w:val="24"/>
        </w:rPr>
        <w:t>.</w:t>
      </w:r>
      <w:proofErr w:type="gramEnd"/>
      <w:r w:rsidRPr="00CB7358">
        <w:rPr>
          <w:rFonts w:ascii="Arial" w:hAnsi="Arial" w:cs="Arial"/>
          <w:sz w:val="24"/>
          <w:szCs w:val="24"/>
        </w:rPr>
        <w:t xml:space="preserve"> This raises important questions regarding whether current funding, performance and accountability structures are producing meaningful employment outcomes.</w:t>
      </w:r>
    </w:p>
    <w:p w14:paraId="4F77D998" w14:textId="77777777" w:rsidR="0071183F" w:rsidRDefault="0071183F">
      <w:pPr>
        <w:spacing w:before="120" w:after="0" w:line="360" w:lineRule="auto"/>
      </w:pPr>
      <w:r w:rsidRPr="00CB7358">
        <w:rPr>
          <w:rFonts w:ascii="Arial" w:hAnsi="Arial" w:cs="Arial"/>
          <w:sz w:val="24"/>
          <w:szCs w:val="24"/>
        </w:rPr>
        <w:t>The existing IEA model remains heavily shaped by government contracts, provider performance measures and organisational outcomes. In practice:</w:t>
      </w:r>
    </w:p>
    <w:p w14:paraId="6105167B" w14:textId="77777777" w:rsidR="00B47FC7" w:rsidRPr="00D9250C" w:rsidRDefault="00B47FC7">
      <w:pPr>
        <w:pStyle w:val="ListParagraph"/>
        <w:numPr>
          <w:ilvl w:val="0"/>
          <w:numId w:val="7"/>
        </w:numPr>
        <w:rPr>
          <w:kern w:val="2"/>
          <w:sz w:val="24"/>
          <w:szCs w:val="24"/>
          <w:lang w:eastAsia="en-AU"/>
          <w14:ligatures w14:val="standardContextual"/>
        </w:rPr>
      </w:pPr>
      <w:r w:rsidRPr="00D9250C">
        <w:rPr>
          <w:rFonts w:ascii="Arial" w:hAnsi="Arial" w:cs="Arial"/>
          <w:sz w:val="24"/>
          <w:szCs w:val="24"/>
        </w:rPr>
        <w:t>employers decide who is hired and what skills are valued</w:t>
      </w:r>
    </w:p>
    <w:p w14:paraId="1B3C68B1" w14:textId="77777777" w:rsidR="00B47FC7" w:rsidRPr="00D9250C" w:rsidRDefault="00B47FC7">
      <w:pPr>
        <w:pStyle w:val="ListParagraph"/>
        <w:numPr>
          <w:ilvl w:val="0"/>
          <w:numId w:val="7"/>
        </w:numPr>
        <w:rPr>
          <w:sz w:val="24"/>
          <w:szCs w:val="24"/>
        </w:rPr>
      </w:pPr>
      <w:r w:rsidRPr="00D9250C">
        <w:rPr>
          <w:rFonts w:ascii="Arial" w:hAnsi="Arial" w:cs="Arial"/>
          <w:sz w:val="24"/>
          <w:szCs w:val="24"/>
        </w:rPr>
        <w:t>training and professional qualifications for employment consultants are often optional</w:t>
      </w:r>
    </w:p>
    <w:p w14:paraId="77891960" w14:textId="77777777" w:rsidR="00B47FC7" w:rsidRPr="00D9250C" w:rsidRDefault="00B47FC7">
      <w:pPr>
        <w:pStyle w:val="ListParagraph"/>
        <w:numPr>
          <w:ilvl w:val="0"/>
          <w:numId w:val="7"/>
        </w:numPr>
        <w:rPr>
          <w:sz w:val="24"/>
          <w:szCs w:val="24"/>
        </w:rPr>
      </w:pPr>
      <w:r w:rsidRPr="00D9250C">
        <w:rPr>
          <w:rFonts w:ascii="Arial" w:hAnsi="Arial" w:cs="Arial"/>
          <w:sz w:val="24"/>
          <w:szCs w:val="24"/>
        </w:rPr>
        <w:t>accountability is directed primarily at provider organisations rather than individual practitioners</w:t>
      </w:r>
    </w:p>
    <w:p w14:paraId="619F783A" w14:textId="77777777" w:rsidR="00B47FC7" w:rsidRPr="00D9250C" w:rsidRDefault="00B47FC7">
      <w:pPr>
        <w:pStyle w:val="ListParagraph"/>
        <w:numPr>
          <w:ilvl w:val="0"/>
          <w:numId w:val="7"/>
        </w:numPr>
        <w:rPr>
          <w:sz w:val="24"/>
          <w:szCs w:val="24"/>
        </w:rPr>
      </w:pPr>
      <w:r w:rsidRPr="00D9250C">
        <w:rPr>
          <w:rFonts w:ascii="Arial" w:hAnsi="Arial" w:cs="Arial"/>
          <w:sz w:val="24"/>
          <w:szCs w:val="24"/>
        </w:rPr>
        <w:t>government regulates providers but does not require recognised professional standards for those delivering frontline employment services.</w:t>
      </w:r>
    </w:p>
    <w:p w14:paraId="23C607F2" w14:textId="77777777" w:rsidR="000241A2" w:rsidRDefault="000241A2">
      <w:pPr>
        <w:spacing w:before="120" w:after="0" w:line="360" w:lineRule="auto"/>
      </w:pPr>
      <w:r w:rsidRPr="00CB7358">
        <w:rPr>
          <w:rFonts w:ascii="Arial" w:hAnsi="Arial" w:cs="Arial"/>
          <w:sz w:val="24"/>
          <w:szCs w:val="24"/>
        </w:rPr>
        <w:t>Unlike teaching, social work, psychology, occupational therapy, rehabilitation counselling or human resources, employment consulting is not recognised as a profession with mandatory qualifications, registration requirements or professional standards. Yet employment consultants routinely support people with complex disabilities, engage with employers and influence long-term career outcomes.</w:t>
      </w:r>
    </w:p>
    <w:p w14:paraId="2B7326D5" w14:textId="77777777" w:rsidR="000241A2" w:rsidRDefault="000241A2">
      <w:pPr>
        <w:spacing w:before="120" w:after="0" w:line="360" w:lineRule="auto"/>
      </w:pPr>
      <w:r w:rsidRPr="00CB7358">
        <w:rPr>
          <w:rFonts w:ascii="Arial" w:hAnsi="Arial" w:cs="Arial"/>
          <w:sz w:val="24"/>
          <w:szCs w:val="24"/>
        </w:rPr>
        <w:t>The result is inconsistent capability across the workforce, high staff turnover and significant variation in service quality. This issue is particularly important for people who are blind or have low vision.</w:t>
      </w:r>
    </w:p>
    <w:p w14:paraId="654A5A5E" w14:textId="77777777" w:rsidR="000241A2" w:rsidRDefault="000241A2">
      <w:pPr>
        <w:spacing w:before="120" w:after="0" w:line="360" w:lineRule="auto"/>
      </w:pPr>
      <w:r w:rsidRPr="00CB7358">
        <w:rPr>
          <w:rFonts w:ascii="Arial" w:hAnsi="Arial" w:cs="Arial"/>
          <w:sz w:val="24"/>
          <w:szCs w:val="24"/>
        </w:rPr>
        <w:t xml:space="preserve">As </w:t>
      </w:r>
      <w:proofErr w:type="gramStart"/>
      <w:r w:rsidRPr="00CB7358">
        <w:rPr>
          <w:rFonts w:ascii="Arial" w:hAnsi="Arial" w:cs="Arial"/>
          <w:sz w:val="24"/>
          <w:szCs w:val="24"/>
        </w:rPr>
        <w:t>at</w:t>
      </w:r>
      <w:proofErr w:type="gramEnd"/>
      <w:r w:rsidRPr="00CB7358">
        <w:rPr>
          <w:rFonts w:ascii="Arial" w:hAnsi="Arial" w:cs="Arial"/>
          <w:sz w:val="24"/>
          <w:szCs w:val="24"/>
        </w:rPr>
        <w:t xml:space="preserve"> 31 October 2025, only 2,225 participants in Disability Employment Services reported vision impairment as their primary disability and only 105 reported </w:t>
      </w:r>
      <w:proofErr w:type="spellStart"/>
      <w:r w:rsidRPr="00CB7358">
        <w:rPr>
          <w:rFonts w:ascii="Arial" w:hAnsi="Arial" w:cs="Arial"/>
          <w:sz w:val="24"/>
          <w:szCs w:val="24"/>
        </w:rPr>
        <w:t>deafblindness</w:t>
      </w:r>
      <w:proofErr w:type="spellEnd"/>
      <w:r>
        <w:rPr>
          <w:rFonts w:ascii="Arial" w:hAnsi="Arial" w:cs="Arial"/>
          <w:sz w:val="24"/>
          <w:szCs w:val="24"/>
        </w:rPr>
        <w:t xml:space="preserve"> (</w:t>
      </w:r>
      <w:hyperlink r:id="rId16" w:history="1">
        <w:r w:rsidRPr="007E4D47">
          <w:rPr>
            <w:rStyle w:val="Hyperlink"/>
            <w:rFonts w:ascii="Arial" w:hAnsi="Arial" w:cs="Arial"/>
            <w:sz w:val="24"/>
            <w:szCs w:val="24"/>
          </w:rPr>
          <w:t>https://data.gov.au/data/dataset/disability-employment-services-monthly-data/resource/88b96940-4ee1-4163-8a1c-1a9e0f2be70f</w:t>
        </w:r>
      </w:hyperlink>
      <w:r>
        <w:rPr>
          <w:rFonts w:ascii="Arial" w:hAnsi="Arial" w:cs="Arial"/>
          <w:sz w:val="24"/>
          <w:szCs w:val="24"/>
        </w:rPr>
        <w:t>)</w:t>
      </w:r>
      <w:r w:rsidRPr="00CB7358">
        <w:rPr>
          <w:rFonts w:ascii="Arial" w:hAnsi="Arial" w:cs="Arial"/>
          <w:sz w:val="24"/>
          <w:szCs w:val="24"/>
        </w:rPr>
        <w:t>. Together, these groups represented less than one per cent of the total caseload. People who are blind or have low vision are therefore marginal participants within a system designed primarily around much larger disability cohorts.</w:t>
      </w:r>
    </w:p>
    <w:p w14:paraId="7C35CD4A" w14:textId="77777777" w:rsidR="000241A2" w:rsidRDefault="000241A2">
      <w:pPr>
        <w:spacing w:before="120" w:after="0" w:line="360" w:lineRule="auto"/>
      </w:pPr>
      <w:r w:rsidRPr="00CB7358">
        <w:rPr>
          <w:rFonts w:ascii="Arial" w:hAnsi="Arial" w:cs="Arial"/>
          <w:sz w:val="24"/>
          <w:szCs w:val="24"/>
        </w:rPr>
        <w:t>Vision impairment presents distinct employment participation challenges that often require specialist expertise, including:</w:t>
      </w:r>
    </w:p>
    <w:p w14:paraId="4058A297" w14:textId="77777777" w:rsidR="00B47FC7" w:rsidRPr="00D9250C" w:rsidRDefault="00B47FC7">
      <w:pPr>
        <w:pStyle w:val="ListParagraph"/>
        <w:numPr>
          <w:ilvl w:val="0"/>
          <w:numId w:val="6"/>
        </w:numPr>
        <w:rPr>
          <w:kern w:val="2"/>
          <w:sz w:val="24"/>
          <w:szCs w:val="24"/>
          <w:lang w:eastAsia="en-AU"/>
          <w14:ligatures w14:val="standardContextual"/>
        </w:rPr>
      </w:pPr>
      <w:r w:rsidRPr="00D9250C">
        <w:rPr>
          <w:rFonts w:ascii="Arial" w:hAnsi="Arial" w:cs="Arial"/>
          <w:sz w:val="24"/>
          <w:szCs w:val="24"/>
        </w:rPr>
        <w:t>accessible recruitment practices</w:t>
      </w:r>
    </w:p>
    <w:p w14:paraId="23625B24" w14:textId="77777777" w:rsidR="00B47FC7" w:rsidRPr="00D9250C" w:rsidRDefault="00B47FC7">
      <w:pPr>
        <w:pStyle w:val="ListParagraph"/>
        <w:numPr>
          <w:ilvl w:val="0"/>
          <w:numId w:val="6"/>
        </w:numPr>
        <w:rPr>
          <w:sz w:val="24"/>
          <w:szCs w:val="24"/>
        </w:rPr>
      </w:pPr>
      <w:r w:rsidRPr="00D9250C">
        <w:rPr>
          <w:rFonts w:ascii="Arial" w:hAnsi="Arial" w:cs="Arial"/>
          <w:sz w:val="24"/>
          <w:szCs w:val="24"/>
        </w:rPr>
        <w:lastRenderedPageBreak/>
        <w:t>employer education and confidence building</w:t>
      </w:r>
    </w:p>
    <w:p w14:paraId="0F4F3738" w14:textId="77777777" w:rsidR="00B47FC7" w:rsidRPr="00D9250C" w:rsidRDefault="00B47FC7">
      <w:pPr>
        <w:pStyle w:val="ListParagraph"/>
        <w:numPr>
          <w:ilvl w:val="0"/>
          <w:numId w:val="6"/>
        </w:numPr>
        <w:rPr>
          <w:sz w:val="24"/>
          <w:szCs w:val="24"/>
        </w:rPr>
      </w:pPr>
      <w:r w:rsidRPr="00D9250C">
        <w:rPr>
          <w:rFonts w:ascii="Arial" w:hAnsi="Arial" w:cs="Arial"/>
          <w:sz w:val="24"/>
          <w:szCs w:val="24"/>
        </w:rPr>
        <w:t>workplace accessibility and job redesign</w:t>
      </w:r>
    </w:p>
    <w:p w14:paraId="6D06093A" w14:textId="77777777" w:rsidR="00B47FC7" w:rsidRPr="00D9250C" w:rsidRDefault="00B47FC7">
      <w:pPr>
        <w:pStyle w:val="ListParagraph"/>
        <w:numPr>
          <w:ilvl w:val="0"/>
          <w:numId w:val="6"/>
        </w:numPr>
        <w:rPr>
          <w:sz w:val="24"/>
          <w:szCs w:val="24"/>
        </w:rPr>
      </w:pPr>
      <w:r w:rsidRPr="00D9250C">
        <w:rPr>
          <w:rFonts w:ascii="Arial" w:hAnsi="Arial" w:cs="Arial"/>
          <w:sz w:val="24"/>
          <w:szCs w:val="24"/>
        </w:rPr>
        <w:t>reasonable adjustments</w:t>
      </w:r>
    </w:p>
    <w:p w14:paraId="1B9CE484" w14:textId="77777777" w:rsidR="00B47FC7" w:rsidRPr="00D9250C" w:rsidRDefault="00B47FC7">
      <w:pPr>
        <w:pStyle w:val="ListParagraph"/>
        <w:numPr>
          <w:ilvl w:val="0"/>
          <w:numId w:val="6"/>
        </w:numPr>
        <w:rPr>
          <w:sz w:val="24"/>
          <w:szCs w:val="24"/>
        </w:rPr>
      </w:pPr>
      <w:r w:rsidRPr="00D9250C">
        <w:rPr>
          <w:rFonts w:ascii="Arial" w:hAnsi="Arial" w:cs="Arial"/>
          <w:sz w:val="24"/>
          <w:szCs w:val="24"/>
        </w:rPr>
        <w:t>assistive technology</w:t>
      </w:r>
    </w:p>
    <w:p w14:paraId="6CF76BE6" w14:textId="77777777" w:rsidR="00B47FC7" w:rsidRPr="00D9250C" w:rsidRDefault="00B47FC7">
      <w:pPr>
        <w:pStyle w:val="ListParagraph"/>
        <w:numPr>
          <w:ilvl w:val="0"/>
          <w:numId w:val="6"/>
        </w:numPr>
        <w:rPr>
          <w:sz w:val="24"/>
          <w:szCs w:val="24"/>
        </w:rPr>
      </w:pPr>
      <w:r w:rsidRPr="00D9250C">
        <w:rPr>
          <w:rFonts w:ascii="Arial" w:hAnsi="Arial" w:cs="Arial"/>
          <w:sz w:val="24"/>
          <w:szCs w:val="24"/>
        </w:rPr>
        <w:t xml:space="preserve">specialist career development and retention </w:t>
      </w:r>
      <w:proofErr w:type="gramStart"/>
      <w:r w:rsidRPr="00D9250C">
        <w:rPr>
          <w:rFonts w:ascii="Arial" w:hAnsi="Arial" w:cs="Arial"/>
          <w:sz w:val="24"/>
          <w:szCs w:val="24"/>
        </w:rPr>
        <w:t>supports</w:t>
      </w:r>
      <w:proofErr w:type="gramEnd"/>
      <w:r w:rsidRPr="00D9250C">
        <w:rPr>
          <w:rFonts w:ascii="Arial" w:hAnsi="Arial" w:cs="Arial"/>
          <w:sz w:val="24"/>
          <w:szCs w:val="24"/>
        </w:rPr>
        <w:t>.</w:t>
      </w:r>
    </w:p>
    <w:p w14:paraId="3B871AFF" w14:textId="77777777" w:rsidR="000241A2" w:rsidRDefault="000241A2">
      <w:pPr>
        <w:spacing w:before="120" w:after="0" w:line="360" w:lineRule="auto"/>
      </w:pPr>
      <w:r w:rsidRPr="00CB7358">
        <w:rPr>
          <w:rFonts w:ascii="Arial" w:hAnsi="Arial" w:cs="Arial"/>
          <w:sz w:val="24"/>
          <w:szCs w:val="24"/>
        </w:rPr>
        <w:t>The employment services model continues to focus heavily on generic case management, compliance and job search activity.</w:t>
      </w:r>
    </w:p>
    <w:p w14:paraId="0CA7B9E4" w14:textId="77777777" w:rsidR="000241A2" w:rsidRDefault="000241A2">
      <w:pPr>
        <w:spacing w:before="120" w:after="0" w:line="360" w:lineRule="auto"/>
      </w:pPr>
      <w:r w:rsidRPr="00CB7358">
        <w:rPr>
          <w:rFonts w:ascii="Arial" w:hAnsi="Arial" w:cs="Arial"/>
          <w:sz w:val="24"/>
          <w:szCs w:val="24"/>
        </w:rPr>
        <w:t>An important capability for achieving meaningful employment outcomes is the ability to work effectively with employers. The former Certificate IV in Employment Services recognised this through units such as CHCECD005 Deliver Employment Services to Employers. This competency focused on:</w:t>
      </w:r>
    </w:p>
    <w:p w14:paraId="127419D2" w14:textId="77777777" w:rsidR="00B47FC7" w:rsidRPr="00D9250C" w:rsidRDefault="00B47FC7">
      <w:pPr>
        <w:pStyle w:val="ListParagraph"/>
        <w:numPr>
          <w:ilvl w:val="0"/>
          <w:numId w:val="5"/>
        </w:numPr>
        <w:rPr>
          <w:kern w:val="2"/>
          <w:sz w:val="24"/>
          <w:szCs w:val="24"/>
          <w:lang w:eastAsia="en-AU"/>
          <w14:ligatures w14:val="standardContextual"/>
        </w:rPr>
      </w:pPr>
      <w:r w:rsidRPr="00D9250C">
        <w:rPr>
          <w:rFonts w:ascii="Arial" w:hAnsi="Arial" w:cs="Arial"/>
          <w:sz w:val="24"/>
          <w:szCs w:val="24"/>
        </w:rPr>
        <w:t>building and maintaining employer relationships</w:t>
      </w:r>
    </w:p>
    <w:p w14:paraId="0B0F3BF9" w14:textId="77777777" w:rsidR="00B47FC7" w:rsidRPr="00D9250C" w:rsidRDefault="00B47FC7">
      <w:pPr>
        <w:pStyle w:val="ListParagraph"/>
        <w:numPr>
          <w:ilvl w:val="0"/>
          <w:numId w:val="5"/>
        </w:numPr>
        <w:rPr>
          <w:sz w:val="24"/>
          <w:szCs w:val="24"/>
        </w:rPr>
      </w:pPr>
      <w:r w:rsidRPr="00D9250C">
        <w:rPr>
          <w:rFonts w:ascii="Arial" w:hAnsi="Arial" w:cs="Arial"/>
          <w:sz w:val="24"/>
          <w:szCs w:val="24"/>
        </w:rPr>
        <w:t>understanding workforce and labour market needs</w:t>
      </w:r>
    </w:p>
    <w:p w14:paraId="627C7926" w14:textId="77777777" w:rsidR="00B47FC7" w:rsidRPr="00D9250C" w:rsidRDefault="00B47FC7">
      <w:pPr>
        <w:pStyle w:val="ListParagraph"/>
        <w:numPr>
          <w:ilvl w:val="0"/>
          <w:numId w:val="5"/>
        </w:numPr>
        <w:rPr>
          <w:sz w:val="24"/>
          <w:szCs w:val="24"/>
        </w:rPr>
      </w:pPr>
      <w:r w:rsidRPr="00D9250C">
        <w:rPr>
          <w:rFonts w:ascii="Arial" w:hAnsi="Arial" w:cs="Arial"/>
          <w:sz w:val="24"/>
          <w:szCs w:val="24"/>
        </w:rPr>
        <w:t>promoting candidates to employers</w:t>
      </w:r>
    </w:p>
    <w:p w14:paraId="5C40A1C3" w14:textId="77777777" w:rsidR="00B47FC7" w:rsidRPr="00D9250C" w:rsidRDefault="00B47FC7">
      <w:pPr>
        <w:pStyle w:val="ListParagraph"/>
        <w:numPr>
          <w:ilvl w:val="0"/>
          <w:numId w:val="5"/>
        </w:numPr>
        <w:rPr>
          <w:sz w:val="24"/>
          <w:szCs w:val="24"/>
        </w:rPr>
      </w:pPr>
      <w:r w:rsidRPr="00D9250C">
        <w:rPr>
          <w:rFonts w:ascii="Arial" w:hAnsi="Arial" w:cs="Arial"/>
          <w:sz w:val="24"/>
          <w:szCs w:val="24"/>
        </w:rPr>
        <w:t>negotiating placements and workplace adjustments</w:t>
      </w:r>
    </w:p>
    <w:p w14:paraId="368A9274" w14:textId="77777777" w:rsidR="00B47FC7" w:rsidRPr="00D9250C" w:rsidRDefault="00B47FC7">
      <w:pPr>
        <w:pStyle w:val="ListParagraph"/>
        <w:numPr>
          <w:ilvl w:val="0"/>
          <w:numId w:val="5"/>
        </w:numPr>
        <w:rPr>
          <w:sz w:val="24"/>
          <w:szCs w:val="24"/>
        </w:rPr>
      </w:pPr>
      <w:r w:rsidRPr="00D9250C">
        <w:rPr>
          <w:rFonts w:ascii="Arial" w:hAnsi="Arial" w:cs="Arial"/>
          <w:sz w:val="24"/>
          <w:szCs w:val="24"/>
        </w:rPr>
        <w:t>supporting retention after placement.</w:t>
      </w:r>
    </w:p>
    <w:p w14:paraId="0CC6B2A7" w14:textId="77777777" w:rsidR="000241A2" w:rsidRDefault="000241A2">
      <w:pPr>
        <w:spacing w:before="120" w:after="0" w:line="360" w:lineRule="auto"/>
      </w:pPr>
      <w:r w:rsidRPr="00CB7358">
        <w:rPr>
          <w:rFonts w:ascii="Arial" w:hAnsi="Arial" w:cs="Arial"/>
          <w:sz w:val="24"/>
          <w:szCs w:val="24"/>
        </w:rPr>
        <w:t>In practice, these functions are closer to business development and workforce engagement than traditional case management.</w:t>
      </w:r>
    </w:p>
    <w:p w14:paraId="232B5F7A" w14:textId="646CDF11" w:rsidR="000241A2" w:rsidRDefault="000241A2">
      <w:pPr>
        <w:spacing w:before="120" w:after="0" w:line="360" w:lineRule="auto"/>
      </w:pPr>
      <w:r w:rsidRPr="4E0A3F49">
        <w:rPr>
          <w:rFonts w:ascii="Arial" w:hAnsi="Arial" w:cs="Arial"/>
          <w:sz w:val="24"/>
          <w:szCs w:val="24"/>
        </w:rPr>
        <w:t>Employment outcomes are ultimately determined within the labour market, not within employment service systems alone. For many jobseekers who are blind or vision</w:t>
      </w:r>
      <w:r w:rsidR="26A17C2D" w:rsidRPr="4E0A3F49">
        <w:rPr>
          <w:rFonts w:ascii="Arial" w:hAnsi="Arial" w:cs="Arial"/>
          <w:sz w:val="24"/>
          <w:szCs w:val="24"/>
        </w:rPr>
        <w:t xml:space="preserve"> impaired</w:t>
      </w:r>
      <w:r w:rsidRPr="4E0A3F49">
        <w:rPr>
          <w:rFonts w:ascii="Arial" w:hAnsi="Arial" w:cs="Arial"/>
          <w:sz w:val="24"/>
          <w:szCs w:val="24"/>
        </w:rPr>
        <w:t>, the primary barrier is not motivation, job readiness or qualifications. It is employer confidence and employer decision-making.</w:t>
      </w:r>
    </w:p>
    <w:p w14:paraId="796DEAC2" w14:textId="42B8DF77" w:rsidR="000241A2" w:rsidRDefault="000241A2">
      <w:pPr>
        <w:spacing w:before="120" w:after="0" w:line="360" w:lineRule="auto"/>
      </w:pPr>
      <w:r w:rsidRPr="4E0A3F49">
        <w:rPr>
          <w:rFonts w:ascii="Arial" w:hAnsi="Arial" w:cs="Arial"/>
          <w:sz w:val="24"/>
          <w:szCs w:val="24"/>
        </w:rPr>
        <w:t>Vision Australia’s 2021 employer research identified employer attitudes and perceptions as a significant barrier to employment</w:t>
      </w:r>
      <w:r w:rsidR="000A6FA4" w:rsidRPr="4E0A3F49">
        <w:rPr>
          <w:rFonts w:ascii="Arial" w:hAnsi="Arial" w:cs="Arial"/>
          <w:sz w:val="24"/>
          <w:szCs w:val="24"/>
        </w:rPr>
        <w:t xml:space="preserve"> (</w:t>
      </w:r>
      <w:hyperlink r:id="rId17">
        <w:r w:rsidR="009255FF" w:rsidRPr="4E0A3F49">
          <w:rPr>
            <w:rStyle w:val="Hyperlink"/>
            <w:rFonts w:ascii="Arial" w:hAnsi="Arial" w:cs="Arial"/>
            <w:sz w:val="24"/>
            <w:szCs w:val="24"/>
          </w:rPr>
          <w:t>https://view.officeapps.live.com/op/view.aspx?src=https%3A%2F%2Fwww.visionaustralia.org%2Fsites%2Fdefault%2Ffiles%2F2021-09%2F31385%2520-%2520Employer%2520Research%2520Report%2520Final%2520V2%252017JUN2021.docx&amp;wdOrigin=BROWSELINK</w:t>
        </w:r>
      </w:hyperlink>
      <w:r w:rsidR="00AE18E7" w:rsidRPr="4E0A3F49">
        <w:rPr>
          <w:rFonts w:ascii="Arial" w:hAnsi="Arial" w:cs="Arial"/>
          <w:sz w:val="24"/>
          <w:szCs w:val="24"/>
        </w:rPr>
        <w:t>)</w:t>
      </w:r>
      <w:r w:rsidRPr="4E0A3F49">
        <w:rPr>
          <w:rFonts w:ascii="Arial" w:hAnsi="Arial" w:cs="Arial"/>
          <w:sz w:val="24"/>
          <w:szCs w:val="24"/>
        </w:rPr>
        <w:t>. There is no shortage of information available to employers, nor to people who are blind or vision</w:t>
      </w:r>
      <w:r w:rsidR="3F873E34" w:rsidRPr="4E0A3F49">
        <w:rPr>
          <w:rFonts w:ascii="Arial" w:hAnsi="Arial" w:cs="Arial"/>
          <w:sz w:val="24"/>
          <w:szCs w:val="24"/>
        </w:rPr>
        <w:t xml:space="preserve"> impaired</w:t>
      </w:r>
      <w:r w:rsidRPr="4E0A3F49">
        <w:rPr>
          <w:rFonts w:ascii="Arial" w:hAnsi="Arial" w:cs="Arial"/>
          <w:sz w:val="24"/>
          <w:szCs w:val="24"/>
        </w:rPr>
        <w:t>. The challenge is translating that information into actual employment outcomes through meaningful employer engagement and relationship building.</w:t>
      </w:r>
    </w:p>
    <w:p w14:paraId="756DF20A" w14:textId="4564B5F9" w:rsidR="000241A2" w:rsidRDefault="000241A2">
      <w:pPr>
        <w:spacing w:before="120" w:after="0" w:line="360" w:lineRule="auto"/>
      </w:pPr>
      <w:r w:rsidRPr="4E0A3F49">
        <w:rPr>
          <w:rFonts w:ascii="Arial" w:hAnsi="Arial" w:cs="Arial"/>
          <w:sz w:val="24"/>
          <w:szCs w:val="24"/>
        </w:rPr>
        <w:t xml:space="preserve">The proposed reforms appear to assume that many participants can be effectively supported through digital self-service pathways. This may create unintended </w:t>
      </w:r>
      <w:r w:rsidRPr="4E0A3F49">
        <w:rPr>
          <w:rFonts w:ascii="Arial" w:hAnsi="Arial" w:cs="Arial"/>
          <w:sz w:val="24"/>
          <w:szCs w:val="24"/>
        </w:rPr>
        <w:lastRenderedPageBreak/>
        <w:t>consequences for people who rely on assistive technology. Many people who are blind or vision</w:t>
      </w:r>
      <w:r w:rsidR="410ED7B4" w:rsidRPr="4E0A3F49">
        <w:rPr>
          <w:rFonts w:ascii="Arial" w:hAnsi="Arial" w:cs="Arial"/>
          <w:sz w:val="24"/>
          <w:szCs w:val="24"/>
        </w:rPr>
        <w:t xml:space="preserve"> impaired</w:t>
      </w:r>
      <w:r w:rsidRPr="4E0A3F49">
        <w:rPr>
          <w:rFonts w:ascii="Arial" w:hAnsi="Arial" w:cs="Arial"/>
          <w:sz w:val="24"/>
          <w:szCs w:val="24"/>
        </w:rPr>
        <w:t xml:space="preserve"> are highly job-ready and may therefore be placed into Tier 1. However, if digital systems are not fully accessible, the very people expected to self-manage may encounter additional barriers before they even engage with the labour market.</w:t>
      </w:r>
    </w:p>
    <w:p w14:paraId="38B51580" w14:textId="77AF10EE" w:rsidR="00CE6490" w:rsidRPr="009806E1" w:rsidRDefault="00C06D7A" w:rsidP="00447B13">
      <w:pPr>
        <w:pStyle w:val="Heading3"/>
      </w:pPr>
      <w:bookmarkStart w:id="23" w:name="_Toc236388443"/>
      <w:r>
        <w:t xml:space="preserve">3.2 </w:t>
      </w:r>
      <w:r w:rsidR="00CE6490" w:rsidRPr="009806E1">
        <w:t>Lack of choice and control</w:t>
      </w:r>
      <w:bookmarkEnd w:id="23"/>
      <w:r w:rsidR="00CE6490" w:rsidRPr="009806E1">
        <w:t xml:space="preserve"> </w:t>
      </w:r>
    </w:p>
    <w:p w14:paraId="49F3EDDA" w14:textId="33992BBF" w:rsidR="00284760" w:rsidRDefault="00284760">
      <w:pPr>
        <w:spacing w:before="120" w:after="0" w:line="360" w:lineRule="auto"/>
      </w:pPr>
      <w:r w:rsidRPr="4E0A3F49">
        <w:rPr>
          <w:rFonts w:ascii="Arial" w:hAnsi="Arial" w:cs="Arial"/>
          <w:sz w:val="24"/>
          <w:szCs w:val="24"/>
        </w:rPr>
        <w:t>Another significant issue is the lack of genuine choice and control. Unlike many other jobseekers, people who are blind or vision</w:t>
      </w:r>
      <w:r w:rsidR="67438818" w:rsidRPr="4E0A3F49">
        <w:rPr>
          <w:rFonts w:ascii="Arial" w:hAnsi="Arial" w:cs="Arial"/>
          <w:sz w:val="24"/>
          <w:szCs w:val="24"/>
        </w:rPr>
        <w:t xml:space="preserve"> impaired</w:t>
      </w:r>
      <w:r w:rsidRPr="4E0A3F49">
        <w:rPr>
          <w:rFonts w:ascii="Arial" w:hAnsi="Arial" w:cs="Arial"/>
          <w:sz w:val="24"/>
          <w:szCs w:val="24"/>
        </w:rPr>
        <w:t xml:space="preserve"> effectively have access to only one specialist blindness employment provider in each state or territory. This means there is often little or no opportunity to choose between competing specialist providers based on expertise, performance or individual fit.</w:t>
      </w:r>
    </w:p>
    <w:p w14:paraId="01A6B790" w14:textId="77777777" w:rsidR="00284760" w:rsidRDefault="00284760">
      <w:pPr>
        <w:spacing w:before="120" w:after="0" w:line="360" w:lineRule="auto"/>
      </w:pPr>
      <w:r w:rsidRPr="002A4AD9">
        <w:rPr>
          <w:rFonts w:ascii="Arial" w:hAnsi="Arial" w:cs="Arial"/>
          <w:sz w:val="24"/>
          <w:szCs w:val="24"/>
        </w:rPr>
        <w:t>The current system largely allocates support according to geography rather than allowing participants to select the consultant or provider best suited to their needs. This approach appears inconsistent with the National Standards for Disability Services, particularly:</w:t>
      </w:r>
    </w:p>
    <w:p w14:paraId="3C3E144F" w14:textId="77777777" w:rsidR="00284760" w:rsidRPr="00BB72AF" w:rsidRDefault="00284760">
      <w:pPr>
        <w:pStyle w:val="ListParagraph"/>
        <w:numPr>
          <w:ilvl w:val="0"/>
          <w:numId w:val="8"/>
        </w:numPr>
        <w:rPr>
          <w:kern w:val="2"/>
          <w:sz w:val="24"/>
          <w:szCs w:val="24"/>
          <w:lang w:eastAsia="en-AU"/>
          <w14:ligatures w14:val="standardContextual"/>
        </w:rPr>
      </w:pPr>
      <w:r w:rsidRPr="00BB72AF">
        <w:rPr>
          <w:rFonts w:ascii="Arial" w:hAnsi="Arial" w:cs="Arial"/>
          <w:sz w:val="24"/>
          <w:szCs w:val="24"/>
        </w:rPr>
        <w:t>Standard 1 – Rights</w:t>
      </w:r>
    </w:p>
    <w:p w14:paraId="349DF25E" w14:textId="77777777" w:rsidR="00284760" w:rsidRPr="00BB72AF" w:rsidRDefault="00284760">
      <w:pPr>
        <w:pStyle w:val="ListParagraph"/>
        <w:numPr>
          <w:ilvl w:val="0"/>
          <w:numId w:val="8"/>
        </w:numPr>
        <w:rPr>
          <w:sz w:val="24"/>
          <w:szCs w:val="24"/>
        </w:rPr>
      </w:pPr>
      <w:r w:rsidRPr="00BB72AF">
        <w:rPr>
          <w:rFonts w:ascii="Arial" w:hAnsi="Arial" w:cs="Arial"/>
          <w:sz w:val="24"/>
          <w:szCs w:val="24"/>
        </w:rPr>
        <w:t>Standard 2 – Participation and Inclusion</w:t>
      </w:r>
    </w:p>
    <w:p w14:paraId="2A67C78F" w14:textId="77777777" w:rsidR="00284760" w:rsidRPr="00BB72AF" w:rsidRDefault="00284760">
      <w:pPr>
        <w:pStyle w:val="ListParagraph"/>
        <w:numPr>
          <w:ilvl w:val="0"/>
          <w:numId w:val="8"/>
        </w:numPr>
        <w:rPr>
          <w:sz w:val="24"/>
          <w:szCs w:val="24"/>
        </w:rPr>
      </w:pPr>
      <w:r w:rsidRPr="00BB72AF">
        <w:rPr>
          <w:rFonts w:ascii="Arial" w:hAnsi="Arial" w:cs="Arial"/>
          <w:sz w:val="24"/>
          <w:szCs w:val="24"/>
        </w:rPr>
        <w:t>Standard 3 – Individual Outcomes</w:t>
      </w:r>
    </w:p>
    <w:p w14:paraId="6A5F7065" w14:textId="77777777" w:rsidR="00284760" w:rsidRPr="00BB72AF" w:rsidRDefault="00284760">
      <w:pPr>
        <w:pStyle w:val="ListParagraph"/>
        <w:numPr>
          <w:ilvl w:val="0"/>
          <w:numId w:val="8"/>
        </w:numPr>
        <w:rPr>
          <w:sz w:val="24"/>
          <w:szCs w:val="24"/>
        </w:rPr>
      </w:pPr>
      <w:r w:rsidRPr="00BB72AF">
        <w:rPr>
          <w:rFonts w:ascii="Arial" w:hAnsi="Arial" w:cs="Arial"/>
          <w:sz w:val="24"/>
          <w:szCs w:val="24"/>
        </w:rPr>
        <w:t>Standard 4 – Feedback and Complaints</w:t>
      </w:r>
    </w:p>
    <w:p w14:paraId="6A67BC6A" w14:textId="77777777" w:rsidR="00284760" w:rsidRPr="00BB72AF" w:rsidRDefault="00284760">
      <w:pPr>
        <w:pStyle w:val="ListParagraph"/>
        <w:numPr>
          <w:ilvl w:val="0"/>
          <w:numId w:val="8"/>
        </w:numPr>
        <w:rPr>
          <w:sz w:val="24"/>
          <w:szCs w:val="24"/>
        </w:rPr>
      </w:pPr>
      <w:r w:rsidRPr="00BB72AF">
        <w:rPr>
          <w:rFonts w:ascii="Arial" w:hAnsi="Arial" w:cs="Arial"/>
          <w:sz w:val="24"/>
          <w:szCs w:val="24"/>
        </w:rPr>
        <w:t>Standard 5 – Service Access</w:t>
      </w:r>
    </w:p>
    <w:p w14:paraId="28B413AA" w14:textId="77777777" w:rsidR="00284760" w:rsidRPr="00BB72AF" w:rsidRDefault="00284760">
      <w:pPr>
        <w:pStyle w:val="ListParagraph"/>
        <w:numPr>
          <w:ilvl w:val="0"/>
          <w:numId w:val="8"/>
        </w:numPr>
        <w:rPr>
          <w:sz w:val="24"/>
          <w:szCs w:val="24"/>
        </w:rPr>
      </w:pPr>
      <w:r w:rsidRPr="00BB72AF">
        <w:rPr>
          <w:rFonts w:ascii="Arial" w:hAnsi="Arial" w:cs="Arial"/>
          <w:sz w:val="24"/>
          <w:szCs w:val="24"/>
        </w:rPr>
        <w:t>Standard 6 – Service Management.</w:t>
      </w:r>
    </w:p>
    <w:p w14:paraId="657E539D" w14:textId="77777777" w:rsidR="00284760" w:rsidRDefault="00284760">
      <w:pPr>
        <w:spacing w:before="120" w:after="0" w:line="360" w:lineRule="auto"/>
      </w:pPr>
      <w:r w:rsidRPr="002A4AD9">
        <w:rPr>
          <w:rFonts w:ascii="Arial" w:hAnsi="Arial" w:cs="Arial"/>
          <w:sz w:val="24"/>
          <w:szCs w:val="24"/>
        </w:rPr>
        <w:t>A system that effectively offers only one specialist provider cannot easily claim to support genuine choice and control.</w:t>
      </w:r>
    </w:p>
    <w:p w14:paraId="54AA4B63" w14:textId="77777777" w:rsidR="00284760" w:rsidRDefault="00284760">
      <w:pPr>
        <w:spacing w:before="120" w:after="0" w:line="360" w:lineRule="auto"/>
      </w:pPr>
      <w:r w:rsidRPr="002A4AD9">
        <w:rPr>
          <w:rFonts w:ascii="Arial" w:hAnsi="Arial" w:cs="Arial"/>
          <w:sz w:val="24"/>
          <w:szCs w:val="24"/>
        </w:rPr>
        <w:t>Australia’s obligations under the United Nations Convention on the Rights of Persons with Disabilities (CRPD), particularly Article 27 relating to the right to work and employment, reinforce the importance of ensuring that people with disability can exercise genuine choice, autonomy and participation within employment support systems. A service environment in which participants have little practical ability to choose between specialist providers risks undermining these principles of independence, inclusion and equal participation.</w:t>
      </w:r>
    </w:p>
    <w:p w14:paraId="0807FF24" w14:textId="77777777" w:rsidR="00284760" w:rsidRDefault="00284760">
      <w:pPr>
        <w:spacing w:before="120" w:after="0" w:line="360" w:lineRule="auto"/>
      </w:pPr>
      <w:r w:rsidRPr="002A4AD9">
        <w:rPr>
          <w:rFonts w:ascii="Arial" w:hAnsi="Arial" w:cs="Arial"/>
          <w:sz w:val="24"/>
          <w:szCs w:val="24"/>
        </w:rPr>
        <w:lastRenderedPageBreak/>
        <w:t>This situation is further complicated by the concentration of multiple government-funded functions within a single organisation. In NSW, Vision Australia is simultaneously:</w:t>
      </w:r>
    </w:p>
    <w:p w14:paraId="12D5C880" w14:textId="77777777" w:rsidR="00284760" w:rsidRPr="00BB72AF" w:rsidRDefault="00284760">
      <w:pPr>
        <w:pStyle w:val="ListParagraph"/>
        <w:numPr>
          <w:ilvl w:val="0"/>
          <w:numId w:val="9"/>
        </w:numPr>
        <w:rPr>
          <w:kern w:val="2"/>
          <w:sz w:val="24"/>
          <w:szCs w:val="24"/>
          <w:lang w:eastAsia="en-AU"/>
          <w14:ligatures w14:val="standardContextual"/>
        </w:rPr>
      </w:pPr>
      <w:r w:rsidRPr="00BB72AF">
        <w:rPr>
          <w:rFonts w:ascii="Arial" w:hAnsi="Arial" w:cs="Arial"/>
          <w:sz w:val="24"/>
          <w:szCs w:val="24"/>
        </w:rPr>
        <w:t>the specialist Inclusive Employment Australia provider for people who are blind or have low vision</w:t>
      </w:r>
    </w:p>
    <w:p w14:paraId="2E79A0E8" w14:textId="77777777" w:rsidR="00284760" w:rsidRPr="00BB72AF" w:rsidRDefault="00284760">
      <w:pPr>
        <w:pStyle w:val="ListParagraph"/>
        <w:numPr>
          <w:ilvl w:val="0"/>
          <w:numId w:val="9"/>
        </w:numPr>
        <w:rPr>
          <w:sz w:val="24"/>
          <w:szCs w:val="24"/>
        </w:rPr>
      </w:pPr>
      <w:r w:rsidRPr="00BB72AF">
        <w:rPr>
          <w:rFonts w:ascii="Arial" w:hAnsi="Arial" w:cs="Arial"/>
          <w:sz w:val="24"/>
          <w:szCs w:val="24"/>
        </w:rPr>
        <w:t>a major NDIS service provider</w:t>
      </w:r>
    </w:p>
    <w:p w14:paraId="0B1EA5EC" w14:textId="77777777" w:rsidR="00284760" w:rsidRPr="00BB72AF" w:rsidRDefault="00284760">
      <w:pPr>
        <w:pStyle w:val="ListParagraph"/>
        <w:numPr>
          <w:ilvl w:val="0"/>
          <w:numId w:val="9"/>
        </w:numPr>
        <w:rPr>
          <w:sz w:val="24"/>
          <w:szCs w:val="24"/>
        </w:rPr>
      </w:pPr>
      <w:r w:rsidRPr="00BB72AF">
        <w:rPr>
          <w:rFonts w:ascii="Arial" w:hAnsi="Arial" w:cs="Arial"/>
          <w:sz w:val="24"/>
          <w:szCs w:val="24"/>
        </w:rPr>
        <w:t xml:space="preserve">a provider of </w:t>
      </w:r>
      <w:proofErr w:type="spellStart"/>
      <w:r w:rsidRPr="00BB72AF">
        <w:rPr>
          <w:rFonts w:ascii="Arial" w:hAnsi="Arial" w:cs="Arial"/>
          <w:sz w:val="24"/>
          <w:szCs w:val="24"/>
        </w:rPr>
        <w:t>JobAccess</w:t>
      </w:r>
      <w:proofErr w:type="spellEnd"/>
      <w:r w:rsidRPr="00BB72AF">
        <w:rPr>
          <w:rFonts w:ascii="Arial" w:hAnsi="Arial" w:cs="Arial"/>
          <w:sz w:val="24"/>
          <w:szCs w:val="24"/>
        </w:rPr>
        <w:t xml:space="preserve"> workplace assessment services.</w:t>
      </w:r>
    </w:p>
    <w:p w14:paraId="3BA2B988" w14:textId="77777777" w:rsidR="00284760" w:rsidRDefault="00284760">
      <w:pPr>
        <w:spacing w:before="120" w:after="0" w:line="360" w:lineRule="auto"/>
      </w:pPr>
      <w:r w:rsidRPr="00620F1A">
        <w:rPr>
          <w:rFonts w:ascii="Arial" w:hAnsi="Arial" w:cs="Arial"/>
          <w:sz w:val="24"/>
          <w:szCs w:val="24"/>
        </w:rPr>
        <w:t>While these programs operate under separate funding arrangements, from the perspective of a participant they often intersect throughout a person’s education, employment and disability support journey. The issue is not whether these services are delivered professionally. Rather, it is whether the current system provides genuine choice, control and separation of functions for participants.</w:t>
      </w:r>
    </w:p>
    <w:p w14:paraId="72D90FE5" w14:textId="77777777" w:rsidR="00284760" w:rsidRDefault="00284760">
      <w:pPr>
        <w:spacing w:before="120" w:after="0" w:line="360" w:lineRule="auto"/>
      </w:pPr>
      <w:r w:rsidRPr="002A4AD9">
        <w:rPr>
          <w:rFonts w:ascii="Arial" w:hAnsi="Arial" w:cs="Arial"/>
          <w:sz w:val="24"/>
          <w:szCs w:val="24"/>
        </w:rPr>
        <w:t>From a participant perspective, the practical effect can be that a person has a single provider relationship across multiple government-funded services. This raises important questions:</w:t>
      </w:r>
    </w:p>
    <w:p w14:paraId="6651825D" w14:textId="77777777" w:rsidR="00284760" w:rsidRPr="00BB72AF" w:rsidRDefault="00284760">
      <w:pPr>
        <w:pStyle w:val="ListParagraph"/>
        <w:numPr>
          <w:ilvl w:val="0"/>
          <w:numId w:val="10"/>
        </w:numPr>
        <w:rPr>
          <w:kern w:val="2"/>
          <w:sz w:val="24"/>
          <w:szCs w:val="24"/>
          <w:lang w:eastAsia="en-AU"/>
          <w14:ligatures w14:val="standardContextual"/>
        </w:rPr>
      </w:pPr>
      <w:r w:rsidRPr="00BB72AF">
        <w:rPr>
          <w:rFonts w:ascii="Arial" w:hAnsi="Arial" w:cs="Arial"/>
          <w:sz w:val="24"/>
          <w:szCs w:val="24"/>
        </w:rPr>
        <w:t>Where is the participant’s ability to choose between competing specialist providers?</w:t>
      </w:r>
    </w:p>
    <w:p w14:paraId="6003280A" w14:textId="77777777" w:rsidR="00284760" w:rsidRPr="00BB72AF" w:rsidRDefault="00284760">
      <w:pPr>
        <w:pStyle w:val="ListParagraph"/>
        <w:numPr>
          <w:ilvl w:val="0"/>
          <w:numId w:val="10"/>
        </w:numPr>
        <w:rPr>
          <w:sz w:val="24"/>
          <w:szCs w:val="24"/>
        </w:rPr>
      </w:pPr>
      <w:r w:rsidRPr="00BB72AF">
        <w:rPr>
          <w:rFonts w:ascii="Arial" w:hAnsi="Arial" w:cs="Arial"/>
          <w:sz w:val="24"/>
          <w:szCs w:val="24"/>
        </w:rPr>
        <w:t>How can participants exercise informed choice when there may be no alternative specialist provider available?</w:t>
      </w:r>
    </w:p>
    <w:p w14:paraId="7423E3F1" w14:textId="77777777" w:rsidR="00284760" w:rsidRPr="00BB72AF" w:rsidRDefault="00284760">
      <w:pPr>
        <w:pStyle w:val="ListParagraph"/>
        <w:numPr>
          <w:ilvl w:val="0"/>
          <w:numId w:val="10"/>
        </w:numPr>
        <w:rPr>
          <w:sz w:val="24"/>
          <w:szCs w:val="24"/>
        </w:rPr>
      </w:pPr>
      <w:r w:rsidRPr="00BB72AF">
        <w:rPr>
          <w:rFonts w:ascii="Arial" w:hAnsi="Arial" w:cs="Arial"/>
          <w:sz w:val="24"/>
          <w:szCs w:val="24"/>
        </w:rPr>
        <w:t>What mechanisms exist to ensure accountability when the same organisation occupies multiple roles within the support ecosystem?</w:t>
      </w:r>
    </w:p>
    <w:p w14:paraId="1FEC8C5D" w14:textId="77777777" w:rsidR="00284760" w:rsidRPr="00BB72AF" w:rsidRDefault="00284760">
      <w:pPr>
        <w:pStyle w:val="ListParagraph"/>
        <w:numPr>
          <w:ilvl w:val="0"/>
          <w:numId w:val="10"/>
        </w:numPr>
        <w:rPr>
          <w:sz w:val="24"/>
          <w:szCs w:val="24"/>
        </w:rPr>
      </w:pPr>
      <w:r w:rsidRPr="00BB72AF">
        <w:rPr>
          <w:rFonts w:ascii="Arial" w:hAnsi="Arial" w:cs="Arial"/>
          <w:sz w:val="24"/>
          <w:szCs w:val="24"/>
        </w:rPr>
        <w:t>How is market stewardship being exercised where a specialist provider effectively holds a dominant position within a low-incidence disability sector?</w:t>
      </w:r>
    </w:p>
    <w:p w14:paraId="4DCCD25C" w14:textId="77777777" w:rsidR="00284760" w:rsidRDefault="00284760">
      <w:pPr>
        <w:spacing w:before="120" w:after="0" w:line="360" w:lineRule="auto"/>
      </w:pPr>
      <w:r w:rsidRPr="002A4AD9">
        <w:rPr>
          <w:rFonts w:ascii="Arial" w:hAnsi="Arial" w:cs="Arial"/>
          <w:sz w:val="24"/>
          <w:szCs w:val="24"/>
        </w:rPr>
        <w:t>Choice and control cannot be said to exist where there is only one specialist provider option. A market in which participants cannot realistically choose an alternative provider is not functioning as a genuine market. It is functioning as a monopoly provider environment, regardless of the quality of services delivered.</w:t>
      </w:r>
    </w:p>
    <w:p w14:paraId="0896F9AD" w14:textId="60025F7E" w:rsidR="00CE6490" w:rsidRPr="009806E1" w:rsidRDefault="00AD3597" w:rsidP="00447B13">
      <w:pPr>
        <w:pStyle w:val="Heading3"/>
      </w:pPr>
      <w:bookmarkStart w:id="24" w:name="_Toc236388444"/>
      <w:r>
        <w:t xml:space="preserve">3.4 </w:t>
      </w:r>
      <w:r w:rsidR="00CE6490" w:rsidRPr="009806E1">
        <w:t>Allow remote access to IEA providers</w:t>
      </w:r>
      <w:bookmarkEnd w:id="24"/>
    </w:p>
    <w:p w14:paraId="4459591B" w14:textId="77777777" w:rsidR="00774D01" w:rsidRDefault="00774D01">
      <w:pPr>
        <w:spacing w:before="120" w:after="0" w:line="360" w:lineRule="auto"/>
      </w:pPr>
      <w:r w:rsidRPr="000314E0">
        <w:rPr>
          <w:rFonts w:ascii="Arial" w:hAnsi="Arial" w:cs="Arial"/>
          <w:sz w:val="24"/>
          <w:szCs w:val="24"/>
        </w:rPr>
        <w:t>The continued reliance on geography as the primary determinant of who can provide employment services should be reconsidered.</w:t>
      </w:r>
    </w:p>
    <w:p w14:paraId="088BE3A1" w14:textId="77777777" w:rsidR="00774D01" w:rsidRDefault="00774D01">
      <w:pPr>
        <w:spacing w:before="120" w:after="0" w:line="360" w:lineRule="auto"/>
      </w:pPr>
      <w:r w:rsidRPr="000314E0">
        <w:rPr>
          <w:rFonts w:ascii="Arial" w:hAnsi="Arial" w:cs="Arial"/>
          <w:sz w:val="24"/>
          <w:szCs w:val="24"/>
        </w:rPr>
        <w:t xml:space="preserve">The core functions of an Inclusive Employment Australia provider can largely be delivered remotely, including career planning, job search support, application </w:t>
      </w:r>
      <w:r w:rsidRPr="000314E0">
        <w:rPr>
          <w:rFonts w:ascii="Arial" w:hAnsi="Arial" w:cs="Arial"/>
          <w:sz w:val="24"/>
          <w:szCs w:val="24"/>
        </w:rPr>
        <w:lastRenderedPageBreak/>
        <w:t>assistance, interview preparation, employer engagement and post-placement support.</w:t>
      </w:r>
    </w:p>
    <w:p w14:paraId="67F8DFC8" w14:textId="77777777" w:rsidR="00774D01" w:rsidRDefault="00774D01">
      <w:pPr>
        <w:spacing w:before="120" w:after="0" w:line="360" w:lineRule="auto"/>
      </w:pPr>
      <w:r w:rsidRPr="000314E0">
        <w:rPr>
          <w:rFonts w:ascii="Arial" w:hAnsi="Arial" w:cs="Arial"/>
          <w:sz w:val="24"/>
          <w:szCs w:val="24"/>
        </w:rPr>
        <w:t>Similarly, employer engagement is no longer constrained by geography. Employment consultants routinely communicate with employers through email, phone and video conferencing. Building and maintaining employer relationships can be undertaken from anywhere in Australia.</w:t>
      </w:r>
    </w:p>
    <w:p w14:paraId="26A04402" w14:textId="38A6ED2A" w:rsidR="00774D01" w:rsidRDefault="00774D01">
      <w:pPr>
        <w:spacing w:before="120" w:after="0" w:line="360" w:lineRule="auto"/>
      </w:pPr>
      <w:r w:rsidRPr="4E0A3F49">
        <w:rPr>
          <w:rFonts w:ascii="Arial" w:hAnsi="Arial" w:cs="Arial"/>
          <w:sz w:val="24"/>
          <w:szCs w:val="24"/>
        </w:rPr>
        <w:t>For people who are blind or vision</w:t>
      </w:r>
      <w:r w:rsidR="6EC3B2BA" w:rsidRPr="4E0A3F49">
        <w:rPr>
          <w:rFonts w:ascii="Arial" w:hAnsi="Arial" w:cs="Arial"/>
          <w:sz w:val="24"/>
          <w:szCs w:val="24"/>
        </w:rPr>
        <w:t xml:space="preserve"> impaired</w:t>
      </w:r>
      <w:r w:rsidRPr="4E0A3F49">
        <w:rPr>
          <w:rFonts w:ascii="Arial" w:hAnsi="Arial" w:cs="Arial"/>
          <w:sz w:val="24"/>
          <w:szCs w:val="24"/>
        </w:rPr>
        <w:t>, the most significant barriers to employment are often employer confidence, workplace accessibility and access to appropriate adjustments rather than physical proximity to an employment consultant.</w:t>
      </w:r>
    </w:p>
    <w:p w14:paraId="417CF783" w14:textId="77777777" w:rsidR="00774D01" w:rsidRDefault="00774D01">
      <w:pPr>
        <w:spacing w:before="120" w:after="0" w:line="360" w:lineRule="auto"/>
      </w:pPr>
      <w:r w:rsidRPr="000314E0">
        <w:rPr>
          <w:rFonts w:ascii="Arial" w:hAnsi="Arial" w:cs="Arial"/>
          <w:sz w:val="24"/>
          <w:szCs w:val="24"/>
        </w:rPr>
        <w:t xml:space="preserve">Where specialist workplace assessments are required, the </w:t>
      </w:r>
      <w:proofErr w:type="spellStart"/>
      <w:r w:rsidRPr="000314E0">
        <w:rPr>
          <w:rFonts w:ascii="Arial" w:hAnsi="Arial" w:cs="Arial"/>
          <w:sz w:val="24"/>
          <w:szCs w:val="24"/>
        </w:rPr>
        <w:t>JobAccess</w:t>
      </w:r>
      <w:proofErr w:type="spellEnd"/>
      <w:r w:rsidRPr="000314E0">
        <w:rPr>
          <w:rFonts w:ascii="Arial" w:hAnsi="Arial" w:cs="Arial"/>
          <w:sz w:val="24"/>
          <w:szCs w:val="24"/>
        </w:rPr>
        <w:t xml:space="preserve"> Scheme already provides site-based assessments through qualified assessors. The employment provider does not necessarily need to be physically located near either the jobseeker or the employer.</w:t>
      </w:r>
    </w:p>
    <w:p w14:paraId="16E0BA5F" w14:textId="77777777" w:rsidR="00774D01" w:rsidRDefault="00774D01">
      <w:pPr>
        <w:spacing w:before="120" w:after="0" w:line="360" w:lineRule="auto"/>
      </w:pPr>
      <w:r w:rsidRPr="000314E0">
        <w:rPr>
          <w:rFonts w:ascii="Arial" w:hAnsi="Arial" w:cs="Arial"/>
          <w:sz w:val="24"/>
          <w:szCs w:val="24"/>
        </w:rPr>
        <w:t>The critical factor should not be postcode. It should be capability. Employment services should be designed around access to expertise, not access to an office.</w:t>
      </w:r>
    </w:p>
    <w:p w14:paraId="1D2A7B30" w14:textId="593C4993" w:rsidR="00CE6490" w:rsidRPr="009806E1" w:rsidRDefault="00AD3597" w:rsidP="00447B13">
      <w:pPr>
        <w:pStyle w:val="Heading3"/>
      </w:pPr>
      <w:bookmarkStart w:id="25" w:name="_Toc236388445"/>
      <w:r>
        <w:t xml:space="preserve">3.5 </w:t>
      </w:r>
      <w:r w:rsidR="00CE6490" w:rsidRPr="009806E1">
        <w:t>Public reporting and accountability</w:t>
      </w:r>
      <w:bookmarkEnd w:id="25"/>
      <w:r w:rsidR="00CE6490" w:rsidRPr="009806E1">
        <w:t xml:space="preserve"> </w:t>
      </w:r>
    </w:p>
    <w:p w14:paraId="1272446F" w14:textId="49AD8E7D" w:rsidR="00774D01" w:rsidRDefault="00774D01">
      <w:pPr>
        <w:spacing w:before="120" w:after="0" w:line="360" w:lineRule="auto"/>
      </w:pPr>
      <w:r w:rsidRPr="4E0A3F49">
        <w:rPr>
          <w:rFonts w:ascii="Arial" w:hAnsi="Arial" w:cs="Arial"/>
          <w:sz w:val="24"/>
          <w:szCs w:val="24"/>
        </w:rPr>
        <w:t>The employment challenges faced by people who are blind or vision</w:t>
      </w:r>
      <w:r w:rsidR="280D0D76" w:rsidRPr="4E0A3F49">
        <w:rPr>
          <w:rFonts w:ascii="Arial" w:hAnsi="Arial" w:cs="Arial"/>
          <w:sz w:val="24"/>
          <w:szCs w:val="24"/>
        </w:rPr>
        <w:t xml:space="preserve"> impaired</w:t>
      </w:r>
      <w:r w:rsidRPr="4E0A3F49">
        <w:rPr>
          <w:rFonts w:ascii="Arial" w:hAnsi="Arial" w:cs="Arial"/>
          <w:sz w:val="24"/>
          <w:szCs w:val="24"/>
        </w:rPr>
        <w:t xml:space="preserve"> exist despite significant educational achievement.</w:t>
      </w:r>
    </w:p>
    <w:p w14:paraId="63BB7B15" w14:textId="208177B7" w:rsidR="00774D01" w:rsidRDefault="00774D01">
      <w:pPr>
        <w:spacing w:before="120" w:after="0" w:line="360" w:lineRule="auto"/>
      </w:pPr>
      <w:r w:rsidRPr="4E0A3F49">
        <w:rPr>
          <w:rFonts w:ascii="Arial" w:hAnsi="Arial" w:cs="Arial"/>
          <w:sz w:val="24"/>
          <w:szCs w:val="24"/>
        </w:rPr>
        <w:t>Research undertaken by the Department of Education, Skills and Employment found that students with disability are less likely to complete tertiary study than comparable peers. However, completion rates for students with vision impairment were reported at approximately 59 per cent</w:t>
      </w:r>
      <w:r w:rsidR="00240A40" w:rsidRPr="4E0A3F49">
        <w:rPr>
          <w:rFonts w:ascii="Arial" w:hAnsi="Arial" w:cs="Arial"/>
          <w:sz w:val="24"/>
          <w:szCs w:val="24"/>
        </w:rPr>
        <w:t xml:space="preserve"> (</w:t>
      </w:r>
      <w:hyperlink r:id="rId18">
        <w:r w:rsidR="001D3A1B" w:rsidRPr="4E0A3F49">
          <w:rPr>
            <w:rStyle w:val="Hyperlink"/>
            <w:rFonts w:ascii="Arial" w:hAnsi="Arial" w:cs="Arial"/>
            <w:sz w:val="24"/>
            <w:szCs w:val="24"/>
          </w:rPr>
          <w:t>https://www.aihw.gov.au/australias-disability-strategy/outcomes/education-and-learning/higher-education-completion</w:t>
        </w:r>
      </w:hyperlink>
      <w:r w:rsidR="001D3A1B" w:rsidRPr="4E0A3F49">
        <w:rPr>
          <w:rFonts w:ascii="Arial" w:hAnsi="Arial" w:cs="Arial"/>
          <w:sz w:val="24"/>
          <w:szCs w:val="24"/>
        </w:rPr>
        <w:t>)</w:t>
      </w:r>
      <w:r w:rsidRPr="4E0A3F49">
        <w:rPr>
          <w:rFonts w:ascii="Arial" w:hAnsi="Arial" w:cs="Arial"/>
          <w:sz w:val="24"/>
          <w:szCs w:val="24"/>
        </w:rPr>
        <w:t>.</w:t>
      </w:r>
    </w:p>
    <w:p w14:paraId="135183AB" w14:textId="79EBC24B" w:rsidR="00774D01" w:rsidRDefault="00774D01">
      <w:pPr>
        <w:spacing w:before="120" w:after="0" w:line="360" w:lineRule="auto"/>
      </w:pPr>
      <w:r w:rsidRPr="4E0A3F49">
        <w:rPr>
          <w:rFonts w:ascii="Arial" w:hAnsi="Arial" w:cs="Arial"/>
          <w:sz w:val="24"/>
          <w:szCs w:val="24"/>
        </w:rPr>
        <w:t>At the same time, approximately 12.4 per cent of domestic university students now report having a disability</w:t>
      </w:r>
      <w:r w:rsidR="00CD0202" w:rsidRPr="4E0A3F49">
        <w:rPr>
          <w:rFonts w:ascii="Arial" w:hAnsi="Arial" w:cs="Arial"/>
          <w:sz w:val="24"/>
          <w:szCs w:val="24"/>
        </w:rPr>
        <w:t xml:space="preserve"> (</w:t>
      </w:r>
      <w:hyperlink r:id="rId19">
        <w:r w:rsidR="00DD28C2" w:rsidRPr="4E0A3F49">
          <w:rPr>
            <w:rStyle w:val="Hyperlink"/>
            <w:rFonts w:ascii="Arial" w:hAnsi="Arial" w:cs="Arial"/>
            <w:sz w:val="24"/>
            <w:szCs w:val="24"/>
          </w:rPr>
          <w:t>https://www.unimelb.edu.au/accessibility/training/user-groups</w:t>
        </w:r>
      </w:hyperlink>
      <w:r w:rsidR="00DD28C2" w:rsidRPr="4E0A3F49">
        <w:rPr>
          <w:rFonts w:ascii="Arial" w:hAnsi="Arial" w:cs="Arial"/>
          <w:sz w:val="24"/>
          <w:szCs w:val="24"/>
        </w:rPr>
        <w:t>)</w:t>
      </w:r>
      <w:r w:rsidRPr="4E0A3F49">
        <w:rPr>
          <w:rFonts w:ascii="Arial" w:hAnsi="Arial" w:cs="Arial"/>
          <w:sz w:val="24"/>
          <w:szCs w:val="24"/>
        </w:rPr>
        <w:t>. Disability participation in higher education is no longer marginal. Yet employment outcomes for people who are blind or vision</w:t>
      </w:r>
      <w:r w:rsidR="683BFF4C" w:rsidRPr="4E0A3F49">
        <w:rPr>
          <w:rFonts w:ascii="Arial" w:hAnsi="Arial" w:cs="Arial"/>
          <w:sz w:val="24"/>
          <w:szCs w:val="24"/>
        </w:rPr>
        <w:t xml:space="preserve"> impaired</w:t>
      </w:r>
      <w:r w:rsidRPr="4E0A3F49">
        <w:rPr>
          <w:rFonts w:ascii="Arial" w:hAnsi="Arial" w:cs="Arial"/>
          <w:sz w:val="24"/>
          <w:szCs w:val="24"/>
        </w:rPr>
        <w:t xml:space="preserve"> continue to </w:t>
      </w:r>
      <w:proofErr w:type="gramStart"/>
      <w:r w:rsidR="41B94574" w:rsidRPr="4E0A3F49">
        <w:rPr>
          <w:rFonts w:ascii="Arial" w:hAnsi="Arial" w:cs="Arial"/>
          <w:sz w:val="24"/>
          <w:szCs w:val="24"/>
        </w:rPr>
        <w:t>lag</w:t>
      </w:r>
      <w:r w:rsidRPr="4E0A3F49">
        <w:rPr>
          <w:rFonts w:ascii="Arial" w:hAnsi="Arial" w:cs="Arial"/>
          <w:sz w:val="24"/>
          <w:szCs w:val="24"/>
        </w:rPr>
        <w:t xml:space="preserve"> </w:t>
      </w:r>
      <w:r w:rsidR="6DAF69E7" w:rsidRPr="4E0A3F49">
        <w:rPr>
          <w:rFonts w:ascii="Arial" w:hAnsi="Arial" w:cs="Arial"/>
          <w:sz w:val="24"/>
          <w:szCs w:val="24"/>
        </w:rPr>
        <w:t>behind</w:t>
      </w:r>
      <w:proofErr w:type="gramEnd"/>
      <w:r w:rsidR="6DAF69E7" w:rsidRPr="4E0A3F49">
        <w:rPr>
          <w:rFonts w:ascii="Arial" w:hAnsi="Arial" w:cs="Arial"/>
          <w:sz w:val="24"/>
          <w:szCs w:val="24"/>
        </w:rPr>
        <w:t xml:space="preserve"> </w:t>
      </w:r>
      <w:r w:rsidRPr="4E0A3F49">
        <w:rPr>
          <w:rFonts w:ascii="Arial" w:hAnsi="Arial" w:cs="Arial"/>
          <w:sz w:val="24"/>
          <w:szCs w:val="24"/>
        </w:rPr>
        <w:t>educational attainment. This suggests that the primary barrier is increasingly not educational achievement but labour market access.</w:t>
      </w:r>
    </w:p>
    <w:p w14:paraId="4659F2EC" w14:textId="3341045A" w:rsidR="00774D01" w:rsidRDefault="00774D01">
      <w:pPr>
        <w:spacing w:before="120" w:after="0" w:line="360" w:lineRule="auto"/>
      </w:pPr>
      <w:r w:rsidRPr="4E0A3F49">
        <w:rPr>
          <w:rFonts w:ascii="Arial" w:hAnsi="Arial" w:cs="Arial"/>
          <w:sz w:val="24"/>
          <w:szCs w:val="24"/>
        </w:rPr>
        <w:lastRenderedPageBreak/>
        <w:t>The evidence has been clear for many years. The</w:t>
      </w:r>
      <w:r w:rsidR="1F9D2023" w:rsidRPr="4E0A3F49">
        <w:rPr>
          <w:rFonts w:ascii="Arial" w:hAnsi="Arial" w:cs="Arial"/>
          <w:sz w:val="24"/>
          <w:szCs w:val="24"/>
        </w:rPr>
        <w:t xml:space="preserve"> Vision 2020</w:t>
      </w:r>
      <w:r w:rsidRPr="4E0A3F49">
        <w:rPr>
          <w:rFonts w:ascii="Arial" w:hAnsi="Arial" w:cs="Arial"/>
          <w:sz w:val="24"/>
          <w:szCs w:val="24"/>
        </w:rPr>
        <w:t xml:space="preserve"> Clear Focus report </w:t>
      </w:r>
      <w:r w:rsidR="00FF0368" w:rsidRPr="4E0A3F49">
        <w:rPr>
          <w:rFonts w:ascii="Arial" w:hAnsi="Arial" w:cs="Arial"/>
          <w:sz w:val="24"/>
          <w:szCs w:val="24"/>
        </w:rPr>
        <w:t>(</w:t>
      </w:r>
      <w:hyperlink r:id="rId20">
        <w:r w:rsidR="00CC323C" w:rsidRPr="4E0A3F49">
          <w:rPr>
            <w:rStyle w:val="Hyperlink"/>
            <w:rFonts w:ascii="Arial" w:hAnsi="Arial" w:cs="Arial"/>
            <w:sz w:val="24"/>
            <w:szCs w:val="24"/>
          </w:rPr>
          <w:t>https://v2020.org.au/resources/clear-focus-the-economic-impact-of-vision-loss-in-australia/</w:t>
        </w:r>
      </w:hyperlink>
      <w:r w:rsidR="00CC323C" w:rsidRPr="4E0A3F49">
        <w:rPr>
          <w:rFonts w:ascii="Arial" w:hAnsi="Arial" w:cs="Arial"/>
          <w:sz w:val="24"/>
          <w:szCs w:val="24"/>
        </w:rPr>
        <w:t xml:space="preserve">) </w:t>
      </w:r>
      <w:r w:rsidRPr="4E0A3F49">
        <w:rPr>
          <w:rFonts w:ascii="Arial" w:hAnsi="Arial" w:cs="Arial"/>
          <w:sz w:val="24"/>
          <w:szCs w:val="24"/>
        </w:rPr>
        <w:t>found that approximately 40 per cent of people who are blind or have low vision were discouraged workers, compared with 7.3 per cent of the general working-age population. The report also found underemployment among people with vision loss was approximately double the national average.</w:t>
      </w:r>
    </w:p>
    <w:p w14:paraId="019BDA94" w14:textId="77777777" w:rsidR="00774D01" w:rsidRDefault="00774D01">
      <w:pPr>
        <w:spacing w:before="120" w:after="0" w:line="360" w:lineRule="auto"/>
      </w:pPr>
      <w:r w:rsidRPr="007253A5">
        <w:rPr>
          <w:rFonts w:ascii="Arial" w:hAnsi="Arial" w:cs="Arial"/>
          <w:sz w:val="24"/>
          <w:szCs w:val="24"/>
        </w:rPr>
        <w:t>While initiatives such as the Australian Network on Disability’s Disability Confident Recruiter program encourage employers to improve inclusion practices, there is limited public reporting regarding the employment outcomes achieved through these initiatives. Greater transparency would help distinguish symbolic commitments from measurable workforce inclusion outcomes.</w:t>
      </w:r>
    </w:p>
    <w:p w14:paraId="624AD811" w14:textId="718F8E76" w:rsidR="00CE6490" w:rsidRPr="009806E1" w:rsidRDefault="00EB42DF" w:rsidP="00447B13">
      <w:pPr>
        <w:pStyle w:val="Heading3"/>
      </w:pPr>
      <w:bookmarkStart w:id="26" w:name="_Toc236388446"/>
      <w:r>
        <w:t xml:space="preserve">3.6 </w:t>
      </w:r>
      <w:r w:rsidR="00CE6490" w:rsidRPr="009806E1">
        <w:t>Require IEA provider</w:t>
      </w:r>
      <w:r>
        <w:t>s</w:t>
      </w:r>
      <w:r w:rsidR="00CE6490" w:rsidRPr="009806E1">
        <w:t xml:space="preserve"> to walk the talk</w:t>
      </w:r>
      <w:bookmarkEnd w:id="26"/>
      <w:r w:rsidR="00CE6490" w:rsidRPr="009806E1">
        <w:t xml:space="preserve"> </w:t>
      </w:r>
    </w:p>
    <w:p w14:paraId="683E337A" w14:textId="4F9AB60E" w:rsidR="00774D01" w:rsidRDefault="00774D01">
      <w:pPr>
        <w:spacing w:before="120" w:after="0" w:line="360" w:lineRule="auto"/>
      </w:pPr>
      <w:r w:rsidRPr="007331EF">
        <w:rPr>
          <w:rFonts w:ascii="Arial" w:hAnsi="Arial" w:cs="Arial"/>
          <w:sz w:val="24"/>
          <w:szCs w:val="24"/>
        </w:rPr>
        <w:t xml:space="preserve">The recent United Blind Leaders </w:t>
      </w:r>
      <w:r w:rsidR="00E54219">
        <w:rPr>
          <w:rFonts w:ascii="Arial" w:hAnsi="Arial" w:cs="Arial"/>
          <w:sz w:val="24"/>
          <w:szCs w:val="24"/>
        </w:rPr>
        <w:t>(</w:t>
      </w:r>
      <w:hyperlink r:id="rId21" w:history="1">
        <w:r w:rsidR="00E57E27" w:rsidRPr="00E66E31">
          <w:rPr>
            <w:rStyle w:val="Hyperlink"/>
            <w:rFonts w:ascii="Arial" w:hAnsi="Arial" w:cs="Arial"/>
            <w:sz w:val="24"/>
            <w:szCs w:val="24"/>
          </w:rPr>
          <w:t>https://unitedblindleaders.org/news-updates/ubl-update-webinar-recap-research-launch-and-free-embership?ss_source=sscampaigns&amp;ss_campaign_id=69d8957a5102a377969a7d6f&amp;ss_email_id=69d895e074fd1a04ef12f90e&amp;ss_campaign_name=UBL+Update%3A+Webinar+Recap%2C+Research+Launch%2C+and+Free+embership&amp;ss_campaign_sent_date=2026-04-10T06%3A17%3A08Z</w:t>
        </w:r>
      </w:hyperlink>
      <w:r w:rsidR="00E57E27">
        <w:rPr>
          <w:rFonts w:ascii="Arial" w:hAnsi="Arial" w:cs="Arial"/>
          <w:sz w:val="24"/>
          <w:szCs w:val="24"/>
        </w:rPr>
        <w:t xml:space="preserve"> ) </w:t>
      </w:r>
      <w:r w:rsidRPr="007331EF">
        <w:rPr>
          <w:rFonts w:ascii="Arial" w:hAnsi="Arial" w:cs="Arial"/>
          <w:sz w:val="24"/>
          <w:szCs w:val="24"/>
        </w:rPr>
        <w:t>environmental scan of 21 blindness organisations highlighted a broader issue regarding representation and decision-making. The report argues that inclusion is not simply about what decisions are made, but who is making them.</w:t>
      </w:r>
    </w:p>
    <w:p w14:paraId="779364A6" w14:textId="77777777" w:rsidR="00774D01" w:rsidRDefault="00774D01">
      <w:pPr>
        <w:spacing w:before="120" w:after="0" w:line="360" w:lineRule="auto"/>
      </w:pPr>
      <w:r w:rsidRPr="007331EF">
        <w:rPr>
          <w:rFonts w:ascii="Arial" w:hAnsi="Arial" w:cs="Arial"/>
          <w:sz w:val="24"/>
          <w:szCs w:val="24"/>
        </w:rPr>
        <w:t>The findings showed:</w:t>
      </w:r>
    </w:p>
    <w:p w14:paraId="260F67E9" w14:textId="77777777" w:rsidR="00774D01" w:rsidRPr="00BB72AF" w:rsidRDefault="00774D01">
      <w:pPr>
        <w:pStyle w:val="ListParagraph"/>
        <w:numPr>
          <w:ilvl w:val="0"/>
          <w:numId w:val="11"/>
        </w:numPr>
        <w:rPr>
          <w:kern w:val="2"/>
          <w:sz w:val="24"/>
          <w:szCs w:val="24"/>
          <w:lang w:eastAsia="en-AU"/>
          <w14:ligatures w14:val="standardContextual"/>
        </w:rPr>
      </w:pPr>
      <w:r w:rsidRPr="00BB72AF">
        <w:rPr>
          <w:rFonts w:ascii="Arial" w:hAnsi="Arial" w:cs="Arial"/>
          <w:sz w:val="24"/>
          <w:szCs w:val="24"/>
        </w:rPr>
        <w:t>only two organisations had a CEO with lived experience of blindness</w:t>
      </w:r>
    </w:p>
    <w:p w14:paraId="3812176F" w14:textId="77777777" w:rsidR="00774D01" w:rsidRPr="00BB72AF" w:rsidRDefault="00774D01">
      <w:pPr>
        <w:pStyle w:val="ListParagraph"/>
        <w:numPr>
          <w:ilvl w:val="0"/>
          <w:numId w:val="11"/>
        </w:numPr>
        <w:rPr>
          <w:sz w:val="24"/>
          <w:szCs w:val="24"/>
        </w:rPr>
      </w:pPr>
      <w:r w:rsidRPr="00BB72AF">
        <w:rPr>
          <w:rFonts w:ascii="Arial" w:hAnsi="Arial" w:cs="Arial"/>
          <w:sz w:val="24"/>
          <w:szCs w:val="24"/>
        </w:rPr>
        <w:t>most organisations lacked a clear leadership pipeline for blind people</w:t>
      </w:r>
    </w:p>
    <w:p w14:paraId="2919C33C" w14:textId="77777777" w:rsidR="00774D01" w:rsidRPr="00BB72AF" w:rsidRDefault="00774D01">
      <w:pPr>
        <w:pStyle w:val="ListParagraph"/>
        <w:numPr>
          <w:ilvl w:val="0"/>
          <w:numId w:val="11"/>
        </w:numPr>
        <w:rPr>
          <w:sz w:val="24"/>
          <w:szCs w:val="24"/>
        </w:rPr>
      </w:pPr>
      <w:r w:rsidRPr="00BB72AF">
        <w:rPr>
          <w:rFonts w:ascii="Arial" w:hAnsi="Arial" w:cs="Arial"/>
          <w:sz w:val="24"/>
          <w:szCs w:val="24"/>
        </w:rPr>
        <w:t>only 14 per cent had measurable employment targets</w:t>
      </w:r>
    </w:p>
    <w:p w14:paraId="5C639A54" w14:textId="77777777" w:rsidR="00774D01" w:rsidRPr="00BB72AF" w:rsidRDefault="00774D01">
      <w:pPr>
        <w:pStyle w:val="ListParagraph"/>
        <w:numPr>
          <w:ilvl w:val="0"/>
          <w:numId w:val="11"/>
        </w:numPr>
        <w:rPr>
          <w:sz w:val="24"/>
          <w:szCs w:val="24"/>
        </w:rPr>
      </w:pPr>
      <w:r w:rsidRPr="00BB72AF">
        <w:rPr>
          <w:rFonts w:ascii="Arial" w:hAnsi="Arial" w:cs="Arial"/>
          <w:sz w:val="24"/>
          <w:szCs w:val="24"/>
        </w:rPr>
        <w:t>only one organisation had targets for management positions.</w:t>
      </w:r>
    </w:p>
    <w:p w14:paraId="5D692C5A" w14:textId="77777777" w:rsidR="00774D01" w:rsidRDefault="00774D01">
      <w:pPr>
        <w:spacing w:before="120" w:after="0" w:line="360" w:lineRule="auto"/>
      </w:pPr>
      <w:r w:rsidRPr="007331EF">
        <w:rPr>
          <w:rFonts w:ascii="Arial" w:hAnsi="Arial" w:cs="Arial"/>
          <w:sz w:val="24"/>
          <w:szCs w:val="24"/>
        </w:rPr>
        <w:t xml:space="preserve">These findings raise important questions for employment service providers themselves. Employment providers regularly advise employers on disability inclusion, workforce diversity and equitable recruitment. Yet there appears to be little public reporting regarding how many people with disability they employ, at what </w:t>
      </w:r>
      <w:r w:rsidRPr="007331EF">
        <w:rPr>
          <w:rFonts w:ascii="Arial" w:hAnsi="Arial" w:cs="Arial"/>
          <w:sz w:val="24"/>
          <w:szCs w:val="24"/>
        </w:rPr>
        <w:lastRenderedPageBreak/>
        <w:t>organisational levels, and whether they maintain measurable disability employment targets.</w:t>
      </w:r>
    </w:p>
    <w:p w14:paraId="30B0B7E1" w14:textId="77777777" w:rsidR="00774D01" w:rsidRDefault="00774D01">
      <w:pPr>
        <w:spacing w:before="120" w:after="0" w:line="360" w:lineRule="auto"/>
      </w:pPr>
      <w:r w:rsidRPr="007331EF">
        <w:rPr>
          <w:rFonts w:ascii="Arial" w:hAnsi="Arial" w:cs="Arial"/>
          <w:sz w:val="24"/>
          <w:szCs w:val="24"/>
        </w:rPr>
        <w:t>If employment providers are expected to lead employers toward inclusive hiring practices, they should demonstrate those practices within their own organisations.</w:t>
      </w:r>
    </w:p>
    <w:p w14:paraId="238503C8" w14:textId="77777777" w:rsidR="00774D01" w:rsidRDefault="00774D01">
      <w:pPr>
        <w:spacing w:before="120" w:after="0" w:line="360" w:lineRule="auto"/>
      </w:pPr>
      <w:r w:rsidRPr="4E0A3F49">
        <w:rPr>
          <w:rFonts w:ascii="Arial" w:hAnsi="Arial" w:cs="Arial"/>
          <w:sz w:val="24"/>
          <w:szCs w:val="24"/>
        </w:rPr>
        <w:t>The emphasis within Australia’s Disability Strategy 2021-2031 on accountability, inclusion and measurable outcomes further supports the need for stronger public reporting regarding employment participation and leadership representation within disability employment services.</w:t>
      </w:r>
    </w:p>
    <w:p w14:paraId="413E2094" w14:textId="3E0CA8C3" w:rsidR="00CE6490" w:rsidRPr="009806E1" w:rsidRDefault="00EB42DF" w:rsidP="00447B13">
      <w:pPr>
        <w:pStyle w:val="Heading3"/>
      </w:pPr>
      <w:bookmarkStart w:id="27" w:name="_Toc236388447"/>
      <w:r>
        <w:t xml:space="preserve">3.7 </w:t>
      </w:r>
      <w:r w:rsidR="00CE6490" w:rsidRPr="009806E1">
        <w:t>Expand the reporting framework</w:t>
      </w:r>
      <w:bookmarkEnd w:id="27"/>
      <w:r w:rsidR="00CE6490" w:rsidRPr="009806E1">
        <w:t xml:space="preserve"> </w:t>
      </w:r>
    </w:p>
    <w:p w14:paraId="206750D2" w14:textId="77777777" w:rsidR="00774D01" w:rsidRDefault="00774D01">
      <w:pPr>
        <w:spacing w:before="120" w:after="0" w:line="360" w:lineRule="auto"/>
      </w:pPr>
      <w:r w:rsidRPr="003878CE">
        <w:rPr>
          <w:rFonts w:ascii="Arial" w:hAnsi="Arial" w:cs="Arial"/>
          <w:sz w:val="24"/>
          <w:szCs w:val="24"/>
        </w:rPr>
        <w:t xml:space="preserve">The Inclusive Employment Australia reporting framework should be expanded to include publicly available performance metrics for specialist disability providers. Current reporting provides useful information regarding participant demographics and program participation but does not enable participants, policymakers or disability advocates to assess the effectiveness of specialist providers serving </w:t>
      </w:r>
      <w:proofErr w:type="gramStart"/>
      <w:r w:rsidRPr="003878CE">
        <w:rPr>
          <w:rFonts w:ascii="Arial" w:hAnsi="Arial" w:cs="Arial"/>
          <w:sz w:val="24"/>
          <w:szCs w:val="24"/>
        </w:rPr>
        <w:t>particular disability</w:t>
      </w:r>
      <w:proofErr w:type="gramEnd"/>
      <w:r w:rsidRPr="003878CE">
        <w:rPr>
          <w:rFonts w:ascii="Arial" w:hAnsi="Arial" w:cs="Arial"/>
          <w:sz w:val="24"/>
          <w:szCs w:val="24"/>
        </w:rPr>
        <w:t xml:space="preserve"> cohorts.</w:t>
      </w:r>
    </w:p>
    <w:p w14:paraId="4754A8D3" w14:textId="4D2E3DFF" w:rsidR="00774D01" w:rsidRDefault="00774D01">
      <w:pPr>
        <w:spacing w:before="120" w:after="0" w:line="360" w:lineRule="auto"/>
      </w:pPr>
      <w:r w:rsidRPr="4E0A3F49">
        <w:rPr>
          <w:rFonts w:ascii="Arial" w:hAnsi="Arial" w:cs="Arial"/>
          <w:sz w:val="24"/>
          <w:szCs w:val="24"/>
        </w:rPr>
        <w:t>For people who are blind or vision</w:t>
      </w:r>
      <w:r w:rsidR="5D82EB05" w:rsidRPr="4E0A3F49">
        <w:rPr>
          <w:rFonts w:ascii="Arial" w:hAnsi="Arial" w:cs="Arial"/>
          <w:sz w:val="24"/>
          <w:szCs w:val="24"/>
        </w:rPr>
        <w:t xml:space="preserve"> impaired</w:t>
      </w:r>
      <w:r w:rsidRPr="4E0A3F49">
        <w:rPr>
          <w:rFonts w:ascii="Arial" w:hAnsi="Arial" w:cs="Arial"/>
          <w:sz w:val="24"/>
          <w:szCs w:val="24"/>
        </w:rPr>
        <w:t>, there is currently no publicly available data showing whether specialist providers are achieving better employment outcomes, stronger retention rates, higher participant satisfaction or improved employer engagement.</w:t>
      </w:r>
    </w:p>
    <w:p w14:paraId="23F0558F" w14:textId="77777777" w:rsidR="00774D01" w:rsidRDefault="00774D01">
      <w:pPr>
        <w:spacing w:before="120" w:after="0" w:line="360" w:lineRule="auto"/>
      </w:pPr>
      <w:r w:rsidRPr="003878CE">
        <w:rPr>
          <w:rFonts w:ascii="Arial" w:hAnsi="Arial" w:cs="Arial"/>
          <w:sz w:val="24"/>
          <w:szCs w:val="24"/>
        </w:rPr>
        <w:t>Transparency is particularly important where participants have limited provider choice. At a minimum, reporting should include:</w:t>
      </w:r>
    </w:p>
    <w:p w14:paraId="0262F82F" w14:textId="77777777" w:rsidR="00774D01" w:rsidRPr="00BB72AF" w:rsidRDefault="00774D01">
      <w:pPr>
        <w:pStyle w:val="ListParagraph"/>
        <w:numPr>
          <w:ilvl w:val="0"/>
          <w:numId w:val="12"/>
        </w:numPr>
        <w:rPr>
          <w:kern w:val="2"/>
          <w:sz w:val="24"/>
          <w:szCs w:val="24"/>
          <w:lang w:eastAsia="en-AU"/>
          <w14:ligatures w14:val="standardContextual"/>
        </w:rPr>
      </w:pPr>
      <w:r w:rsidRPr="00BB72AF">
        <w:rPr>
          <w:rFonts w:ascii="Arial" w:hAnsi="Arial" w:cs="Arial"/>
          <w:sz w:val="24"/>
          <w:szCs w:val="24"/>
        </w:rPr>
        <w:t>employment outcomes</w:t>
      </w:r>
    </w:p>
    <w:p w14:paraId="29D7DAF9" w14:textId="77777777" w:rsidR="00774D01" w:rsidRPr="00BB72AF" w:rsidRDefault="00774D01">
      <w:pPr>
        <w:pStyle w:val="ListParagraph"/>
        <w:numPr>
          <w:ilvl w:val="0"/>
          <w:numId w:val="12"/>
        </w:numPr>
        <w:rPr>
          <w:sz w:val="24"/>
          <w:szCs w:val="24"/>
        </w:rPr>
      </w:pPr>
      <w:r w:rsidRPr="00BB72AF">
        <w:rPr>
          <w:rFonts w:ascii="Arial" w:hAnsi="Arial" w:cs="Arial"/>
          <w:sz w:val="24"/>
          <w:szCs w:val="24"/>
        </w:rPr>
        <w:t>retention outcomes</w:t>
      </w:r>
    </w:p>
    <w:p w14:paraId="58F84944" w14:textId="77777777" w:rsidR="00774D01" w:rsidRPr="00BB72AF" w:rsidRDefault="00774D01">
      <w:pPr>
        <w:pStyle w:val="ListParagraph"/>
        <w:numPr>
          <w:ilvl w:val="0"/>
          <w:numId w:val="12"/>
        </w:numPr>
        <w:rPr>
          <w:sz w:val="24"/>
          <w:szCs w:val="24"/>
        </w:rPr>
      </w:pPr>
      <w:r w:rsidRPr="00BB72AF">
        <w:rPr>
          <w:rFonts w:ascii="Arial" w:hAnsi="Arial" w:cs="Arial"/>
          <w:sz w:val="24"/>
          <w:szCs w:val="24"/>
        </w:rPr>
        <w:t>participant satisfaction</w:t>
      </w:r>
    </w:p>
    <w:p w14:paraId="481F9922" w14:textId="77777777" w:rsidR="00774D01" w:rsidRPr="00BB72AF" w:rsidRDefault="00774D01">
      <w:pPr>
        <w:pStyle w:val="ListParagraph"/>
        <w:numPr>
          <w:ilvl w:val="0"/>
          <w:numId w:val="12"/>
        </w:numPr>
        <w:rPr>
          <w:sz w:val="24"/>
          <w:szCs w:val="24"/>
        </w:rPr>
      </w:pPr>
      <w:r w:rsidRPr="00BB72AF">
        <w:rPr>
          <w:rFonts w:ascii="Arial" w:hAnsi="Arial" w:cs="Arial"/>
          <w:sz w:val="24"/>
          <w:szCs w:val="24"/>
        </w:rPr>
        <w:t>employer satisfaction</w:t>
      </w:r>
    </w:p>
    <w:p w14:paraId="7F42889C" w14:textId="77777777" w:rsidR="00774D01" w:rsidRPr="00BB72AF" w:rsidRDefault="00774D01">
      <w:pPr>
        <w:pStyle w:val="ListParagraph"/>
        <w:numPr>
          <w:ilvl w:val="0"/>
          <w:numId w:val="12"/>
        </w:numPr>
        <w:rPr>
          <w:sz w:val="24"/>
          <w:szCs w:val="24"/>
        </w:rPr>
      </w:pPr>
      <w:r w:rsidRPr="00BB72AF">
        <w:rPr>
          <w:rFonts w:ascii="Arial" w:hAnsi="Arial" w:cs="Arial"/>
          <w:sz w:val="24"/>
          <w:szCs w:val="24"/>
        </w:rPr>
        <w:t>outcomes by disability cohort</w:t>
      </w:r>
    </w:p>
    <w:p w14:paraId="367FD204" w14:textId="77777777" w:rsidR="00774D01" w:rsidRPr="00BB72AF" w:rsidRDefault="00774D01">
      <w:pPr>
        <w:pStyle w:val="ListParagraph"/>
        <w:numPr>
          <w:ilvl w:val="0"/>
          <w:numId w:val="12"/>
        </w:numPr>
        <w:rPr>
          <w:sz w:val="24"/>
          <w:szCs w:val="24"/>
        </w:rPr>
      </w:pPr>
      <w:r w:rsidRPr="00BB72AF">
        <w:rPr>
          <w:rFonts w:ascii="Arial" w:hAnsi="Arial" w:cs="Arial"/>
          <w:sz w:val="24"/>
          <w:szCs w:val="24"/>
        </w:rPr>
        <w:t>graduate employment outcomes.</w:t>
      </w:r>
    </w:p>
    <w:p w14:paraId="1E579F87" w14:textId="77777777" w:rsidR="00774D01" w:rsidRDefault="00774D01">
      <w:pPr>
        <w:spacing w:before="120" w:after="0" w:line="360" w:lineRule="auto"/>
      </w:pPr>
      <w:r w:rsidRPr="003878CE">
        <w:rPr>
          <w:rFonts w:ascii="Arial" w:hAnsi="Arial" w:cs="Arial"/>
          <w:sz w:val="24"/>
          <w:szCs w:val="24"/>
        </w:rPr>
        <w:t>What gets measured gets managed. If specialist disability expertise is valued, it should be visible within the public performance framework and whether outcomes improve over time.</w:t>
      </w:r>
    </w:p>
    <w:p w14:paraId="1734290E" w14:textId="34976288" w:rsidR="000C52FA" w:rsidRDefault="0000125C" w:rsidP="00447B13">
      <w:pPr>
        <w:pStyle w:val="Heading3"/>
      </w:pPr>
      <w:bookmarkStart w:id="28" w:name="_Toc236388448"/>
      <w:r>
        <w:lastRenderedPageBreak/>
        <w:t xml:space="preserve">3.8 </w:t>
      </w:r>
      <w:r w:rsidR="0061275D" w:rsidRPr="0061275D">
        <w:t>A systems theory perspective</w:t>
      </w:r>
      <w:bookmarkEnd w:id="28"/>
    </w:p>
    <w:p w14:paraId="757267F1" w14:textId="77777777" w:rsidR="00774D01" w:rsidRDefault="00774D01">
      <w:pPr>
        <w:spacing w:before="120" w:after="0" w:line="360" w:lineRule="auto"/>
      </w:pPr>
      <w:r>
        <w:rPr>
          <w:rFonts w:ascii="Arial" w:hAnsi="Arial" w:cs="Arial"/>
          <w:sz w:val="24"/>
          <w:szCs w:val="24"/>
        </w:rPr>
        <w:t>Many of the issues identified throughout this submission reflect broader structural characteristics of the employment services system rather than isolated operational problems.</w:t>
      </w:r>
    </w:p>
    <w:p w14:paraId="5BEBA07B" w14:textId="04E58863" w:rsidR="00774D01" w:rsidRDefault="00774D01">
      <w:pPr>
        <w:spacing w:before="120" w:after="0" w:line="360" w:lineRule="auto"/>
      </w:pPr>
      <w:r w:rsidRPr="4E0A3F49">
        <w:rPr>
          <w:rFonts w:ascii="Arial" w:hAnsi="Arial" w:cs="Arial"/>
          <w:sz w:val="24"/>
          <w:szCs w:val="24"/>
        </w:rPr>
        <w:t>A systems theory perspective highlights that employment outcomes for people who are blind or vision</w:t>
      </w:r>
      <w:r w:rsidR="30D98600" w:rsidRPr="4E0A3F49">
        <w:rPr>
          <w:rFonts w:ascii="Arial" w:hAnsi="Arial" w:cs="Arial"/>
          <w:sz w:val="24"/>
          <w:szCs w:val="24"/>
        </w:rPr>
        <w:t xml:space="preserve"> impaired</w:t>
      </w:r>
      <w:r w:rsidRPr="4E0A3F49">
        <w:rPr>
          <w:rFonts w:ascii="Arial" w:hAnsi="Arial" w:cs="Arial"/>
          <w:sz w:val="24"/>
          <w:szCs w:val="24"/>
        </w:rPr>
        <w:t xml:space="preserve"> are not determined by a single factor such as individual motivation, job readiness or provider performance. Instead, outcomes emerge from the interaction of multiple interconnected systems including government policy, employment services, education, employers, technology, disability support services and labour market structures.</w:t>
      </w:r>
    </w:p>
    <w:p w14:paraId="14FF00F0" w14:textId="77777777" w:rsidR="00774D01" w:rsidRDefault="00774D01">
      <w:pPr>
        <w:spacing w:before="120" w:after="0" w:line="360" w:lineRule="auto"/>
      </w:pPr>
      <w:r>
        <w:rPr>
          <w:rFonts w:ascii="Arial" w:hAnsi="Arial" w:cs="Arial"/>
          <w:sz w:val="24"/>
          <w:szCs w:val="24"/>
        </w:rPr>
        <w:t>Viewed through a systems lens, many of the challenges identified in this submission are symptoms of structural fragmentation and misaligned incentives across the broader employment ecosystem.</w:t>
      </w:r>
    </w:p>
    <w:p w14:paraId="067D80B4" w14:textId="77777777" w:rsidR="00774D01" w:rsidRDefault="00774D01">
      <w:pPr>
        <w:spacing w:before="120" w:after="0" w:line="360" w:lineRule="auto"/>
      </w:pPr>
      <w:r>
        <w:rPr>
          <w:rFonts w:ascii="Arial" w:hAnsi="Arial" w:cs="Arial"/>
          <w:sz w:val="24"/>
          <w:szCs w:val="24"/>
        </w:rPr>
        <w:t>The current employment services model largely treats unemployment as an individual problem to be managed through compliance, case management and job search activity. Systems theory suggests this approach is incomplete because employment outcomes are heavily shaped by interactions between systems rather than by the actions of the jobseeker alone.</w:t>
      </w:r>
    </w:p>
    <w:p w14:paraId="7EFE6CE8" w14:textId="77777777" w:rsidR="00774D01" w:rsidRDefault="00774D01">
      <w:pPr>
        <w:spacing w:before="120" w:after="0" w:line="360" w:lineRule="auto"/>
      </w:pPr>
      <w:r>
        <w:rPr>
          <w:rFonts w:ascii="Arial" w:hAnsi="Arial" w:cs="Arial"/>
          <w:sz w:val="24"/>
          <w:szCs w:val="24"/>
        </w:rPr>
        <w:t>For example, a highly qualified jobseeker who is blind may still experience unemployment due to:</w:t>
      </w:r>
    </w:p>
    <w:p w14:paraId="1D0F28AF" w14:textId="77777777" w:rsidR="00774D01" w:rsidRPr="00BB72AF" w:rsidRDefault="00774D01">
      <w:pPr>
        <w:pStyle w:val="ListParagraph"/>
        <w:numPr>
          <w:ilvl w:val="0"/>
          <w:numId w:val="13"/>
        </w:numPr>
        <w:rPr>
          <w:kern w:val="2"/>
          <w:sz w:val="24"/>
          <w:szCs w:val="24"/>
          <w:lang w:eastAsia="en-AU"/>
          <w14:ligatures w14:val="standardContextual"/>
        </w:rPr>
      </w:pPr>
      <w:r w:rsidRPr="00BB72AF">
        <w:rPr>
          <w:rFonts w:ascii="Arial" w:hAnsi="Arial" w:cs="Arial"/>
          <w:sz w:val="24"/>
          <w:szCs w:val="24"/>
        </w:rPr>
        <w:t>inaccessible recruitment platforms</w:t>
      </w:r>
    </w:p>
    <w:p w14:paraId="6998921F" w14:textId="77777777" w:rsidR="00774D01" w:rsidRPr="00BB72AF" w:rsidRDefault="00774D01">
      <w:pPr>
        <w:pStyle w:val="ListParagraph"/>
        <w:numPr>
          <w:ilvl w:val="0"/>
          <w:numId w:val="13"/>
        </w:numPr>
        <w:rPr>
          <w:sz w:val="24"/>
          <w:szCs w:val="24"/>
        </w:rPr>
      </w:pPr>
      <w:r w:rsidRPr="00BB72AF">
        <w:rPr>
          <w:rFonts w:ascii="Arial" w:hAnsi="Arial" w:cs="Arial"/>
          <w:sz w:val="24"/>
          <w:szCs w:val="24"/>
        </w:rPr>
        <w:t>employer assumptions regarding productivity or workplace adjustments</w:t>
      </w:r>
    </w:p>
    <w:p w14:paraId="1D2A9338" w14:textId="77777777" w:rsidR="00774D01" w:rsidRPr="00BB72AF" w:rsidRDefault="00774D01">
      <w:pPr>
        <w:pStyle w:val="ListParagraph"/>
        <w:numPr>
          <w:ilvl w:val="0"/>
          <w:numId w:val="13"/>
        </w:numPr>
        <w:rPr>
          <w:sz w:val="24"/>
          <w:szCs w:val="24"/>
        </w:rPr>
      </w:pPr>
      <w:r w:rsidRPr="00BB72AF">
        <w:rPr>
          <w:rFonts w:ascii="Arial" w:hAnsi="Arial" w:cs="Arial"/>
          <w:sz w:val="24"/>
          <w:szCs w:val="24"/>
        </w:rPr>
        <w:t>limited assistive technology knowledge</w:t>
      </w:r>
    </w:p>
    <w:p w14:paraId="055E8AA9" w14:textId="77777777" w:rsidR="00774D01" w:rsidRPr="00BB72AF" w:rsidRDefault="00774D01">
      <w:pPr>
        <w:pStyle w:val="ListParagraph"/>
        <w:numPr>
          <w:ilvl w:val="0"/>
          <w:numId w:val="13"/>
        </w:numPr>
        <w:rPr>
          <w:sz w:val="24"/>
          <w:szCs w:val="24"/>
        </w:rPr>
      </w:pPr>
      <w:r w:rsidRPr="00BB72AF">
        <w:rPr>
          <w:rFonts w:ascii="Arial" w:hAnsi="Arial" w:cs="Arial"/>
          <w:sz w:val="24"/>
          <w:szCs w:val="24"/>
        </w:rPr>
        <w:t>fragmented coordination between employment providers and workplace assessment services</w:t>
      </w:r>
    </w:p>
    <w:p w14:paraId="16FA3B88" w14:textId="77777777" w:rsidR="00774D01" w:rsidRPr="00BB72AF" w:rsidRDefault="00774D01">
      <w:pPr>
        <w:pStyle w:val="ListParagraph"/>
        <w:numPr>
          <w:ilvl w:val="0"/>
          <w:numId w:val="13"/>
        </w:numPr>
        <w:rPr>
          <w:sz w:val="24"/>
          <w:szCs w:val="24"/>
        </w:rPr>
      </w:pPr>
      <w:r w:rsidRPr="00BB72AF">
        <w:rPr>
          <w:rFonts w:ascii="Arial" w:hAnsi="Arial" w:cs="Arial"/>
          <w:sz w:val="24"/>
          <w:szCs w:val="24"/>
        </w:rPr>
        <w:t>inconsistent consultant capability</w:t>
      </w:r>
    </w:p>
    <w:p w14:paraId="18CA847C" w14:textId="77777777" w:rsidR="00774D01" w:rsidRPr="00BB72AF" w:rsidRDefault="00774D01">
      <w:pPr>
        <w:pStyle w:val="ListParagraph"/>
        <w:numPr>
          <w:ilvl w:val="0"/>
          <w:numId w:val="13"/>
        </w:numPr>
        <w:rPr>
          <w:sz w:val="24"/>
          <w:szCs w:val="24"/>
        </w:rPr>
      </w:pPr>
      <w:r w:rsidRPr="00BB72AF">
        <w:rPr>
          <w:rFonts w:ascii="Arial" w:hAnsi="Arial" w:cs="Arial"/>
          <w:sz w:val="24"/>
          <w:szCs w:val="24"/>
        </w:rPr>
        <w:t>funding models that prioritise rapid placements over long-term career development.</w:t>
      </w:r>
    </w:p>
    <w:p w14:paraId="364F0A34" w14:textId="77777777" w:rsidR="00774D01" w:rsidRDefault="00774D01">
      <w:pPr>
        <w:spacing w:before="120" w:after="0" w:line="360" w:lineRule="auto"/>
      </w:pPr>
      <w:r>
        <w:rPr>
          <w:rFonts w:ascii="Arial" w:hAnsi="Arial" w:cs="Arial"/>
          <w:sz w:val="24"/>
          <w:szCs w:val="24"/>
        </w:rPr>
        <w:t>Under systems theory, these barriers are interconnected. Weakness in one part of the system can undermine outcomes across the entire employment pathway.</w:t>
      </w:r>
    </w:p>
    <w:p w14:paraId="6B1BEBC5" w14:textId="77777777" w:rsidR="00774D01" w:rsidRDefault="00774D01">
      <w:pPr>
        <w:spacing w:before="120" w:after="0" w:line="360" w:lineRule="auto"/>
      </w:pPr>
      <w:r w:rsidRPr="4E0A3F49">
        <w:rPr>
          <w:rFonts w:ascii="Arial" w:hAnsi="Arial" w:cs="Arial"/>
          <w:sz w:val="24"/>
          <w:szCs w:val="24"/>
        </w:rPr>
        <w:t>The current system demonstrates several characteristics of a poorly integrated service system.</w:t>
      </w:r>
    </w:p>
    <w:p w14:paraId="5A5BD763" w14:textId="66F1590B" w:rsidR="00774D01" w:rsidRDefault="00774D01">
      <w:pPr>
        <w:spacing w:before="120" w:after="0" w:line="360" w:lineRule="auto"/>
      </w:pPr>
      <w:r w:rsidRPr="4E0A3F49">
        <w:rPr>
          <w:rStyle w:val="Heading4Char"/>
          <w:b/>
          <w:sz w:val="24"/>
        </w:rPr>
        <w:lastRenderedPageBreak/>
        <w:t>Fragmentation and siloed functions</w:t>
      </w:r>
      <w:r w:rsidR="50D9B7F5" w:rsidRPr="4E0A3F49">
        <w:rPr>
          <w:rStyle w:val="Heading4Char"/>
          <w:b/>
          <w:sz w:val="24"/>
        </w:rPr>
        <w:t>:</w:t>
      </w:r>
      <w:r w:rsidR="50D9B7F5" w:rsidRPr="4E0A3F49">
        <w:rPr>
          <w:rStyle w:val="Heading4Char"/>
        </w:rPr>
        <w:t xml:space="preserve"> </w:t>
      </w:r>
      <w:r w:rsidRPr="4E0A3F49">
        <w:rPr>
          <w:rFonts w:ascii="Arial" w:hAnsi="Arial" w:cs="Arial"/>
          <w:sz w:val="24"/>
          <w:szCs w:val="24"/>
        </w:rPr>
        <w:t xml:space="preserve">Programs such as Inclusive Employment Australia, the NDIS and </w:t>
      </w:r>
      <w:proofErr w:type="spellStart"/>
      <w:r w:rsidRPr="4E0A3F49">
        <w:rPr>
          <w:rFonts w:ascii="Arial" w:hAnsi="Arial" w:cs="Arial"/>
          <w:sz w:val="24"/>
          <w:szCs w:val="24"/>
        </w:rPr>
        <w:t>JobAccess</w:t>
      </w:r>
      <w:proofErr w:type="spellEnd"/>
      <w:r w:rsidRPr="4E0A3F49">
        <w:rPr>
          <w:rFonts w:ascii="Arial" w:hAnsi="Arial" w:cs="Arial"/>
          <w:sz w:val="24"/>
          <w:szCs w:val="24"/>
        </w:rPr>
        <w:t xml:space="preserve"> operate under separate funding and accountability arrangements, yet participants experience them as part of a single support ecosystem. Where coordination is weak, participants may encounter duplication, service gaps or unclear accountability.</w:t>
      </w:r>
    </w:p>
    <w:p w14:paraId="04C815C9" w14:textId="1307E23D" w:rsidR="00774D01" w:rsidRDefault="00774D01">
      <w:pPr>
        <w:spacing w:before="120" w:after="0" w:line="360" w:lineRule="auto"/>
      </w:pPr>
      <w:r w:rsidRPr="4E0A3F49">
        <w:rPr>
          <w:rStyle w:val="Heading4Char"/>
          <w:b/>
          <w:sz w:val="24"/>
        </w:rPr>
        <w:t>Misaligned incentives</w:t>
      </w:r>
      <w:r w:rsidR="4332454C" w:rsidRPr="4E0A3F49">
        <w:rPr>
          <w:rStyle w:val="Heading4Char"/>
          <w:b/>
          <w:sz w:val="24"/>
        </w:rPr>
        <w:t>:</w:t>
      </w:r>
      <w:r w:rsidR="4332454C" w:rsidRPr="4E0A3F49">
        <w:rPr>
          <w:rStyle w:val="Heading4Char"/>
        </w:rPr>
        <w:t xml:space="preserve"> </w:t>
      </w:r>
      <w:r w:rsidRPr="4E0A3F49">
        <w:rPr>
          <w:rFonts w:ascii="Arial" w:hAnsi="Arial" w:cs="Arial"/>
          <w:sz w:val="24"/>
          <w:szCs w:val="24"/>
        </w:rPr>
        <w:t>Provider performance frameworks often reward short-term placement outcomes rather than sustainable employment, career progression or employer capability building. Systems theory suggests that systems tend to produce the outcomes they are designed and incentivised to produce. If the system primarily measures rapid placements, providers will naturally prioritise those outcomes over long-term employment quality.</w:t>
      </w:r>
    </w:p>
    <w:p w14:paraId="64B40337" w14:textId="36908B78" w:rsidR="00774D01" w:rsidRDefault="00774D01">
      <w:pPr>
        <w:spacing w:before="120" w:after="0" w:line="360" w:lineRule="auto"/>
      </w:pPr>
      <w:r w:rsidRPr="4E0A3F49">
        <w:rPr>
          <w:rStyle w:val="Heading4Char"/>
          <w:b/>
          <w:sz w:val="24"/>
        </w:rPr>
        <w:t>Over-reliance on geography</w:t>
      </w:r>
      <w:r w:rsidR="34036730" w:rsidRPr="4E0A3F49">
        <w:rPr>
          <w:rStyle w:val="Heading4Char"/>
          <w:b/>
          <w:sz w:val="24"/>
        </w:rPr>
        <w:t>:</w:t>
      </w:r>
      <w:r w:rsidR="34036730" w:rsidRPr="4E0A3F49">
        <w:rPr>
          <w:rStyle w:val="Heading4Char"/>
        </w:rPr>
        <w:t xml:space="preserve"> </w:t>
      </w:r>
      <w:r w:rsidRPr="4E0A3F49">
        <w:rPr>
          <w:rFonts w:ascii="Arial" w:hAnsi="Arial" w:cs="Arial"/>
          <w:sz w:val="24"/>
          <w:szCs w:val="24"/>
        </w:rPr>
        <w:t>The current model allocates specialist support largely according to location rather than expertise. This constrains access to specialist knowledge through administrative boundaries rather than participant need.</w:t>
      </w:r>
    </w:p>
    <w:p w14:paraId="48B917F0" w14:textId="27C665DC" w:rsidR="00774D01" w:rsidRDefault="00774D01">
      <w:pPr>
        <w:spacing w:before="120" w:after="0" w:line="360" w:lineRule="auto"/>
      </w:pPr>
      <w:r w:rsidRPr="4E0A3F49">
        <w:rPr>
          <w:rStyle w:val="Heading4Char"/>
          <w:b/>
          <w:sz w:val="24"/>
        </w:rPr>
        <w:t>Lack of feedback transparency</w:t>
      </w:r>
      <w:r w:rsidR="635C735C" w:rsidRPr="4E0A3F49">
        <w:rPr>
          <w:rStyle w:val="Heading4Char"/>
          <w:b/>
          <w:sz w:val="24"/>
        </w:rPr>
        <w:t>:</w:t>
      </w:r>
      <w:r w:rsidR="635C735C" w:rsidRPr="4E0A3F49">
        <w:rPr>
          <w:rStyle w:val="Heading4Char"/>
        </w:rPr>
        <w:t xml:space="preserve"> </w:t>
      </w:r>
      <w:r w:rsidRPr="4E0A3F49">
        <w:rPr>
          <w:rFonts w:ascii="Arial" w:hAnsi="Arial" w:cs="Arial"/>
          <w:sz w:val="24"/>
          <w:szCs w:val="24"/>
        </w:rPr>
        <w:t>Effective systems rely on feedback loops to identify whether interventions are working. The lack of publicly available specialist-provider performance data limits the ability of participants, policymakers and advocates to assess system effectiveness and identify areas requiring improvement.</w:t>
      </w:r>
    </w:p>
    <w:p w14:paraId="4A29DF91" w14:textId="365B2305" w:rsidR="00774D01" w:rsidRDefault="00774D01">
      <w:pPr>
        <w:spacing w:before="120" w:after="0" w:line="360" w:lineRule="auto"/>
      </w:pPr>
      <w:r w:rsidRPr="4E0A3F49">
        <w:rPr>
          <w:rStyle w:val="Heading4Char"/>
          <w:b/>
          <w:sz w:val="24"/>
        </w:rPr>
        <w:t>Digital accessibility failures</w:t>
      </w:r>
      <w:r w:rsidR="0CA1AEF1" w:rsidRPr="4E0A3F49">
        <w:rPr>
          <w:rStyle w:val="Heading4Char"/>
          <w:b/>
          <w:sz w:val="24"/>
        </w:rPr>
        <w:t>:</w:t>
      </w:r>
      <w:r w:rsidR="0CA1AEF1" w:rsidRPr="4E0A3F49">
        <w:rPr>
          <w:rStyle w:val="Heading4Char"/>
        </w:rPr>
        <w:t xml:space="preserve"> </w:t>
      </w:r>
      <w:r w:rsidRPr="4E0A3F49">
        <w:rPr>
          <w:rFonts w:ascii="Arial" w:hAnsi="Arial" w:cs="Arial"/>
          <w:sz w:val="24"/>
          <w:szCs w:val="24"/>
        </w:rPr>
        <w:t>The inability of some participants to independently access digital entry pathways demonstrates how exclusion in one subsystem</w:t>
      </w:r>
      <w:r w:rsidR="00646776" w:rsidRPr="4E0A3F49">
        <w:rPr>
          <w:rFonts w:ascii="Arial" w:hAnsi="Arial" w:cs="Arial"/>
          <w:sz w:val="24"/>
          <w:szCs w:val="24"/>
        </w:rPr>
        <w:t xml:space="preserve">, </w:t>
      </w:r>
      <w:r w:rsidRPr="4E0A3F49">
        <w:rPr>
          <w:rFonts w:ascii="Arial" w:hAnsi="Arial" w:cs="Arial"/>
          <w:sz w:val="24"/>
          <w:szCs w:val="24"/>
        </w:rPr>
        <w:t>digital infrastructure</w:t>
      </w:r>
      <w:r w:rsidR="00C054BC" w:rsidRPr="4E0A3F49">
        <w:rPr>
          <w:rFonts w:ascii="Arial" w:hAnsi="Arial" w:cs="Arial"/>
          <w:sz w:val="24"/>
          <w:szCs w:val="24"/>
        </w:rPr>
        <w:t>,</w:t>
      </w:r>
      <w:r w:rsidRPr="4E0A3F49">
        <w:rPr>
          <w:rFonts w:ascii="Arial" w:hAnsi="Arial" w:cs="Arial"/>
          <w:sz w:val="24"/>
          <w:szCs w:val="24"/>
        </w:rPr>
        <w:t xml:space="preserve"> can create barriers throughout the broader employment system. Accessibility cannot be treated as an optional add-on because system failure at the entry point affects all downstream outcomes.</w:t>
      </w:r>
    </w:p>
    <w:p w14:paraId="167AA6B3" w14:textId="77777777" w:rsidR="00774D01" w:rsidRDefault="00774D01">
      <w:pPr>
        <w:spacing w:before="120" w:after="0" w:line="360" w:lineRule="auto"/>
      </w:pPr>
      <w:r>
        <w:rPr>
          <w:rFonts w:ascii="Arial" w:hAnsi="Arial" w:cs="Arial"/>
          <w:sz w:val="24"/>
          <w:szCs w:val="24"/>
        </w:rPr>
        <w:t>Systems theory also supports the argument for greater professionalisation of employment consulting. In complex systems, workforce capability significantly influences system performance. Inconsistent consultant qualifications, high staff turnover and limited specialist expertise reduce the system’s overall ability to respond effectively to participant needs and employer engagement challenges.</w:t>
      </w:r>
    </w:p>
    <w:p w14:paraId="48CDF819" w14:textId="017F2E26" w:rsidR="00774D01" w:rsidRDefault="00774D01">
      <w:pPr>
        <w:spacing w:before="120" w:after="0" w:line="360" w:lineRule="auto"/>
      </w:pPr>
      <w:r w:rsidRPr="4E0A3F49">
        <w:rPr>
          <w:rFonts w:ascii="Arial" w:hAnsi="Arial" w:cs="Arial"/>
          <w:sz w:val="24"/>
          <w:szCs w:val="24"/>
        </w:rPr>
        <w:t xml:space="preserve">Importantly, systems theory shifts attention away from deficit-based assumptions regarding people with disability and toward the design of the system itself. From this </w:t>
      </w:r>
      <w:r w:rsidRPr="4E0A3F49">
        <w:rPr>
          <w:rFonts w:ascii="Arial" w:hAnsi="Arial" w:cs="Arial"/>
          <w:sz w:val="24"/>
          <w:szCs w:val="24"/>
        </w:rPr>
        <w:lastRenderedPageBreak/>
        <w:t>perspective, persistent unemployment among people who are blind or vision</w:t>
      </w:r>
      <w:r w:rsidR="728B0C4A" w:rsidRPr="4E0A3F49">
        <w:rPr>
          <w:rFonts w:ascii="Arial" w:hAnsi="Arial" w:cs="Arial"/>
          <w:sz w:val="24"/>
          <w:szCs w:val="24"/>
        </w:rPr>
        <w:t xml:space="preserve"> impaired</w:t>
      </w:r>
      <w:r w:rsidRPr="4E0A3F49">
        <w:rPr>
          <w:rFonts w:ascii="Arial" w:hAnsi="Arial" w:cs="Arial"/>
          <w:sz w:val="24"/>
          <w:szCs w:val="24"/>
        </w:rPr>
        <w:t xml:space="preserve"> may reflect systemic design limitations rather than individual incapacity.</w:t>
      </w:r>
    </w:p>
    <w:p w14:paraId="4B27ED16" w14:textId="77777777" w:rsidR="00774D01" w:rsidRDefault="00774D01">
      <w:pPr>
        <w:spacing w:before="120" w:after="0" w:line="360" w:lineRule="auto"/>
      </w:pPr>
      <w:r>
        <w:rPr>
          <w:rFonts w:ascii="Arial" w:hAnsi="Arial" w:cs="Arial"/>
          <w:sz w:val="24"/>
          <w:szCs w:val="24"/>
        </w:rPr>
        <w:t>Applying systems theory to the proposed reforms would support:</w:t>
      </w:r>
    </w:p>
    <w:p w14:paraId="3E44AF27" w14:textId="77777777" w:rsidR="00774D01" w:rsidRPr="00D74DC6" w:rsidRDefault="00774D01">
      <w:pPr>
        <w:pStyle w:val="ListParagraph"/>
        <w:numPr>
          <w:ilvl w:val="0"/>
          <w:numId w:val="14"/>
        </w:numPr>
        <w:rPr>
          <w:kern w:val="2"/>
          <w:sz w:val="24"/>
          <w:szCs w:val="24"/>
          <w:lang w:eastAsia="en-AU"/>
          <w14:ligatures w14:val="standardContextual"/>
        </w:rPr>
      </w:pPr>
      <w:r w:rsidRPr="00D74DC6">
        <w:rPr>
          <w:rFonts w:ascii="Arial" w:hAnsi="Arial" w:cs="Arial"/>
          <w:sz w:val="24"/>
          <w:szCs w:val="24"/>
        </w:rPr>
        <w:t>designing services around participant pathways rather than program boundaries</w:t>
      </w:r>
    </w:p>
    <w:p w14:paraId="6C003678" w14:textId="77777777" w:rsidR="00774D01" w:rsidRPr="00D74DC6" w:rsidRDefault="00774D01">
      <w:pPr>
        <w:pStyle w:val="ListParagraph"/>
        <w:numPr>
          <w:ilvl w:val="0"/>
          <w:numId w:val="14"/>
        </w:numPr>
        <w:rPr>
          <w:sz w:val="24"/>
          <w:szCs w:val="24"/>
        </w:rPr>
      </w:pPr>
      <w:r w:rsidRPr="00D74DC6">
        <w:rPr>
          <w:rFonts w:ascii="Arial" w:hAnsi="Arial" w:cs="Arial"/>
          <w:sz w:val="24"/>
          <w:szCs w:val="24"/>
        </w:rPr>
        <w:t>integrating accessibility across all digital and service interfaces</w:t>
      </w:r>
    </w:p>
    <w:p w14:paraId="5F36887C" w14:textId="77777777" w:rsidR="00774D01" w:rsidRPr="00D74DC6" w:rsidRDefault="00774D01">
      <w:pPr>
        <w:pStyle w:val="ListParagraph"/>
        <w:numPr>
          <w:ilvl w:val="0"/>
          <w:numId w:val="14"/>
        </w:numPr>
        <w:rPr>
          <w:sz w:val="24"/>
          <w:szCs w:val="24"/>
        </w:rPr>
      </w:pPr>
      <w:r w:rsidRPr="00D74DC6">
        <w:rPr>
          <w:rFonts w:ascii="Arial" w:hAnsi="Arial" w:cs="Arial"/>
          <w:sz w:val="24"/>
          <w:szCs w:val="24"/>
        </w:rPr>
        <w:t>strengthening coordination between employment, disability and employer support systems</w:t>
      </w:r>
    </w:p>
    <w:p w14:paraId="4A1EF6A8" w14:textId="77777777" w:rsidR="00774D01" w:rsidRPr="00D74DC6" w:rsidRDefault="00774D01">
      <w:pPr>
        <w:pStyle w:val="ListParagraph"/>
        <w:numPr>
          <w:ilvl w:val="0"/>
          <w:numId w:val="14"/>
        </w:numPr>
        <w:rPr>
          <w:sz w:val="24"/>
          <w:szCs w:val="24"/>
        </w:rPr>
      </w:pPr>
      <w:r w:rsidRPr="00D74DC6">
        <w:rPr>
          <w:rFonts w:ascii="Arial" w:hAnsi="Arial" w:cs="Arial"/>
          <w:sz w:val="24"/>
          <w:szCs w:val="24"/>
        </w:rPr>
        <w:t>improving transparency and feedback mechanisms</w:t>
      </w:r>
    </w:p>
    <w:p w14:paraId="20E95D4E" w14:textId="77777777" w:rsidR="00774D01" w:rsidRPr="00D74DC6" w:rsidRDefault="00774D01">
      <w:pPr>
        <w:pStyle w:val="ListParagraph"/>
        <w:numPr>
          <w:ilvl w:val="0"/>
          <w:numId w:val="14"/>
        </w:numPr>
        <w:rPr>
          <w:sz w:val="24"/>
          <w:szCs w:val="24"/>
        </w:rPr>
      </w:pPr>
      <w:r w:rsidRPr="00D74DC6">
        <w:rPr>
          <w:rFonts w:ascii="Arial" w:hAnsi="Arial" w:cs="Arial"/>
          <w:sz w:val="24"/>
          <w:szCs w:val="24"/>
        </w:rPr>
        <w:t>aligning performance measures with long-term employment quality and retention</w:t>
      </w:r>
    </w:p>
    <w:p w14:paraId="33AD3DBF" w14:textId="77777777" w:rsidR="00774D01" w:rsidRPr="00D74DC6" w:rsidRDefault="00774D01">
      <w:pPr>
        <w:pStyle w:val="ListParagraph"/>
        <w:numPr>
          <w:ilvl w:val="0"/>
          <w:numId w:val="14"/>
        </w:numPr>
        <w:rPr>
          <w:sz w:val="24"/>
          <w:szCs w:val="24"/>
        </w:rPr>
      </w:pPr>
      <w:r w:rsidRPr="00D74DC6">
        <w:rPr>
          <w:rFonts w:ascii="Arial" w:hAnsi="Arial" w:cs="Arial"/>
          <w:sz w:val="24"/>
          <w:szCs w:val="24"/>
        </w:rPr>
        <w:t>enabling access to specialist expertise regardless of geographic location</w:t>
      </w:r>
    </w:p>
    <w:p w14:paraId="18269C02" w14:textId="77777777" w:rsidR="00774D01" w:rsidRPr="00D74DC6" w:rsidRDefault="00774D01">
      <w:pPr>
        <w:pStyle w:val="ListParagraph"/>
        <w:numPr>
          <w:ilvl w:val="0"/>
          <w:numId w:val="14"/>
        </w:numPr>
        <w:rPr>
          <w:sz w:val="24"/>
          <w:szCs w:val="24"/>
        </w:rPr>
      </w:pPr>
      <w:r w:rsidRPr="00D74DC6">
        <w:rPr>
          <w:rFonts w:ascii="Arial" w:hAnsi="Arial" w:cs="Arial"/>
          <w:sz w:val="24"/>
          <w:szCs w:val="24"/>
        </w:rPr>
        <w:t>recognising employers as a critical component of the employment system rather than peripheral stakeholders.</w:t>
      </w:r>
    </w:p>
    <w:p w14:paraId="62EDF56C" w14:textId="77777777" w:rsidR="00774D01" w:rsidRDefault="00774D01">
      <w:pPr>
        <w:spacing w:before="120" w:after="0" w:line="360" w:lineRule="auto"/>
      </w:pPr>
      <w:r>
        <w:rPr>
          <w:rFonts w:ascii="Arial" w:hAnsi="Arial" w:cs="Arial"/>
          <w:sz w:val="24"/>
          <w:szCs w:val="24"/>
        </w:rPr>
        <w:t>Meaningful reform cannot be achieved through isolated program adjustments alone. Sustainable employment outcomes require redesigning the broader employment ecosystem so that policies, incentives, provider capability, employer engagement, accessibility and participant choice operate as coordinated parts of an integrated system.</w:t>
      </w:r>
    </w:p>
    <w:p w14:paraId="3AAB5453" w14:textId="790AF6C6" w:rsidR="009E37AB" w:rsidRPr="0000125C" w:rsidRDefault="00CF2E21" w:rsidP="00447B13">
      <w:pPr>
        <w:pStyle w:val="Heading3"/>
      </w:pPr>
      <w:bookmarkStart w:id="29" w:name="_Toc236388449"/>
      <w:r>
        <w:t xml:space="preserve">3.9 </w:t>
      </w:r>
      <w:r w:rsidR="009E37AB" w:rsidRPr="009E37AB">
        <w:t>Supporting Geographic Mobility and Relocation as an Employment Investment</w:t>
      </w:r>
      <w:bookmarkEnd w:id="29"/>
    </w:p>
    <w:p w14:paraId="5449C7C1" w14:textId="77777777" w:rsidR="00774D01" w:rsidRDefault="00774D01">
      <w:pPr>
        <w:spacing w:before="120" w:after="0" w:line="360" w:lineRule="auto"/>
      </w:pPr>
      <w:r>
        <w:rPr>
          <w:rFonts w:ascii="Arial" w:hAnsi="Arial" w:cs="Arial"/>
          <w:sz w:val="24"/>
          <w:szCs w:val="24"/>
        </w:rPr>
        <w:t>A systems-based approach to employment reform also requires greater recognition of geographic labour market dynamics. Employment opportunities are not evenly distributed across Australia and labour shortages in some regions may create stronger opportunities for inclusive employment outcomes than others.</w:t>
      </w:r>
    </w:p>
    <w:p w14:paraId="6FCA8056" w14:textId="77777777" w:rsidR="00774D01" w:rsidRDefault="00774D01">
      <w:pPr>
        <w:spacing w:before="120" w:after="0" w:line="360" w:lineRule="auto"/>
      </w:pPr>
      <w:r>
        <w:rPr>
          <w:rFonts w:ascii="Arial" w:hAnsi="Arial" w:cs="Arial"/>
          <w:sz w:val="24"/>
          <w:szCs w:val="24"/>
        </w:rPr>
        <w:t xml:space="preserve">Evidence consistently demonstrates that employers experiencing workforce shortages are often more willing to recruit from diverse labour pools, including people with disability. Where labour shortages exist, employer willingness to </w:t>
      </w:r>
      <w:proofErr w:type="gramStart"/>
      <w:r>
        <w:rPr>
          <w:rFonts w:ascii="Arial" w:hAnsi="Arial" w:cs="Arial"/>
          <w:sz w:val="24"/>
          <w:szCs w:val="24"/>
        </w:rPr>
        <w:t>make adjustments</w:t>
      </w:r>
      <w:proofErr w:type="gramEnd"/>
      <w:r>
        <w:rPr>
          <w:rFonts w:ascii="Arial" w:hAnsi="Arial" w:cs="Arial"/>
          <w:sz w:val="24"/>
          <w:szCs w:val="24"/>
        </w:rPr>
        <w:t>, invest in accessibility and reconsider traditional recruitment assumptions may increase significantly.</w:t>
      </w:r>
    </w:p>
    <w:p w14:paraId="528B132A" w14:textId="77777777" w:rsidR="00774D01" w:rsidRDefault="00774D01">
      <w:pPr>
        <w:spacing w:before="120" w:after="0" w:line="360" w:lineRule="auto"/>
      </w:pPr>
      <w:r>
        <w:rPr>
          <w:rFonts w:ascii="Arial" w:hAnsi="Arial" w:cs="Arial"/>
          <w:sz w:val="24"/>
          <w:szCs w:val="24"/>
        </w:rPr>
        <w:t xml:space="preserve">Current employment funding arrangements do not adequately recognise this dynamic. Existing incentive structures within Inclusive Employment Australia and related programs frequently prioritise provider outcome payments or employer wage </w:t>
      </w:r>
      <w:r>
        <w:rPr>
          <w:rFonts w:ascii="Arial" w:hAnsi="Arial" w:cs="Arial"/>
          <w:sz w:val="24"/>
          <w:szCs w:val="24"/>
        </w:rPr>
        <w:lastRenderedPageBreak/>
        <w:t>subsidies. While these mechanisms may support some placements, they do not necessarily address broader structural barriers preventing skilled participants from accessing employment opportunities in regions experiencing labour demand.</w:t>
      </w:r>
    </w:p>
    <w:p w14:paraId="7D67F326" w14:textId="609FE284" w:rsidR="00774D01" w:rsidRDefault="00774D01">
      <w:pPr>
        <w:spacing w:before="120" w:after="0" w:line="360" w:lineRule="auto"/>
      </w:pPr>
      <w:r w:rsidRPr="4E0A3F49">
        <w:rPr>
          <w:rFonts w:ascii="Arial" w:hAnsi="Arial" w:cs="Arial"/>
          <w:sz w:val="24"/>
          <w:szCs w:val="24"/>
        </w:rPr>
        <w:t>For some participants, particularly degree-qualified or professionally skilled candidates who are blind or vision</w:t>
      </w:r>
      <w:r w:rsidR="59E5AE36" w:rsidRPr="4E0A3F49">
        <w:rPr>
          <w:rFonts w:ascii="Arial" w:hAnsi="Arial" w:cs="Arial"/>
          <w:sz w:val="24"/>
          <w:szCs w:val="24"/>
        </w:rPr>
        <w:t xml:space="preserve"> impaired</w:t>
      </w:r>
      <w:r w:rsidRPr="4E0A3F49">
        <w:rPr>
          <w:rFonts w:ascii="Arial" w:hAnsi="Arial" w:cs="Arial"/>
          <w:sz w:val="24"/>
          <w:szCs w:val="24"/>
        </w:rPr>
        <w:t>, relocation assistance may represent a more effective and economically rational investment than short-term wage subsidies. Redirecting equivalent funding toward relocation and settlement support could improve long-term employment participation and workforce matching outcomes.</w:t>
      </w:r>
    </w:p>
    <w:p w14:paraId="2D967B89" w14:textId="77777777" w:rsidR="00774D01" w:rsidRDefault="00774D01">
      <w:pPr>
        <w:spacing w:before="120" w:after="0" w:line="360" w:lineRule="auto"/>
      </w:pPr>
      <w:r>
        <w:rPr>
          <w:rFonts w:ascii="Arial" w:hAnsi="Arial" w:cs="Arial"/>
          <w:sz w:val="24"/>
          <w:szCs w:val="24"/>
        </w:rPr>
        <w:t>This approach is consistent with broader labour market practice. Australian employers routinely relocate skilled workers where workforce shortages exist, and Australia’s skilled migration system similarly recognises that economic productivity may require mobility toward areas of labour demand. Applying similar principles to skilled Australians with disability would recognise people with disability as contributors to the national workforce rather than passive recipients of employment assistance.</w:t>
      </w:r>
    </w:p>
    <w:p w14:paraId="5B686D12" w14:textId="77777777" w:rsidR="00774D01" w:rsidRDefault="00774D01">
      <w:pPr>
        <w:spacing w:before="120" w:after="0" w:line="360" w:lineRule="auto"/>
      </w:pPr>
      <w:r>
        <w:rPr>
          <w:rFonts w:ascii="Arial" w:hAnsi="Arial" w:cs="Arial"/>
          <w:sz w:val="24"/>
          <w:szCs w:val="24"/>
        </w:rPr>
        <w:t>Relocation support could be particularly effective for participants who:</w:t>
      </w:r>
    </w:p>
    <w:p w14:paraId="433A4BEF" w14:textId="77777777" w:rsidR="00774D01" w:rsidRPr="00D74DC6" w:rsidRDefault="00774D01">
      <w:pPr>
        <w:pStyle w:val="ListParagraph"/>
        <w:numPr>
          <w:ilvl w:val="0"/>
          <w:numId w:val="15"/>
        </w:numPr>
        <w:rPr>
          <w:kern w:val="2"/>
          <w:sz w:val="24"/>
          <w:szCs w:val="24"/>
          <w:lang w:eastAsia="en-AU"/>
          <w14:ligatures w14:val="standardContextual"/>
        </w:rPr>
      </w:pPr>
      <w:r w:rsidRPr="00D74DC6">
        <w:rPr>
          <w:rFonts w:ascii="Arial" w:hAnsi="Arial" w:cs="Arial"/>
          <w:sz w:val="24"/>
          <w:szCs w:val="24"/>
        </w:rPr>
        <w:t>possess qualifications or specialist skills aligned with industries experiencing labour shortages</w:t>
      </w:r>
    </w:p>
    <w:p w14:paraId="2E7FEEC2" w14:textId="77777777" w:rsidR="00774D01" w:rsidRPr="00D74DC6" w:rsidRDefault="00774D01">
      <w:pPr>
        <w:pStyle w:val="ListParagraph"/>
        <w:numPr>
          <w:ilvl w:val="0"/>
          <w:numId w:val="15"/>
        </w:numPr>
        <w:rPr>
          <w:sz w:val="24"/>
          <w:szCs w:val="24"/>
        </w:rPr>
      </w:pPr>
      <w:r w:rsidRPr="00D74DC6">
        <w:rPr>
          <w:rFonts w:ascii="Arial" w:hAnsi="Arial" w:cs="Arial"/>
          <w:sz w:val="24"/>
          <w:szCs w:val="24"/>
        </w:rPr>
        <w:t>face limited local employment opportunities</w:t>
      </w:r>
    </w:p>
    <w:p w14:paraId="7CF767A2" w14:textId="77777777" w:rsidR="00774D01" w:rsidRPr="00D74DC6" w:rsidRDefault="00774D01">
      <w:pPr>
        <w:pStyle w:val="ListParagraph"/>
        <w:numPr>
          <w:ilvl w:val="0"/>
          <w:numId w:val="15"/>
        </w:numPr>
        <w:rPr>
          <w:sz w:val="24"/>
          <w:szCs w:val="24"/>
        </w:rPr>
      </w:pPr>
      <w:r w:rsidRPr="00D74DC6">
        <w:rPr>
          <w:rFonts w:ascii="Arial" w:hAnsi="Arial" w:cs="Arial"/>
          <w:sz w:val="24"/>
          <w:szCs w:val="24"/>
        </w:rPr>
        <w:t>are underemployed despite strong capability and qualifications</w:t>
      </w:r>
    </w:p>
    <w:p w14:paraId="3A4FA5EB" w14:textId="77777777" w:rsidR="00774D01" w:rsidRPr="00D74DC6" w:rsidRDefault="00774D01">
      <w:pPr>
        <w:pStyle w:val="ListParagraph"/>
        <w:numPr>
          <w:ilvl w:val="0"/>
          <w:numId w:val="15"/>
        </w:numPr>
        <w:rPr>
          <w:sz w:val="24"/>
          <w:szCs w:val="24"/>
        </w:rPr>
      </w:pPr>
      <w:r w:rsidRPr="00D74DC6">
        <w:rPr>
          <w:rFonts w:ascii="Arial" w:hAnsi="Arial" w:cs="Arial"/>
          <w:sz w:val="24"/>
          <w:szCs w:val="24"/>
        </w:rPr>
        <w:t>express willingness to relocate for sustainable employment opportunities.</w:t>
      </w:r>
    </w:p>
    <w:p w14:paraId="2FAF2F14" w14:textId="77777777" w:rsidR="00774D01" w:rsidRDefault="00774D01">
      <w:pPr>
        <w:spacing w:before="120" w:after="0" w:line="360" w:lineRule="auto"/>
      </w:pPr>
      <w:r>
        <w:rPr>
          <w:rFonts w:ascii="Arial" w:hAnsi="Arial" w:cs="Arial"/>
          <w:sz w:val="24"/>
          <w:szCs w:val="24"/>
        </w:rPr>
        <w:t>Supporting skilled graduates with disability into sustainable employment also has broader fiscal implications through increased workforce participation, taxation revenue and improved HECS repayment outcomes.</w:t>
      </w:r>
    </w:p>
    <w:p w14:paraId="02209BF1" w14:textId="447A0C01" w:rsidR="00774D01" w:rsidRDefault="00774D01">
      <w:pPr>
        <w:spacing w:before="120" w:after="0" w:line="360" w:lineRule="auto"/>
      </w:pPr>
      <w:r w:rsidRPr="4E0A3F49">
        <w:rPr>
          <w:rFonts w:ascii="Arial" w:hAnsi="Arial" w:cs="Arial"/>
          <w:sz w:val="24"/>
          <w:szCs w:val="24"/>
        </w:rPr>
        <w:t>Relocation assistance should also be considered alongside the expansion of flexible and remote work arrangements. Flexible work and working from home can operate as important reasonable adjustments for people who are blind or vision</w:t>
      </w:r>
      <w:r w:rsidR="4E80ED85" w:rsidRPr="4E0A3F49">
        <w:rPr>
          <w:rFonts w:ascii="Arial" w:hAnsi="Arial" w:cs="Arial"/>
          <w:sz w:val="24"/>
          <w:szCs w:val="24"/>
        </w:rPr>
        <w:t xml:space="preserve"> impaired</w:t>
      </w:r>
      <w:r w:rsidRPr="4E0A3F49">
        <w:rPr>
          <w:rFonts w:ascii="Arial" w:hAnsi="Arial" w:cs="Arial"/>
          <w:sz w:val="24"/>
          <w:szCs w:val="24"/>
        </w:rPr>
        <w:t xml:space="preserve"> by reducing barriers associated with inaccessible transport, workplace navigation and commuting-related fatigue.</w:t>
      </w:r>
    </w:p>
    <w:p w14:paraId="5D05DD9C" w14:textId="77777777" w:rsidR="00774D01" w:rsidRDefault="00774D01">
      <w:pPr>
        <w:spacing w:before="120" w:after="0" w:line="360" w:lineRule="auto"/>
      </w:pPr>
      <w:r>
        <w:rPr>
          <w:rFonts w:ascii="Arial" w:hAnsi="Arial" w:cs="Arial"/>
          <w:sz w:val="24"/>
          <w:szCs w:val="24"/>
        </w:rPr>
        <w:t>Potential reform options could include:</w:t>
      </w:r>
    </w:p>
    <w:p w14:paraId="0B81D78F" w14:textId="77777777" w:rsidR="00774D01" w:rsidRPr="00BB72AF" w:rsidRDefault="00774D01">
      <w:pPr>
        <w:pStyle w:val="ListParagraph"/>
        <w:numPr>
          <w:ilvl w:val="0"/>
          <w:numId w:val="16"/>
        </w:numPr>
        <w:rPr>
          <w:kern w:val="2"/>
          <w:sz w:val="24"/>
          <w:szCs w:val="24"/>
          <w:lang w:eastAsia="en-AU"/>
          <w14:ligatures w14:val="standardContextual"/>
        </w:rPr>
      </w:pPr>
      <w:r w:rsidRPr="00BB72AF">
        <w:rPr>
          <w:rFonts w:ascii="Arial" w:hAnsi="Arial" w:cs="Arial"/>
          <w:sz w:val="24"/>
          <w:szCs w:val="24"/>
        </w:rPr>
        <w:t>establishing a dedicated relocation assistance stream for skilled participants with disability</w:t>
      </w:r>
    </w:p>
    <w:p w14:paraId="0F372E57" w14:textId="77777777" w:rsidR="00774D01" w:rsidRPr="00BB72AF" w:rsidRDefault="00774D01">
      <w:pPr>
        <w:pStyle w:val="ListParagraph"/>
        <w:numPr>
          <w:ilvl w:val="0"/>
          <w:numId w:val="16"/>
        </w:numPr>
        <w:rPr>
          <w:sz w:val="24"/>
          <w:szCs w:val="24"/>
        </w:rPr>
      </w:pPr>
      <w:r w:rsidRPr="00BB72AF">
        <w:rPr>
          <w:rFonts w:ascii="Arial" w:hAnsi="Arial" w:cs="Arial"/>
          <w:sz w:val="24"/>
          <w:szCs w:val="24"/>
        </w:rPr>
        <w:lastRenderedPageBreak/>
        <w:t>enabling relocation funding to be used as an alternative to employer wage subsidies</w:t>
      </w:r>
    </w:p>
    <w:p w14:paraId="52F98B95" w14:textId="77777777" w:rsidR="00774D01" w:rsidRPr="00BB72AF" w:rsidRDefault="00774D01">
      <w:pPr>
        <w:pStyle w:val="ListParagraph"/>
        <w:numPr>
          <w:ilvl w:val="0"/>
          <w:numId w:val="16"/>
        </w:numPr>
        <w:rPr>
          <w:sz w:val="24"/>
          <w:szCs w:val="24"/>
        </w:rPr>
      </w:pPr>
      <w:r w:rsidRPr="00BB72AF">
        <w:rPr>
          <w:rFonts w:ascii="Arial" w:hAnsi="Arial" w:cs="Arial"/>
          <w:sz w:val="24"/>
          <w:szCs w:val="24"/>
        </w:rPr>
        <w:t>integrating relocation support with housing, orientation and assistive technology setup assistance</w:t>
      </w:r>
    </w:p>
    <w:p w14:paraId="4A6CB403" w14:textId="77777777" w:rsidR="00774D01" w:rsidRPr="00BB72AF" w:rsidRDefault="00774D01">
      <w:pPr>
        <w:pStyle w:val="ListParagraph"/>
        <w:numPr>
          <w:ilvl w:val="0"/>
          <w:numId w:val="16"/>
        </w:numPr>
        <w:rPr>
          <w:sz w:val="24"/>
          <w:szCs w:val="24"/>
        </w:rPr>
      </w:pPr>
      <w:r w:rsidRPr="00BB72AF">
        <w:rPr>
          <w:rFonts w:ascii="Arial" w:hAnsi="Arial" w:cs="Arial"/>
          <w:sz w:val="24"/>
          <w:szCs w:val="24"/>
        </w:rPr>
        <w:t>prioritising relocation assistance where labour shortages align with participant qualifications and career goals</w:t>
      </w:r>
    </w:p>
    <w:p w14:paraId="4742AB9C" w14:textId="77777777" w:rsidR="00774D01" w:rsidRPr="00BB72AF" w:rsidRDefault="00774D01">
      <w:pPr>
        <w:pStyle w:val="ListParagraph"/>
        <w:numPr>
          <w:ilvl w:val="0"/>
          <w:numId w:val="16"/>
        </w:numPr>
        <w:rPr>
          <w:sz w:val="24"/>
          <w:szCs w:val="24"/>
        </w:rPr>
      </w:pPr>
      <w:r w:rsidRPr="00BB72AF">
        <w:rPr>
          <w:rFonts w:ascii="Arial" w:hAnsi="Arial" w:cs="Arial"/>
          <w:sz w:val="24"/>
          <w:szCs w:val="24"/>
        </w:rPr>
        <w:t>ensuring relocation decisions remain voluntary and participant-led</w:t>
      </w:r>
    </w:p>
    <w:p w14:paraId="63BE5550" w14:textId="77777777" w:rsidR="00774D01" w:rsidRPr="00BB72AF" w:rsidRDefault="00774D01">
      <w:pPr>
        <w:pStyle w:val="ListParagraph"/>
        <w:numPr>
          <w:ilvl w:val="0"/>
          <w:numId w:val="16"/>
        </w:numPr>
        <w:rPr>
          <w:sz w:val="24"/>
          <w:szCs w:val="24"/>
        </w:rPr>
      </w:pPr>
      <w:r w:rsidRPr="00BB72AF">
        <w:rPr>
          <w:rFonts w:ascii="Arial" w:hAnsi="Arial" w:cs="Arial"/>
          <w:sz w:val="24"/>
          <w:szCs w:val="24"/>
        </w:rPr>
        <w:t>combining relocation support with flexible work and hybrid employment pathways where appropriate.</w:t>
      </w:r>
    </w:p>
    <w:p w14:paraId="50D02050" w14:textId="77777777" w:rsidR="00774D01" w:rsidRDefault="00774D01">
      <w:pPr>
        <w:spacing w:before="120" w:after="0" w:line="360" w:lineRule="auto"/>
        <w:rPr>
          <w:rFonts w:ascii="Arial" w:hAnsi="Arial" w:cs="Arial"/>
          <w:sz w:val="24"/>
          <w:szCs w:val="24"/>
        </w:rPr>
      </w:pPr>
      <w:bookmarkStart w:id="30" w:name="_Toc232498702"/>
      <w:r>
        <w:rPr>
          <w:rFonts w:ascii="Arial" w:hAnsi="Arial" w:cs="Arial"/>
          <w:sz w:val="24"/>
          <w:szCs w:val="24"/>
        </w:rPr>
        <w:t>From a systems perspective, supporting mobility may improve overall system efficiency by better aligning workforce capability with labour market demand while simultaneously improving employment participation, social inclusion and long-term economic contribution for people with disability.</w:t>
      </w:r>
    </w:p>
    <w:p w14:paraId="6ADA1175" w14:textId="70ADB88C" w:rsidR="00043AF6" w:rsidRDefault="00043AF6" w:rsidP="00447B13">
      <w:pPr>
        <w:pStyle w:val="Heading2"/>
        <w:numPr>
          <w:ilvl w:val="0"/>
          <w:numId w:val="4"/>
        </w:numPr>
      </w:pPr>
      <w:bookmarkStart w:id="31" w:name="_Toc236388450"/>
      <w:r>
        <w:t>Recommendations</w:t>
      </w:r>
      <w:bookmarkEnd w:id="30"/>
      <w:bookmarkEnd w:id="31"/>
    </w:p>
    <w:p w14:paraId="3009E13C" w14:textId="77777777" w:rsidR="00774D01" w:rsidRDefault="00774D01">
      <w:pPr>
        <w:spacing w:before="120" w:after="0" w:line="360" w:lineRule="auto"/>
      </w:pPr>
      <w:r w:rsidRPr="000F6396">
        <w:rPr>
          <w:rFonts w:ascii="Arial" w:hAnsi="Arial" w:cs="Arial"/>
          <w:sz w:val="24"/>
          <w:szCs w:val="24"/>
        </w:rPr>
        <w:t>As the Government redesigns employment services, this submission recommends the following reforms:</w:t>
      </w:r>
    </w:p>
    <w:p w14:paraId="5733760D" w14:textId="77777777" w:rsidR="00641D5C" w:rsidRPr="00641D5C" w:rsidRDefault="00774D01" w:rsidP="4E0A3F49">
      <w:pPr>
        <w:pStyle w:val="ListParagraph"/>
        <w:numPr>
          <w:ilvl w:val="0"/>
          <w:numId w:val="1"/>
        </w:numPr>
        <w:spacing w:line="360" w:lineRule="auto"/>
        <w:rPr>
          <w:rFonts w:ascii="Arial" w:eastAsia="Arial" w:hAnsi="Arial" w:cs="Arial"/>
          <w:kern w:val="2"/>
          <w:sz w:val="24"/>
          <w:szCs w:val="24"/>
          <w:lang w:eastAsia="en-AU"/>
          <w14:ligatures w14:val="standardContextual"/>
        </w:rPr>
      </w:pPr>
      <w:r w:rsidRPr="3A14497F">
        <w:rPr>
          <w:rFonts w:ascii="Arial" w:eastAsia="Arial" w:hAnsi="Arial" w:cs="Arial"/>
          <w:sz w:val="24"/>
          <w:szCs w:val="24"/>
        </w:rPr>
        <w:t>Embed accessibility requirements across all digital and service delivery pathways from the outset</w:t>
      </w:r>
      <w:r w:rsidR="00641D5C">
        <w:rPr>
          <w:rFonts w:ascii="Arial" w:eastAsia="Arial" w:hAnsi="Arial" w:cs="Arial"/>
          <w:sz w:val="24"/>
          <w:szCs w:val="24"/>
        </w:rPr>
        <w:t>.</w:t>
      </w:r>
      <w:r w:rsidR="00C51A24">
        <w:rPr>
          <w:rFonts w:ascii="Arial" w:eastAsia="Arial" w:hAnsi="Arial" w:cs="Arial"/>
          <w:sz w:val="24"/>
          <w:szCs w:val="24"/>
        </w:rPr>
        <w:t xml:space="preserve"> </w:t>
      </w:r>
    </w:p>
    <w:p w14:paraId="04923B57" w14:textId="6C44B99F" w:rsidR="00774D01" w:rsidRPr="00075472" w:rsidRDefault="00641D5C" w:rsidP="4E0A3F49">
      <w:pPr>
        <w:pStyle w:val="ListParagraph"/>
        <w:numPr>
          <w:ilvl w:val="0"/>
          <w:numId w:val="1"/>
        </w:numPr>
        <w:spacing w:line="360" w:lineRule="auto"/>
        <w:rPr>
          <w:rFonts w:ascii="Arial" w:eastAsia="Arial" w:hAnsi="Arial" w:cs="Arial"/>
          <w:kern w:val="2"/>
          <w:sz w:val="24"/>
          <w:szCs w:val="24"/>
          <w:lang w:eastAsia="en-AU"/>
          <w14:ligatures w14:val="standardContextual"/>
        </w:rPr>
      </w:pPr>
      <w:r>
        <w:rPr>
          <w:rFonts w:ascii="Arial" w:eastAsia="Arial" w:hAnsi="Arial" w:cs="Arial"/>
          <w:sz w:val="24"/>
          <w:szCs w:val="24"/>
        </w:rPr>
        <w:t>E</w:t>
      </w:r>
      <w:r w:rsidR="00C51A24">
        <w:rPr>
          <w:rFonts w:ascii="Arial" w:eastAsia="Arial" w:hAnsi="Arial" w:cs="Arial"/>
          <w:sz w:val="24"/>
          <w:szCs w:val="24"/>
        </w:rPr>
        <w:t xml:space="preserve">nsure </w:t>
      </w:r>
      <w:r w:rsidR="0069034A">
        <w:rPr>
          <w:rFonts w:ascii="Arial" w:eastAsia="Arial" w:hAnsi="Arial" w:cs="Arial"/>
          <w:sz w:val="24"/>
          <w:szCs w:val="24"/>
        </w:rPr>
        <w:t>p</w:t>
      </w:r>
      <w:r w:rsidR="0069034A" w:rsidRPr="0069034A">
        <w:rPr>
          <w:rFonts w:ascii="Arial" w:eastAsia="Arial" w:hAnsi="Arial" w:cs="Arial"/>
          <w:sz w:val="24"/>
          <w:szCs w:val="24"/>
        </w:rPr>
        <w:t>articipants receive information explaining their rights, provider responsibilities, available supports, complaint pathways and review mechanisms</w:t>
      </w:r>
      <w:r w:rsidR="009A2C04">
        <w:rPr>
          <w:rFonts w:ascii="Arial" w:eastAsia="Arial" w:hAnsi="Arial" w:cs="Arial"/>
          <w:sz w:val="24"/>
          <w:szCs w:val="24"/>
        </w:rPr>
        <w:t xml:space="preserve"> in accessible formats.</w:t>
      </w:r>
    </w:p>
    <w:p w14:paraId="78FB3153"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Recognise that low-incidence disability cohorts require specialist expertise rather than generic service models.</w:t>
      </w:r>
    </w:p>
    <w:p w14:paraId="57A02A3F"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Expand participant choice and control by enabling access to specialist providers regardless of geographic location.</w:t>
      </w:r>
    </w:p>
    <w:p w14:paraId="36819EB6"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Strengthen and professionalise the employment consulting workforce through recognised qualifications, capability standards and professional development requirements.</w:t>
      </w:r>
    </w:p>
    <w:p w14:paraId="25B26E35"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Consider reintroducing a nationally recognised qualification such as the Certificate IV in Employment Services, or an equivalent contemporary qualification.</w:t>
      </w:r>
    </w:p>
    <w:p w14:paraId="493AA2AC"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lastRenderedPageBreak/>
        <w:t>Align provider performance measures with participant complexity, long-term employment sustainability and retention outcomes rather than rapid placements alone.</w:t>
      </w:r>
    </w:p>
    <w:p w14:paraId="697F7BE5"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Publicly report specialist-provider performance metrics, including participant and employer outcomes by disability cohort.</w:t>
      </w:r>
    </w:p>
    <w:p w14:paraId="5AC0F11B"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Require providers to demonstrate leadership in disability employment through transparency, measurable targets and public accountability.</w:t>
      </w:r>
    </w:p>
    <w:p w14:paraId="36EE8EBF" w14:textId="77777777" w:rsidR="00774D01" w:rsidRPr="00075472"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Improve coordination across employment, disability and workplace adjustment systems to reduce fragmentation and duplication.</w:t>
      </w:r>
    </w:p>
    <w:p w14:paraId="78E70B7A" w14:textId="77777777" w:rsidR="00774D01" w:rsidRDefault="00774D01" w:rsidP="4E0A3F49">
      <w:pPr>
        <w:pStyle w:val="ListParagraph"/>
        <w:numPr>
          <w:ilvl w:val="0"/>
          <w:numId w:val="1"/>
        </w:numPr>
        <w:spacing w:line="360" w:lineRule="auto"/>
        <w:rPr>
          <w:rFonts w:ascii="Arial" w:eastAsia="Arial" w:hAnsi="Arial" w:cs="Arial"/>
          <w:sz w:val="24"/>
          <w:szCs w:val="24"/>
        </w:rPr>
      </w:pPr>
      <w:r w:rsidRPr="3A14497F">
        <w:rPr>
          <w:rFonts w:ascii="Arial" w:eastAsia="Arial" w:hAnsi="Arial" w:cs="Arial"/>
          <w:sz w:val="24"/>
          <w:szCs w:val="24"/>
        </w:rPr>
        <w:t>Introduce greater flexibility within funding arrangements to support participant mobility, relocation and labour market access where appropriate.</w:t>
      </w:r>
    </w:p>
    <w:p w14:paraId="580B8361" w14:textId="29FE78FF" w:rsidR="00530DE2" w:rsidRPr="00530DE2" w:rsidRDefault="00530DE2" w:rsidP="00530DE2">
      <w:pPr>
        <w:pStyle w:val="ListParagraph"/>
        <w:numPr>
          <w:ilvl w:val="0"/>
          <w:numId w:val="1"/>
        </w:numPr>
        <w:spacing w:before="120" w:after="0" w:line="360" w:lineRule="auto"/>
        <w:rPr>
          <w:rFonts w:ascii="Arial" w:hAnsi="Arial" w:cs="Arial"/>
          <w:sz w:val="24"/>
          <w:szCs w:val="24"/>
        </w:rPr>
      </w:pPr>
      <w:r>
        <w:rPr>
          <w:rFonts w:ascii="Arial" w:hAnsi="Arial" w:cs="Arial"/>
          <w:sz w:val="24"/>
          <w:szCs w:val="24"/>
        </w:rPr>
        <w:t>Ensure p</w:t>
      </w:r>
      <w:r w:rsidRPr="00530DE2">
        <w:rPr>
          <w:rFonts w:ascii="Arial" w:hAnsi="Arial" w:cs="Arial"/>
          <w:sz w:val="24"/>
          <w:szCs w:val="24"/>
        </w:rPr>
        <w:t xml:space="preserve">eople who are blind or vision impaired and disability representative organisations </w:t>
      </w:r>
      <w:r w:rsidR="003B497A">
        <w:rPr>
          <w:rFonts w:ascii="Arial" w:hAnsi="Arial" w:cs="Arial"/>
          <w:sz w:val="24"/>
          <w:szCs w:val="24"/>
        </w:rPr>
        <w:t>are meaningfully</w:t>
      </w:r>
      <w:r w:rsidRPr="00530DE2">
        <w:rPr>
          <w:rFonts w:ascii="Arial" w:hAnsi="Arial" w:cs="Arial"/>
          <w:sz w:val="24"/>
          <w:szCs w:val="24"/>
        </w:rPr>
        <w:t xml:space="preserve"> represented throughout the design, implementation and evaluation of the new employment services model, including on any advisory or governance bodies overseeing reform.</w:t>
      </w:r>
    </w:p>
    <w:p w14:paraId="0F1701D7" w14:textId="74F9B1E2" w:rsidR="00DE5F8B" w:rsidRPr="004212A8" w:rsidRDefault="00447B13" w:rsidP="00447B13">
      <w:pPr>
        <w:pStyle w:val="Heading2"/>
        <w:numPr>
          <w:ilvl w:val="0"/>
          <w:numId w:val="4"/>
        </w:numPr>
      </w:pPr>
      <w:r>
        <w:t xml:space="preserve"> </w:t>
      </w:r>
      <w:bookmarkStart w:id="32" w:name="_Toc236388451"/>
      <w:r w:rsidR="00DE5F8B" w:rsidRPr="00DE5F8B">
        <w:t>Conclusion</w:t>
      </w:r>
      <w:bookmarkEnd w:id="32"/>
    </w:p>
    <w:p w14:paraId="6FA55C2C" w14:textId="41248205" w:rsidR="00774D01" w:rsidRDefault="00774D01">
      <w:pPr>
        <w:spacing w:before="120" w:after="0" w:line="360" w:lineRule="auto"/>
      </w:pPr>
      <w:r w:rsidRPr="4E0A3F49">
        <w:rPr>
          <w:rFonts w:ascii="Arial" w:hAnsi="Arial" w:cs="Arial"/>
          <w:sz w:val="24"/>
          <w:szCs w:val="24"/>
        </w:rPr>
        <w:t>People who are blind or vision</w:t>
      </w:r>
      <w:r w:rsidR="0734BA22" w:rsidRPr="4E0A3F49">
        <w:rPr>
          <w:rFonts w:ascii="Arial" w:hAnsi="Arial" w:cs="Arial"/>
          <w:sz w:val="24"/>
          <w:szCs w:val="24"/>
        </w:rPr>
        <w:t xml:space="preserve"> impaired</w:t>
      </w:r>
      <w:r w:rsidRPr="4E0A3F49">
        <w:rPr>
          <w:rFonts w:ascii="Arial" w:hAnsi="Arial" w:cs="Arial"/>
          <w:sz w:val="24"/>
          <w:szCs w:val="24"/>
        </w:rPr>
        <w:t xml:space="preserve"> continue to demonstrate strong educational attainment, professional capability and workforce potential. The central policy challenge is not capacity for employment, but whether Australia’s employment services system is designed to effectively support participation in the labour market.</w:t>
      </w:r>
    </w:p>
    <w:p w14:paraId="2337AD5A" w14:textId="77777777" w:rsidR="00774D01" w:rsidRDefault="00774D01">
      <w:pPr>
        <w:spacing w:before="120" w:after="0" w:line="360" w:lineRule="auto"/>
      </w:pPr>
      <w:r w:rsidRPr="000F6396">
        <w:rPr>
          <w:rFonts w:ascii="Arial" w:hAnsi="Arial" w:cs="Arial"/>
          <w:sz w:val="24"/>
          <w:szCs w:val="24"/>
        </w:rPr>
        <w:t>Current arrangements remain heavily shaped by provider contracts, administrative compliance and geographically constrained service delivery. The proposed reforms provide an important opportunity to redesign the system around participant outcomes, specialist expertise, accessibility, transparency and long-term employment sustainability.</w:t>
      </w:r>
    </w:p>
    <w:p w14:paraId="383B74CC" w14:textId="77777777" w:rsidR="00774D01" w:rsidRDefault="00774D01">
      <w:pPr>
        <w:spacing w:before="120" w:after="0" w:line="360" w:lineRule="auto"/>
      </w:pPr>
      <w:r w:rsidRPr="000F6396">
        <w:rPr>
          <w:rFonts w:ascii="Arial" w:hAnsi="Arial" w:cs="Arial"/>
          <w:sz w:val="24"/>
          <w:szCs w:val="24"/>
        </w:rPr>
        <w:t>Meaningful reform will require a stronger focus on employer engagement, workforce capability, digital accessibility, participant choice and system integration. It will also require recognising that employment outcomes are shaped not only by individual jobseekers, but by the interaction between policy settings, labour market structures, employers, technology and support systems.</w:t>
      </w:r>
    </w:p>
    <w:p w14:paraId="3E76D034" w14:textId="77777777" w:rsidR="00774D01" w:rsidRDefault="00774D01">
      <w:pPr>
        <w:spacing w:before="120" w:after="0" w:line="360" w:lineRule="auto"/>
      </w:pPr>
      <w:r w:rsidRPr="000F6396">
        <w:rPr>
          <w:rFonts w:ascii="Arial" w:hAnsi="Arial" w:cs="Arial"/>
          <w:sz w:val="24"/>
          <w:szCs w:val="24"/>
        </w:rPr>
        <w:lastRenderedPageBreak/>
        <w:t>A redesigned employment services system should ensure that people who are blind or have low vision can access specialist expertise, exercise genuine choice and control, and participate fully in Australia’s workforce and economy.</w:t>
      </w:r>
    </w:p>
    <w:sectPr w:rsidR="00774D01">
      <w:footerReference w:type="default" r:id="rId22"/>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B521" w14:textId="77777777" w:rsidR="00661F4C" w:rsidRDefault="00661F4C" w:rsidP="007E3155">
      <w:pPr>
        <w:spacing w:after="0" w:line="240" w:lineRule="auto"/>
      </w:pPr>
      <w:r>
        <w:separator/>
      </w:r>
    </w:p>
  </w:endnote>
  <w:endnote w:type="continuationSeparator" w:id="0">
    <w:p w14:paraId="0EB2C17E" w14:textId="77777777" w:rsidR="00661F4C" w:rsidRDefault="00661F4C" w:rsidP="007E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F10B" w14:textId="7C78304A" w:rsidR="007E3155" w:rsidRPr="007E3155" w:rsidRDefault="00ED7BE3" w:rsidP="007E3155">
    <w:pPr>
      <w:pBdr>
        <w:top w:val="single" w:sz="4" w:space="4" w:color="44546A"/>
      </w:pBdr>
      <w:spacing w:before="120" w:after="0" w:line="240" w:lineRule="auto"/>
      <w:jc w:val="center"/>
      <w:rPr>
        <w:rFonts w:ascii="Arial" w:eastAsia="MS Mincho" w:hAnsi="Arial" w:cs="Arial"/>
        <w:sz w:val="24"/>
        <w:szCs w:val="24"/>
        <w:lang w:eastAsia="ja-JP"/>
      </w:rPr>
    </w:pPr>
    <w:r>
      <w:rPr>
        <w:rFonts w:ascii="Arial" w:eastAsia="MS Mincho" w:hAnsi="Arial" w:cs="Arial"/>
        <w:sz w:val="24"/>
        <w:szCs w:val="24"/>
        <w:lang w:eastAsia="ja-JP"/>
      </w:rPr>
      <w:t xml:space="preserve"> </w:t>
    </w:r>
    <w:r w:rsidR="007E3155" w:rsidRPr="007E3155">
      <w:rPr>
        <w:rFonts w:ascii="Arial" w:eastAsia="MS Mincho" w:hAnsi="Arial" w:cs="Arial"/>
        <w:sz w:val="24"/>
        <w:szCs w:val="24"/>
        <w:lang w:eastAsia="ja-JP"/>
      </w:rPr>
      <w:t>Blind Citizens Australia</w:t>
    </w:r>
    <w:r w:rsidR="007E3155" w:rsidRPr="007E3155">
      <w:rPr>
        <w:rFonts w:ascii="Arial" w:eastAsia="MS Mincho" w:hAnsi="Arial" w:cs="Arial"/>
        <w:i/>
        <w:iCs/>
        <w:sz w:val="24"/>
        <w:szCs w:val="24"/>
        <w:shd w:val="clear" w:color="auto" w:fill="FFFFFF"/>
        <w:lang w:eastAsia="ja-JP"/>
      </w:rPr>
      <w:t xml:space="preserve"> | </w:t>
    </w:r>
    <w:r w:rsidR="007E3155" w:rsidRPr="007E3155">
      <w:rPr>
        <w:rFonts w:ascii="Arial" w:eastAsia="MS Mincho" w:hAnsi="Arial" w:cs="Arial"/>
        <w:sz w:val="24"/>
        <w:szCs w:val="24"/>
        <w:lang w:eastAsia="ja-JP"/>
      </w:rPr>
      <w:t xml:space="preserve">Page </w:t>
    </w:r>
    <w:r w:rsidR="007E3155" w:rsidRPr="007E3155">
      <w:rPr>
        <w:rFonts w:ascii="Arial" w:eastAsia="MS Mincho" w:hAnsi="Arial" w:cs="Arial"/>
        <w:sz w:val="24"/>
        <w:szCs w:val="24"/>
        <w:lang w:eastAsia="ja-JP"/>
      </w:rPr>
      <w:fldChar w:fldCharType="begin"/>
    </w:r>
    <w:r w:rsidR="007E3155" w:rsidRPr="007E3155">
      <w:rPr>
        <w:rFonts w:ascii="Arial" w:eastAsia="MS Mincho" w:hAnsi="Arial" w:cs="Arial"/>
        <w:sz w:val="24"/>
        <w:szCs w:val="24"/>
        <w:lang w:eastAsia="ja-JP"/>
      </w:rPr>
      <w:instrText xml:space="preserve"> PAGE  \* Arabic  \* MERGEFORMAT </w:instrText>
    </w:r>
    <w:r w:rsidR="007E3155" w:rsidRPr="007E3155">
      <w:rPr>
        <w:rFonts w:ascii="Arial" w:eastAsia="MS Mincho" w:hAnsi="Arial" w:cs="Arial"/>
        <w:sz w:val="24"/>
        <w:szCs w:val="24"/>
        <w:lang w:eastAsia="ja-JP"/>
      </w:rPr>
      <w:fldChar w:fldCharType="separate"/>
    </w:r>
    <w:r w:rsidR="007E3155" w:rsidRPr="007E3155">
      <w:rPr>
        <w:rFonts w:ascii="Arial" w:eastAsia="MS Mincho" w:hAnsi="Arial" w:cs="Arial"/>
        <w:color w:val="2F5496"/>
        <w:sz w:val="24"/>
        <w:szCs w:val="24"/>
        <w:lang w:eastAsia="ja-JP"/>
      </w:rPr>
      <w:t>17</w:t>
    </w:r>
    <w:r w:rsidR="007E3155" w:rsidRPr="007E3155">
      <w:rPr>
        <w:rFonts w:ascii="Arial" w:eastAsia="MS Mincho" w:hAnsi="Arial" w:cs="Arial"/>
        <w:sz w:val="24"/>
        <w:szCs w:val="24"/>
        <w:lang w:eastAsia="ja-JP"/>
      </w:rPr>
      <w:fldChar w:fldCharType="end"/>
    </w:r>
    <w:r w:rsidR="007E3155" w:rsidRPr="007E3155">
      <w:rPr>
        <w:rFonts w:ascii="Arial" w:eastAsia="MS Mincho" w:hAnsi="Arial" w:cs="Arial"/>
        <w:sz w:val="24"/>
        <w:szCs w:val="24"/>
        <w:lang w:eastAsia="ja-JP"/>
      </w:rPr>
      <w:t xml:space="preserve"> of </w:t>
    </w:r>
    <w:r w:rsidR="007E3155" w:rsidRPr="007E3155">
      <w:rPr>
        <w:rFonts w:ascii="Arial" w:eastAsia="MS Mincho" w:hAnsi="Arial" w:cs="Arial"/>
        <w:sz w:val="24"/>
        <w:szCs w:val="24"/>
        <w:lang w:eastAsia="ja-JP"/>
      </w:rPr>
      <w:fldChar w:fldCharType="begin"/>
    </w:r>
    <w:r w:rsidR="007E3155" w:rsidRPr="007E3155">
      <w:rPr>
        <w:rFonts w:ascii="Arial" w:eastAsia="MS Mincho" w:hAnsi="Arial" w:cs="Arial"/>
        <w:sz w:val="24"/>
        <w:szCs w:val="24"/>
        <w:lang w:eastAsia="ja-JP"/>
      </w:rPr>
      <w:instrText xml:space="preserve"> NUMPAGES  \* Arabic  \* MERGEFORMAT </w:instrText>
    </w:r>
    <w:r w:rsidR="007E3155" w:rsidRPr="007E3155">
      <w:rPr>
        <w:rFonts w:ascii="Arial" w:eastAsia="MS Mincho" w:hAnsi="Arial" w:cs="Arial"/>
        <w:sz w:val="24"/>
        <w:szCs w:val="24"/>
        <w:lang w:eastAsia="ja-JP"/>
      </w:rPr>
      <w:fldChar w:fldCharType="separate"/>
    </w:r>
    <w:r w:rsidR="007E3155" w:rsidRPr="007E3155">
      <w:rPr>
        <w:rFonts w:ascii="Arial" w:eastAsia="MS Mincho" w:hAnsi="Arial" w:cs="Arial"/>
        <w:color w:val="2F5496"/>
        <w:sz w:val="24"/>
        <w:szCs w:val="24"/>
        <w:lang w:eastAsia="ja-JP"/>
      </w:rPr>
      <w:t>20</w:t>
    </w:r>
    <w:r w:rsidR="007E3155" w:rsidRPr="007E3155">
      <w:rPr>
        <w:rFonts w:ascii="Arial" w:eastAsia="MS Mincho" w:hAnsi="Arial" w:cs="Arial"/>
        <w:sz w:val="24"/>
        <w:szCs w:val="24"/>
        <w:lang w:eastAsia="ja-JP"/>
      </w:rPr>
      <w:fldChar w:fldCharType="end"/>
    </w:r>
    <w:r w:rsidR="00B3104C">
      <w:rPr>
        <w:rFonts w:ascii="Arial" w:eastAsia="MS Mincho" w:hAnsi="Arial" w:cs="Arial"/>
        <w:sz w:val="24"/>
        <w:szCs w:val="24"/>
        <w:lang w:eastAsia="ja-JP"/>
      </w:rPr>
      <w:t xml:space="preserve"> </w:t>
    </w:r>
  </w:p>
  <w:p w14:paraId="11E82831" w14:textId="7A34A69A" w:rsidR="007E3155" w:rsidRDefault="007E3155">
    <w:pPr>
      <w:pStyle w:val="Footer"/>
    </w:pPr>
  </w:p>
  <w:p w14:paraId="7C6146A9" w14:textId="77777777" w:rsidR="007E3155" w:rsidRDefault="007E3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3787B" w14:textId="77777777" w:rsidR="00661F4C" w:rsidRDefault="00661F4C" w:rsidP="007E3155">
      <w:pPr>
        <w:spacing w:after="0" w:line="240" w:lineRule="auto"/>
      </w:pPr>
      <w:r>
        <w:separator/>
      </w:r>
    </w:p>
  </w:footnote>
  <w:footnote w:type="continuationSeparator" w:id="0">
    <w:p w14:paraId="34D417BD" w14:textId="77777777" w:rsidR="00661F4C" w:rsidRDefault="00661F4C" w:rsidP="007E3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DE6C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77494"/>
    <w:multiLevelType w:val="hybridMultilevel"/>
    <w:tmpl w:val="6380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92B12"/>
    <w:multiLevelType w:val="hybridMultilevel"/>
    <w:tmpl w:val="7BB6597E"/>
    <w:lvl w:ilvl="0" w:tplc="0C090001">
      <w:start w:val="1"/>
      <w:numFmt w:val="bullet"/>
      <w:lvlText w:val=""/>
      <w:lvlJc w:val="left"/>
      <w:pPr>
        <w:ind w:left="720" w:hanging="360"/>
      </w:pPr>
      <w:rPr>
        <w:rFonts w:ascii="Symbol" w:hAnsi="Symbol" w:hint="default"/>
      </w:rPr>
    </w:lvl>
    <w:lvl w:ilvl="1" w:tplc="BD76D920">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C5CC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557068"/>
    <w:multiLevelType w:val="hybridMultilevel"/>
    <w:tmpl w:val="45621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FF3583"/>
    <w:multiLevelType w:val="hybridMultilevel"/>
    <w:tmpl w:val="523C2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F351CE"/>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C26F5E"/>
    <w:multiLevelType w:val="hybridMultilevel"/>
    <w:tmpl w:val="70E69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F52DC5"/>
    <w:multiLevelType w:val="hybridMultilevel"/>
    <w:tmpl w:val="192E4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485D4C"/>
    <w:multiLevelType w:val="hybridMultilevel"/>
    <w:tmpl w:val="DCB82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8A34C3"/>
    <w:multiLevelType w:val="hybridMultilevel"/>
    <w:tmpl w:val="AECEB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960A68"/>
    <w:multiLevelType w:val="hybridMultilevel"/>
    <w:tmpl w:val="EFA2A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04213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A37C2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6C769B"/>
    <w:multiLevelType w:val="hybridMultilevel"/>
    <w:tmpl w:val="C0B47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260321"/>
    <w:multiLevelType w:val="hybridMultilevel"/>
    <w:tmpl w:val="8CA89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381E8D"/>
    <w:multiLevelType w:val="hybridMultilevel"/>
    <w:tmpl w:val="951E1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958006"/>
    <w:multiLevelType w:val="hybridMultilevel"/>
    <w:tmpl w:val="81BA19F6"/>
    <w:lvl w:ilvl="0" w:tplc="40F4391C">
      <w:start w:val="1"/>
      <w:numFmt w:val="decimal"/>
      <w:lvlText w:val="%1."/>
      <w:lvlJc w:val="left"/>
      <w:pPr>
        <w:ind w:left="720" w:hanging="360"/>
      </w:pPr>
    </w:lvl>
    <w:lvl w:ilvl="1" w:tplc="66F41512">
      <w:start w:val="1"/>
      <w:numFmt w:val="lowerLetter"/>
      <w:lvlText w:val="%2."/>
      <w:lvlJc w:val="left"/>
      <w:pPr>
        <w:ind w:left="1440" w:hanging="360"/>
      </w:pPr>
    </w:lvl>
    <w:lvl w:ilvl="2" w:tplc="C74EA4E8">
      <w:start w:val="1"/>
      <w:numFmt w:val="lowerRoman"/>
      <w:lvlText w:val="%3."/>
      <w:lvlJc w:val="right"/>
      <w:pPr>
        <w:ind w:left="2160" w:hanging="180"/>
      </w:pPr>
    </w:lvl>
    <w:lvl w:ilvl="3" w:tplc="D9E2624E">
      <w:start w:val="1"/>
      <w:numFmt w:val="decimal"/>
      <w:lvlText w:val="%4."/>
      <w:lvlJc w:val="left"/>
      <w:pPr>
        <w:ind w:left="2880" w:hanging="360"/>
      </w:pPr>
    </w:lvl>
    <w:lvl w:ilvl="4" w:tplc="C32AAB82">
      <w:start w:val="1"/>
      <w:numFmt w:val="lowerLetter"/>
      <w:lvlText w:val="%5."/>
      <w:lvlJc w:val="left"/>
      <w:pPr>
        <w:ind w:left="3600" w:hanging="360"/>
      </w:pPr>
    </w:lvl>
    <w:lvl w:ilvl="5" w:tplc="44A83232">
      <w:start w:val="1"/>
      <w:numFmt w:val="lowerRoman"/>
      <w:lvlText w:val="%6."/>
      <w:lvlJc w:val="right"/>
      <w:pPr>
        <w:ind w:left="4320" w:hanging="180"/>
      </w:pPr>
    </w:lvl>
    <w:lvl w:ilvl="6" w:tplc="3914182E">
      <w:start w:val="1"/>
      <w:numFmt w:val="decimal"/>
      <w:lvlText w:val="%7."/>
      <w:lvlJc w:val="left"/>
      <w:pPr>
        <w:ind w:left="5040" w:hanging="360"/>
      </w:pPr>
    </w:lvl>
    <w:lvl w:ilvl="7" w:tplc="01D00716">
      <w:start w:val="1"/>
      <w:numFmt w:val="lowerLetter"/>
      <w:lvlText w:val="%8."/>
      <w:lvlJc w:val="left"/>
      <w:pPr>
        <w:ind w:left="5760" w:hanging="360"/>
      </w:pPr>
    </w:lvl>
    <w:lvl w:ilvl="8" w:tplc="1848F286">
      <w:start w:val="1"/>
      <w:numFmt w:val="lowerRoman"/>
      <w:lvlText w:val="%9."/>
      <w:lvlJc w:val="right"/>
      <w:pPr>
        <w:ind w:left="6480" w:hanging="180"/>
      </w:pPr>
    </w:lvl>
  </w:abstractNum>
  <w:abstractNum w:abstractNumId="18" w15:restartNumberingAfterBreak="0">
    <w:nsid w:val="6EBB5675"/>
    <w:multiLevelType w:val="hybridMultilevel"/>
    <w:tmpl w:val="0164C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CD4272"/>
    <w:multiLevelType w:val="hybridMultilevel"/>
    <w:tmpl w:val="A0C06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B41127"/>
    <w:multiLevelType w:val="hybridMultilevel"/>
    <w:tmpl w:val="6316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3231597">
    <w:abstractNumId w:val="17"/>
  </w:num>
  <w:num w:numId="2" w16cid:durableId="1850021150">
    <w:abstractNumId w:val="10"/>
  </w:num>
  <w:num w:numId="3" w16cid:durableId="347484945">
    <w:abstractNumId w:val="0"/>
  </w:num>
  <w:num w:numId="4" w16cid:durableId="561447357">
    <w:abstractNumId w:val="6"/>
  </w:num>
  <w:num w:numId="5" w16cid:durableId="813646860">
    <w:abstractNumId w:val="15"/>
  </w:num>
  <w:num w:numId="6" w16cid:durableId="1396274325">
    <w:abstractNumId w:val="14"/>
  </w:num>
  <w:num w:numId="7" w16cid:durableId="25720160">
    <w:abstractNumId w:val="9"/>
  </w:num>
  <w:num w:numId="8" w16cid:durableId="119155200">
    <w:abstractNumId w:val="20"/>
  </w:num>
  <w:num w:numId="9" w16cid:durableId="643196885">
    <w:abstractNumId w:val="8"/>
  </w:num>
  <w:num w:numId="10" w16cid:durableId="876355199">
    <w:abstractNumId w:val="5"/>
  </w:num>
  <w:num w:numId="11" w16cid:durableId="367951655">
    <w:abstractNumId w:val="11"/>
  </w:num>
  <w:num w:numId="12" w16cid:durableId="1101417523">
    <w:abstractNumId w:val="1"/>
  </w:num>
  <w:num w:numId="13" w16cid:durableId="1895508506">
    <w:abstractNumId w:val="16"/>
  </w:num>
  <w:num w:numId="14" w16cid:durableId="1369186402">
    <w:abstractNumId w:val="4"/>
  </w:num>
  <w:num w:numId="15" w16cid:durableId="1284112569">
    <w:abstractNumId w:val="18"/>
  </w:num>
  <w:num w:numId="16" w16cid:durableId="53625606">
    <w:abstractNumId w:val="2"/>
  </w:num>
  <w:num w:numId="17" w16cid:durableId="367876875">
    <w:abstractNumId w:val="19"/>
  </w:num>
  <w:num w:numId="18" w16cid:durableId="868446342">
    <w:abstractNumId w:val="7"/>
  </w:num>
  <w:num w:numId="19" w16cid:durableId="121925059">
    <w:abstractNumId w:val="3"/>
  </w:num>
  <w:num w:numId="20" w16cid:durableId="1904177374">
    <w:abstractNumId w:val="13"/>
  </w:num>
  <w:num w:numId="21" w16cid:durableId="52077714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4A"/>
    <w:rsid w:val="000007E2"/>
    <w:rsid w:val="0000125C"/>
    <w:rsid w:val="00002533"/>
    <w:rsid w:val="000037B9"/>
    <w:rsid w:val="00003DAA"/>
    <w:rsid w:val="00004803"/>
    <w:rsid w:val="00004CFC"/>
    <w:rsid w:val="000053AA"/>
    <w:rsid w:val="00006573"/>
    <w:rsid w:val="00010737"/>
    <w:rsid w:val="00010FCA"/>
    <w:rsid w:val="00012417"/>
    <w:rsid w:val="00012A02"/>
    <w:rsid w:val="0001337B"/>
    <w:rsid w:val="00014403"/>
    <w:rsid w:val="000162C6"/>
    <w:rsid w:val="00016609"/>
    <w:rsid w:val="00016BA0"/>
    <w:rsid w:val="000176A4"/>
    <w:rsid w:val="00019954"/>
    <w:rsid w:val="000200D5"/>
    <w:rsid w:val="00020108"/>
    <w:rsid w:val="00020DF5"/>
    <w:rsid w:val="000211DD"/>
    <w:rsid w:val="00021C6C"/>
    <w:rsid w:val="00021EEB"/>
    <w:rsid w:val="00021F2D"/>
    <w:rsid w:val="00022816"/>
    <w:rsid w:val="00023ED3"/>
    <w:rsid w:val="0002400F"/>
    <w:rsid w:val="000241A2"/>
    <w:rsid w:val="000242C6"/>
    <w:rsid w:val="00024660"/>
    <w:rsid w:val="00024ADA"/>
    <w:rsid w:val="00026021"/>
    <w:rsid w:val="00026054"/>
    <w:rsid w:val="000262E4"/>
    <w:rsid w:val="0002656D"/>
    <w:rsid w:val="000268D5"/>
    <w:rsid w:val="00027B0F"/>
    <w:rsid w:val="000300DE"/>
    <w:rsid w:val="00030B0A"/>
    <w:rsid w:val="00031412"/>
    <w:rsid w:val="000314E0"/>
    <w:rsid w:val="000316B2"/>
    <w:rsid w:val="000317CA"/>
    <w:rsid w:val="0003237F"/>
    <w:rsid w:val="000337DA"/>
    <w:rsid w:val="000346B9"/>
    <w:rsid w:val="00034AA6"/>
    <w:rsid w:val="00035315"/>
    <w:rsid w:val="00035786"/>
    <w:rsid w:val="00036775"/>
    <w:rsid w:val="00036C58"/>
    <w:rsid w:val="00040061"/>
    <w:rsid w:val="000405FC"/>
    <w:rsid w:val="00040D43"/>
    <w:rsid w:val="00040DE9"/>
    <w:rsid w:val="0004185B"/>
    <w:rsid w:val="00041FC6"/>
    <w:rsid w:val="00042960"/>
    <w:rsid w:val="0004302C"/>
    <w:rsid w:val="00043079"/>
    <w:rsid w:val="000433ED"/>
    <w:rsid w:val="00043426"/>
    <w:rsid w:val="00043AF6"/>
    <w:rsid w:val="00043D35"/>
    <w:rsid w:val="00044290"/>
    <w:rsid w:val="0004452A"/>
    <w:rsid w:val="0004475D"/>
    <w:rsid w:val="00045C64"/>
    <w:rsid w:val="00045FB8"/>
    <w:rsid w:val="00046083"/>
    <w:rsid w:val="00046457"/>
    <w:rsid w:val="00046493"/>
    <w:rsid w:val="00046A92"/>
    <w:rsid w:val="00047007"/>
    <w:rsid w:val="00047395"/>
    <w:rsid w:val="000478BA"/>
    <w:rsid w:val="0004796B"/>
    <w:rsid w:val="000479C0"/>
    <w:rsid w:val="00047B4D"/>
    <w:rsid w:val="00047FD5"/>
    <w:rsid w:val="00050332"/>
    <w:rsid w:val="000509B0"/>
    <w:rsid w:val="00050BFA"/>
    <w:rsid w:val="00050C8B"/>
    <w:rsid w:val="0005196D"/>
    <w:rsid w:val="00052A22"/>
    <w:rsid w:val="00052EDF"/>
    <w:rsid w:val="0005301F"/>
    <w:rsid w:val="00054186"/>
    <w:rsid w:val="000559ED"/>
    <w:rsid w:val="00055AA1"/>
    <w:rsid w:val="0005608C"/>
    <w:rsid w:val="00056251"/>
    <w:rsid w:val="00056DB2"/>
    <w:rsid w:val="00057271"/>
    <w:rsid w:val="0006000F"/>
    <w:rsid w:val="00060730"/>
    <w:rsid w:val="000609D7"/>
    <w:rsid w:val="00060C14"/>
    <w:rsid w:val="00060E9A"/>
    <w:rsid w:val="0006152C"/>
    <w:rsid w:val="0006236A"/>
    <w:rsid w:val="000660DD"/>
    <w:rsid w:val="00066347"/>
    <w:rsid w:val="0006638D"/>
    <w:rsid w:val="0006666F"/>
    <w:rsid w:val="00066AA2"/>
    <w:rsid w:val="000671E3"/>
    <w:rsid w:val="00067774"/>
    <w:rsid w:val="000678D7"/>
    <w:rsid w:val="000702F6"/>
    <w:rsid w:val="0007075C"/>
    <w:rsid w:val="0007251E"/>
    <w:rsid w:val="0007390A"/>
    <w:rsid w:val="00073B60"/>
    <w:rsid w:val="00074A67"/>
    <w:rsid w:val="00075472"/>
    <w:rsid w:val="00075820"/>
    <w:rsid w:val="00076958"/>
    <w:rsid w:val="000774D3"/>
    <w:rsid w:val="00077952"/>
    <w:rsid w:val="00077B4D"/>
    <w:rsid w:val="00080375"/>
    <w:rsid w:val="000803D5"/>
    <w:rsid w:val="00080BF3"/>
    <w:rsid w:val="00080D4D"/>
    <w:rsid w:val="00080E7A"/>
    <w:rsid w:val="00081DFE"/>
    <w:rsid w:val="00082E53"/>
    <w:rsid w:val="00083305"/>
    <w:rsid w:val="0008571A"/>
    <w:rsid w:val="00085A53"/>
    <w:rsid w:val="00085ED4"/>
    <w:rsid w:val="00087200"/>
    <w:rsid w:val="000878FE"/>
    <w:rsid w:val="00087F99"/>
    <w:rsid w:val="000900DF"/>
    <w:rsid w:val="000906AD"/>
    <w:rsid w:val="000919C9"/>
    <w:rsid w:val="00092096"/>
    <w:rsid w:val="000925FB"/>
    <w:rsid w:val="0009328C"/>
    <w:rsid w:val="0009343C"/>
    <w:rsid w:val="0009539A"/>
    <w:rsid w:val="00095F54"/>
    <w:rsid w:val="00096E55"/>
    <w:rsid w:val="00097BFE"/>
    <w:rsid w:val="000A10E6"/>
    <w:rsid w:val="000A124A"/>
    <w:rsid w:val="000A23D2"/>
    <w:rsid w:val="000A2956"/>
    <w:rsid w:val="000A2E4A"/>
    <w:rsid w:val="000A5356"/>
    <w:rsid w:val="000A62A2"/>
    <w:rsid w:val="000A65C9"/>
    <w:rsid w:val="000A6603"/>
    <w:rsid w:val="000A6FA4"/>
    <w:rsid w:val="000A74DA"/>
    <w:rsid w:val="000A7CDD"/>
    <w:rsid w:val="000B009E"/>
    <w:rsid w:val="000B00C6"/>
    <w:rsid w:val="000B070D"/>
    <w:rsid w:val="000B0C66"/>
    <w:rsid w:val="000B0CE6"/>
    <w:rsid w:val="000B0D8C"/>
    <w:rsid w:val="000B1913"/>
    <w:rsid w:val="000B238B"/>
    <w:rsid w:val="000B2963"/>
    <w:rsid w:val="000B2DDA"/>
    <w:rsid w:val="000B30DA"/>
    <w:rsid w:val="000B33BC"/>
    <w:rsid w:val="000B3A2C"/>
    <w:rsid w:val="000B56D6"/>
    <w:rsid w:val="000B5BB0"/>
    <w:rsid w:val="000B62A2"/>
    <w:rsid w:val="000C215F"/>
    <w:rsid w:val="000C244A"/>
    <w:rsid w:val="000C2D64"/>
    <w:rsid w:val="000C33A2"/>
    <w:rsid w:val="000C34B9"/>
    <w:rsid w:val="000C379D"/>
    <w:rsid w:val="000C52FA"/>
    <w:rsid w:val="000C5337"/>
    <w:rsid w:val="000C61DD"/>
    <w:rsid w:val="000C6505"/>
    <w:rsid w:val="000C689E"/>
    <w:rsid w:val="000C6ED3"/>
    <w:rsid w:val="000C7065"/>
    <w:rsid w:val="000C7459"/>
    <w:rsid w:val="000C7F97"/>
    <w:rsid w:val="000C7FA1"/>
    <w:rsid w:val="000D0061"/>
    <w:rsid w:val="000D07F1"/>
    <w:rsid w:val="000D109F"/>
    <w:rsid w:val="000D1669"/>
    <w:rsid w:val="000D1CA7"/>
    <w:rsid w:val="000D1EFA"/>
    <w:rsid w:val="000D2435"/>
    <w:rsid w:val="000D2978"/>
    <w:rsid w:val="000D2A85"/>
    <w:rsid w:val="000D497B"/>
    <w:rsid w:val="000D4E97"/>
    <w:rsid w:val="000D5247"/>
    <w:rsid w:val="000D593F"/>
    <w:rsid w:val="000D7A2E"/>
    <w:rsid w:val="000E0F3E"/>
    <w:rsid w:val="000E194A"/>
    <w:rsid w:val="000E2886"/>
    <w:rsid w:val="000E2ECE"/>
    <w:rsid w:val="000E3B64"/>
    <w:rsid w:val="000E4232"/>
    <w:rsid w:val="000E59D3"/>
    <w:rsid w:val="000E5C36"/>
    <w:rsid w:val="000E697F"/>
    <w:rsid w:val="000E69CE"/>
    <w:rsid w:val="000F01C3"/>
    <w:rsid w:val="000F0990"/>
    <w:rsid w:val="000F11B9"/>
    <w:rsid w:val="000F193B"/>
    <w:rsid w:val="000F1E35"/>
    <w:rsid w:val="000F2A71"/>
    <w:rsid w:val="000F33AF"/>
    <w:rsid w:val="000F40FC"/>
    <w:rsid w:val="000F43D5"/>
    <w:rsid w:val="000F4BF7"/>
    <w:rsid w:val="000F6396"/>
    <w:rsid w:val="000F6B35"/>
    <w:rsid w:val="00100C82"/>
    <w:rsid w:val="00100FEE"/>
    <w:rsid w:val="001013D1"/>
    <w:rsid w:val="00101B27"/>
    <w:rsid w:val="00101B8E"/>
    <w:rsid w:val="00101E39"/>
    <w:rsid w:val="00102300"/>
    <w:rsid w:val="00103FF6"/>
    <w:rsid w:val="00104845"/>
    <w:rsid w:val="00104C3E"/>
    <w:rsid w:val="00106A86"/>
    <w:rsid w:val="00106DFC"/>
    <w:rsid w:val="00107215"/>
    <w:rsid w:val="00107EE3"/>
    <w:rsid w:val="001103FC"/>
    <w:rsid w:val="00110E39"/>
    <w:rsid w:val="001110C3"/>
    <w:rsid w:val="0011156F"/>
    <w:rsid w:val="0011246E"/>
    <w:rsid w:val="0011304D"/>
    <w:rsid w:val="00113876"/>
    <w:rsid w:val="001151F1"/>
    <w:rsid w:val="00115516"/>
    <w:rsid w:val="0011582B"/>
    <w:rsid w:val="00116410"/>
    <w:rsid w:val="00116C15"/>
    <w:rsid w:val="00117234"/>
    <w:rsid w:val="00120340"/>
    <w:rsid w:val="00120C84"/>
    <w:rsid w:val="0012126C"/>
    <w:rsid w:val="001222C5"/>
    <w:rsid w:val="00122D10"/>
    <w:rsid w:val="001238EE"/>
    <w:rsid w:val="0012453C"/>
    <w:rsid w:val="00124A87"/>
    <w:rsid w:val="00124D86"/>
    <w:rsid w:val="00124FDC"/>
    <w:rsid w:val="001273F6"/>
    <w:rsid w:val="00127F9A"/>
    <w:rsid w:val="001302CF"/>
    <w:rsid w:val="00130523"/>
    <w:rsid w:val="00130A44"/>
    <w:rsid w:val="00131305"/>
    <w:rsid w:val="0013244B"/>
    <w:rsid w:val="00132460"/>
    <w:rsid w:val="00133574"/>
    <w:rsid w:val="00136579"/>
    <w:rsid w:val="00140CAE"/>
    <w:rsid w:val="00140EF5"/>
    <w:rsid w:val="0014115C"/>
    <w:rsid w:val="001415C9"/>
    <w:rsid w:val="00141CE9"/>
    <w:rsid w:val="001432E8"/>
    <w:rsid w:val="0014458F"/>
    <w:rsid w:val="001451DF"/>
    <w:rsid w:val="0014555B"/>
    <w:rsid w:val="00147A8F"/>
    <w:rsid w:val="00147D70"/>
    <w:rsid w:val="00151066"/>
    <w:rsid w:val="0015156A"/>
    <w:rsid w:val="00151737"/>
    <w:rsid w:val="0015269F"/>
    <w:rsid w:val="001527EF"/>
    <w:rsid w:val="001538D6"/>
    <w:rsid w:val="00153CF7"/>
    <w:rsid w:val="00154011"/>
    <w:rsid w:val="00154033"/>
    <w:rsid w:val="00155B86"/>
    <w:rsid w:val="0015645A"/>
    <w:rsid w:val="00156C55"/>
    <w:rsid w:val="00156DCF"/>
    <w:rsid w:val="001578AB"/>
    <w:rsid w:val="001602A9"/>
    <w:rsid w:val="00161E8A"/>
    <w:rsid w:val="00162920"/>
    <w:rsid w:val="00162AF3"/>
    <w:rsid w:val="00163089"/>
    <w:rsid w:val="001634F7"/>
    <w:rsid w:val="00164085"/>
    <w:rsid w:val="00164728"/>
    <w:rsid w:val="00165A59"/>
    <w:rsid w:val="0016632F"/>
    <w:rsid w:val="0016638D"/>
    <w:rsid w:val="001667EA"/>
    <w:rsid w:val="00166911"/>
    <w:rsid w:val="00167075"/>
    <w:rsid w:val="0016747A"/>
    <w:rsid w:val="00167A9A"/>
    <w:rsid w:val="001702D7"/>
    <w:rsid w:val="00170821"/>
    <w:rsid w:val="00170E11"/>
    <w:rsid w:val="00170E45"/>
    <w:rsid w:val="00171B33"/>
    <w:rsid w:val="00171CA4"/>
    <w:rsid w:val="0017243A"/>
    <w:rsid w:val="0017257F"/>
    <w:rsid w:val="00172909"/>
    <w:rsid w:val="001732D7"/>
    <w:rsid w:val="00173BBC"/>
    <w:rsid w:val="00173E50"/>
    <w:rsid w:val="0017489B"/>
    <w:rsid w:val="00175769"/>
    <w:rsid w:val="00175966"/>
    <w:rsid w:val="001759F0"/>
    <w:rsid w:val="00176DF1"/>
    <w:rsid w:val="00176E5E"/>
    <w:rsid w:val="00176F0E"/>
    <w:rsid w:val="0017704F"/>
    <w:rsid w:val="0017718B"/>
    <w:rsid w:val="001773E4"/>
    <w:rsid w:val="001814A8"/>
    <w:rsid w:val="001818B2"/>
    <w:rsid w:val="001823BC"/>
    <w:rsid w:val="00183585"/>
    <w:rsid w:val="00183C41"/>
    <w:rsid w:val="0018451E"/>
    <w:rsid w:val="00185304"/>
    <w:rsid w:val="00186952"/>
    <w:rsid w:val="0018759D"/>
    <w:rsid w:val="00190052"/>
    <w:rsid w:val="00190CFB"/>
    <w:rsid w:val="00191074"/>
    <w:rsid w:val="00191313"/>
    <w:rsid w:val="0019133C"/>
    <w:rsid w:val="001916D1"/>
    <w:rsid w:val="00191F20"/>
    <w:rsid w:val="00192F79"/>
    <w:rsid w:val="00192FDA"/>
    <w:rsid w:val="00193FFE"/>
    <w:rsid w:val="00194EDA"/>
    <w:rsid w:val="00194F42"/>
    <w:rsid w:val="00195563"/>
    <w:rsid w:val="0019595F"/>
    <w:rsid w:val="0019603A"/>
    <w:rsid w:val="00196081"/>
    <w:rsid w:val="001974AB"/>
    <w:rsid w:val="001A006C"/>
    <w:rsid w:val="001A05E6"/>
    <w:rsid w:val="001A0E1A"/>
    <w:rsid w:val="001A0F7C"/>
    <w:rsid w:val="001A168F"/>
    <w:rsid w:val="001A2147"/>
    <w:rsid w:val="001A272A"/>
    <w:rsid w:val="001A3B37"/>
    <w:rsid w:val="001A4EE9"/>
    <w:rsid w:val="001A5428"/>
    <w:rsid w:val="001A730B"/>
    <w:rsid w:val="001B010D"/>
    <w:rsid w:val="001B01F8"/>
    <w:rsid w:val="001B09F6"/>
    <w:rsid w:val="001B2068"/>
    <w:rsid w:val="001B2F0E"/>
    <w:rsid w:val="001B3A01"/>
    <w:rsid w:val="001B3E8D"/>
    <w:rsid w:val="001B42C4"/>
    <w:rsid w:val="001B4AD9"/>
    <w:rsid w:val="001B6D42"/>
    <w:rsid w:val="001B6FA1"/>
    <w:rsid w:val="001B747D"/>
    <w:rsid w:val="001B7C71"/>
    <w:rsid w:val="001C0331"/>
    <w:rsid w:val="001C0593"/>
    <w:rsid w:val="001C15F0"/>
    <w:rsid w:val="001C23FC"/>
    <w:rsid w:val="001C24FE"/>
    <w:rsid w:val="001C2694"/>
    <w:rsid w:val="001C297B"/>
    <w:rsid w:val="001C323B"/>
    <w:rsid w:val="001C3A53"/>
    <w:rsid w:val="001C3D2D"/>
    <w:rsid w:val="001C41DE"/>
    <w:rsid w:val="001C479B"/>
    <w:rsid w:val="001C64B7"/>
    <w:rsid w:val="001C6641"/>
    <w:rsid w:val="001C6A04"/>
    <w:rsid w:val="001C718F"/>
    <w:rsid w:val="001C71C5"/>
    <w:rsid w:val="001C7D3D"/>
    <w:rsid w:val="001D078D"/>
    <w:rsid w:val="001D0B78"/>
    <w:rsid w:val="001D0F06"/>
    <w:rsid w:val="001D1531"/>
    <w:rsid w:val="001D1DDE"/>
    <w:rsid w:val="001D2274"/>
    <w:rsid w:val="001D26CC"/>
    <w:rsid w:val="001D3110"/>
    <w:rsid w:val="001D3A1B"/>
    <w:rsid w:val="001D3F00"/>
    <w:rsid w:val="001D4A43"/>
    <w:rsid w:val="001D562C"/>
    <w:rsid w:val="001D577D"/>
    <w:rsid w:val="001D7403"/>
    <w:rsid w:val="001E0105"/>
    <w:rsid w:val="001E038D"/>
    <w:rsid w:val="001E0433"/>
    <w:rsid w:val="001E0900"/>
    <w:rsid w:val="001E3CD6"/>
    <w:rsid w:val="001E46E2"/>
    <w:rsid w:val="001E4DA1"/>
    <w:rsid w:val="001E5098"/>
    <w:rsid w:val="001E597E"/>
    <w:rsid w:val="001E60D2"/>
    <w:rsid w:val="001E6276"/>
    <w:rsid w:val="001E7E86"/>
    <w:rsid w:val="001E7FBB"/>
    <w:rsid w:val="001F01DA"/>
    <w:rsid w:val="001F1339"/>
    <w:rsid w:val="001F1B6C"/>
    <w:rsid w:val="001F2121"/>
    <w:rsid w:val="001F2176"/>
    <w:rsid w:val="001F27E8"/>
    <w:rsid w:val="001F2959"/>
    <w:rsid w:val="001F310F"/>
    <w:rsid w:val="001F4381"/>
    <w:rsid w:val="001F4E03"/>
    <w:rsid w:val="001F50CC"/>
    <w:rsid w:val="001F5A93"/>
    <w:rsid w:val="001F65BD"/>
    <w:rsid w:val="00202FE7"/>
    <w:rsid w:val="002032F9"/>
    <w:rsid w:val="0020338C"/>
    <w:rsid w:val="00203C89"/>
    <w:rsid w:val="00204044"/>
    <w:rsid w:val="0020444D"/>
    <w:rsid w:val="00204DF5"/>
    <w:rsid w:val="0020509C"/>
    <w:rsid w:val="002052B8"/>
    <w:rsid w:val="00205387"/>
    <w:rsid w:val="00205D69"/>
    <w:rsid w:val="002068D4"/>
    <w:rsid w:val="00206BEC"/>
    <w:rsid w:val="00207CCE"/>
    <w:rsid w:val="00207ECE"/>
    <w:rsid w:val="002109D6"/>
    <w:rsid w:val="00210BF2"/>
    <w:rsid w:val="002118AC"/>
    <w:rsid w:val="002120E1"/>
    <w:rsid w:val="00212BD7"/>
    <w:rsid w:val="00212CC7"/>
    <w:rsid w:val="00213167"/>
    <w:rsid w:val="00213B88"/>
    <w:rsid w:val="00213EA9"/>
    <w:rsid w:val="00214F90"/>
    <w:rsid w:val="002160AB"/>
    <w:rsid w:val="00216482"/>
    <w:rsid w:val="00220D0E"/>
    <w:rsid w:val="00221EF7"/>
    <w:rsid w:val="002224A6"/>
    <w:rsid w:val="0022300F"/>
    <w:rsid w:val="00224B93"/>
    <w:rsid w:val="00224BAC"/>
    <w:rsid w:val="002255A7"/>
    <w:rsid w:val="00225858"/>
    <w:rsid w:val="00225BA2"/>
    <w:rsid w:val="00225C0D"/>
    <w:rsid w:val="002270AD"/>
    <w:rsid w:val="00227D12"/>
    <w:rsid w:val="0023108F"/>
    <w:rsid w:val="00231D78"/>
    <w:rsid w:val="00233008"/>
    <w:rsid w:val="0023359B"/>
    <w:rsid w:val="00233C6F"/>
    <w:rsid w:val="0023411C"/>
    <w:rsid w:val="00235108"/>
    <w:rsid w:val="00235FBE"/>
    <w:rsid w:val="00236502"/>
    <w:rsid w:val="0023702F"/>
    <w:rsid w:val="00237D0B"/>
    <w:rsid w:val="00240A40"/>
    <w:rsid w:val="00240B45"/>
    <w:rsid w:val="00240E50"/>
    <w:rsid w:val="00241AD0"/>
    <w:rsid w:val="00242788"/>
    <w:rsid w:val="002429C1"/>
    <w:rsid w:val="002437B5"/>
    <w:rsid w:val="002440CC"/>
    <w:rsid w:val="002447C1"/>
    <w:rsid w:val="002447D8"/>
    <w:rsid w:val="002455C0"/>
    <w:rsid w:val="00245C5C"/>
    <w:rsid w:val="0024630D"/>
    <w:rsid w:val="0024676D"/>
    <w:rsid w:val="00246EE0"/>
    <w:rsid w:val="002471F2"/>
    <w:rsid w:val="002477A4"/>
    <w:rsid w:val="00247B87"/>
    <w:rsid w:val="00247DA7"/>
    <w:rsid w:val="002522B0"/>
    <w:rsid w:val="00252E43"/>
    <w:rsid w:val="00252E5A"/>
    <w:rsid w:val="0025372D"/>
    <w:rsid w:val="00253FF8"/>
    <w:rsid w:val="002543CA"/>
    <w:rsid w:val="0025487A"/>
    <w:rsid w:val="002555D6"/>
    <w:rsid w:val="0025677E"/>
    <w:rsid w:val="0025693B"/>
    <w:rsid w:val="002605E3"/>
    <w:rsid w:val="002609D2"/>
    <w:rsid w:val="002615F2"/>
    <w:rsid w:val="002619AB"/>
    <w:rsid w:val="0026255A"/>
    <w:rsid w:val="00263355"/>
    <w:rsid w:val="0026341A"/>
    <w:rsid w:val="002637DA"/>
    <w:rsid w:val="00264EEB"/>
    <w:rsid w:val="0026524F"/>
    <w:rsid w:val="002653E1"/>
    <w:rsid w:val="002658AE"/>
    <w:rsid w:val="002664BB"/>
    <w:rsid w:val="00270123"/>
    <w:rsid w:val="002730BA"/>
    <w:rsid w:val="002738A6"/>
    <w:rsid w:val="0027436F"/>
    <w:rsid w:val="00274A1F"/>
    <w:rsid w:val="00274F1E"/>
    <w:rsid w:val="00275A41"/>
    <w:rsid w:val="00275D64"/>
    <w:rsid w:val="00275E43"/>
    <w:rsid w:val="00276A27"/>
    <w:rsid w:val="002774F0"/>
    <w:rsid w:val="00277C62"/>
    <w:rsid w:val="002803BC"/>
    <w:rsid w:val="00280BF0"/>
    <w:rsid w:val="00280F7C"/>
    <w:rsid w:val="0028106D"/>
    <w:rsid w:val="00281370"/>
    <w:rsid w:val="0028183C"/>
    <w:rsid w:val="00281848"/>
    <w:rsid w:val="00281C62"/>
    <w:rsid w:val="00281F1F"/>
    <w:rsid w:val="002823EE"/>
    <w:rsid w:val="002824BE"/>
    <w:rsid w:val="00282FA9"/>
    <w:rsid w:val="002832EE"/>
    <w:rsid w:val="0028349D"/>
    <w:rsid w:val="00283E57"/>
    <w:rsid w:val="00284760"/>
    <w:rsid w:val="00284B5D"/>
    <w:rsid w:val="002855EB"/>
    <w:rsid w:val="00286368"/>
    <w:rsid w:val="002865DF"/>
    <w:rsid w:val="0028762E"/>
    <w:rsid w:val="00287FEC"/>
    <w:rsid w:val="00290A82"/>
    <w:rsid w:val="00290FC5"/>
    <w:rsid w:val="0029148D"/>
    <w:rsid w:val="0029182C"/>
    <w:rsid w:val="00291A36"/>
    <w:rsid w:val="00291DE2"/>
    <w:rsid w:val="00292E35"/>
    <w:rsid w:val="002938BC"/>
    <w:rsid w:val="00293E28"/>
    <w:rsid w:val="00294CA5"/>
    <w:rsid w:val="00295873"/>
    <w:rsid w:val="00295898"/>
    <w:rsid w:val="002965FE"/>
    <w:rsid w:val="002969BD"/>
    <w:rsid w:val="002A01E7"/>
    <w:rsid w:val="002A05A7"/>
    <w:rsid w:val="002A0817"/>
    <w:rsid w:val="002A0DC6"/>
    <w:rsid w:val="002A1039"/>
    <w:rsid w:val="002A10C7"/>
    <w:rsid w:val="002A1D20"/>
    <w:rsid w:val="002A21C0"/>
    <w:rsid w:val="002A2F75"/>
    <w:rsid w:val="002A3BA9"/>
    <w:rsid w:val="002A3F66"/>
    <w:rsid w:val="002A4A4D"/>
    <w:rsid w:val="002A4AD9"/>
    <w:rsid w:val="002A5F72"/>
    <w:rsid w:val="002A6A98"/>
    <w:rsid w:val="002A7D8F"/>
    <w:rsid w:val="002B05E7"/>
    <w:rsid w:val="002B0E99"/>
    <w:rsid w:val="002B10DB"/>
    <w:rsid w:val="002B1B98"/>
    <w:rsid w:val="002B3249"/>
    <w:rsid w:val="002B5226"/>
    <w:rsid w:val="002B5ED6"/>
    <w:rsid w:val="002B7811"/>
    <w:rsid w:val="002B7EEA"/>
    <w:rsid w:val="002C0840"/>
    <w:rsid w:val="002C124D"/>
    <w:rsid w:val="002C1CAC"/>
    <w:rsid w:val="002C2395"/>
    <w:rsid w:val="002C29A6"/>
    <w:rsid w:val="002C2CA3"/>
    <w:rsid w:val="002C3AAB"/>
    <w:rsid w:val="002C5D08"/>
    <w:rsid w:val="002C6E63"/>
    <w:rsid w:val="002C7E59"/>
    <w:rsid w:val="002D141D"/>
    <w:rsid w:val="002D163B"/>
    <w:rsid w:val="002D1890"/>
    <w:rsid w:val="002D1960"/>
    <w:rsid w:val="002D1C49"/>
    <w:rsid w:val="002D2213"/>
    <w:rsid w:val="002D2FD0"/>
    <w:rsid w:val="002D2FE2"/>
    <w:rsid w:val="002D3EA4"/>
    <w:rsid w:val="002D4566"/>
    <w:rsid w:val="002D4DD5"/>
    <w:rsid w:val="002E0157"/>
    <w:rsid w:val="002E0178"/>
    <w:rsid w:val="002E05D2"/>
    <w:rsid w:val="002E0604"/>
    <w:rsid w:val="002E0F6B"/>
    <w:rsid w:val="002E0FE8"/>
    <w:rsid w:val="002E1AEB"/>
    <w:rsid w:val="002E1C7A"/>
    <w:rsid w:val="002E2AB6"/>
    <w:rsid w:val="002E2CF1"/>
    <w:rsid w:val="002E2E3A"/>
    <w:rsid w:val="002E3CAC"/>
    <w:rsid w:val="002E3F8C"/>
    <w:rsid w:val="002E4E1D"/>
    <w:rsid w:val="002E4E6D"/>
    <w:rsid w:val="002E523F"/>
    <w:rsid w:val="002E6219"/>
    <w:rsid w:val="002E6A6C"/>
    <w:rsid w:val="002E6C99"/>
    <w:rsid w:val="002E75DD"/>
    <w:rsid w:val="002F0E8C"/>
    <w:rsid w:val="002F1A34"/>
    <w:rsid w:val="002F1BBB"/>
    <w:rsid w:val="002F2DA2"/>
    <w:rsid w:val="002F35E3"/>
    <w:rsid w:val="002F380C"/>
    <w:rsid w:val="002F387D"/>
    <w:rsid w:val="002F3F58"/>
    <w:rsid w:val="002F468E"/>
    <w:rsid w:val="002F50C3"/>
    <w:rsid w:val="002F5AD8"/>
    <w:rsid w:val="002F66DD"/>
    <w:rsid w:val="002F7F4D"/>
    <w:rsid w:val="00301649"/>
    <w:rsid w:val="003018ED"/>
    <w:rsid w:val="00301A97"/>
    <w:rsid w:val="003029AC"/>
    <w:rsid w:val="00302CC6"/>
    <w:rsid w:val="0030416C"/>
    <w:rsid w:val="003046DC"/>
    <w:rsid w:val="00304ACB"/>
    <w:rsid w:val="003067D9"/>
    <w:rsid w:val="00307AD2"/>
    <w:rsid w:val="003107B6"/>
    <w:rsid w:val="00311B13"/>
    <w:rsid w:val="00312669"/>
    <w:rsid w:val="00313CF9"/>
    <w:rsid w:val="0031427F"/>
    <w:rsid w:val="00314442"/>
    <w:rsid w:val="003152D7"/>
    <w:rsid w:val="003172BF"/>
    <w:rsid w:val="00317A00"/>
    <w:rsid w:val="00317D2B"/>
    <w:rsid w:val="00320A51"/>
    <w:rsid w:val="00320CFD"/>
    <w:rsid w:val="00321188"/>
    <w:rsid w:val="003211C8"/>
    <w:rsid w:val="00321960"/>
    <w:rsid w:val="003219DF"/>
    <w:rsid w:val="00321BEB"/>
    <w:rsid w:val="003222B5"/>
    <w:rsid w:val="00322685"/>
    <w:rsid w:val="00324C17"/>
    <w:rsid w:val="00325054"/>
    <w:rsid w:val="00326FB5"/>
    <w:rsid w:val="003270C6"/>
    <w:rsid w:val="003301F0"/>
    <w:rsid w:val="00330EEA"/>
    <w:rsid w:val="003317B4"/>
    <w:rsid w:val="00332A3E"/>
    <w:rsid w:val="00333580"/>
    <w:rsid w:val="00333B38"/>
    <w:rsid w:val="00333EAD"/>
    <w:rsid w:val="00334335"/>
    <w:rsid w:val="00334CBA"/>
    <w:rsid w:val="003357C4"/>
    <w:rsid w:val="00335B13"/>
    <w:rsid w:val="00335D1B"/>
    <w:rsid w:val="0033667C"/>
    <w:rsid w:val="003376F2"/>
    <w:rsid w:val="00337A12"/>
    <w:rsid w:val="00340511"/>
    <w:rsid w:val="0034173A"/>
    <w:rsid w:val="00342375"/>
    <w:rsid w:val="00342E67"/>
    <w:rsid w:val="003430F4"/>
    <w:rsid w:val="00343487"/>
    <w:rsid w:val="0034380B"/>
    <w:rsid w:val="0034429D"/>
    <w:rsid w:val="00344DF7"/>
    <w:rsid w:val="0034564B"/>
    <w:rsid w:val="003460C1"/>
    <w:rsid w:val="003463AE"/>
    <w:rsid w:val="00346CEA"/>
    <w:rsid w:val="0034794E"/>
    <w:rsid w:val="0035076C"/>
    <w:rsid w:val="003521FF"/>
    <w:rsid w:val="00352B84"/>
    <w:rsid w:val="00353035"/>
    <w:rsid w:val="00353B28"/>
    <w:rsid w:val="00354FF6"/>
    <w:rsid w:val="0035547F"/>
    <w:rsid w:val="00355635"/>
    <w:rsid w:val="00356634"/>
    <w:rsid w:val="00356F17"/>
    <w:rsid w:val="00357699"/>
    <w:rsid w:val="00360695"/>
    <w:rsid w:val="00361AAF"/>
    <w:rsid w:val="00362931"/>
    <w:rsid w:val="00363551"/>
    <w:rsid w:val="00363AE2"/>
    <w:rsid w:val="003642CE"/>
    <w:rsid w:val="00364AFD"/>
    <w:rsid w:val="003652CE"/>
    <w:rsid w:val="0036589E"/>
    <w:rsid w:val="00365BD1"/>
    <w:rsid w:val="00366540"/>
    <w:rsid w:val="003665B4"/>
    <w:rsid w:val="00366C6A"/>
    <w:rsid w:val="0036793B"/>
    <w:rsid w:val="00367995"/>
    <w:rsid w:val="0037042A"/>
    <w:rsid w:val="00370810"/>
    <w:rsid w:val="00370999"/>
    <w:rsid w:val="003711C5"/>
    <w:rsid w:val="003718EA"/>
    <w:rsid w:val="00372394"/>
    <w:rsid w:val="0037306A"/>
    <w:rsid w:val="00373798"/>
    <w:rsid w:val="00373A6B"/>
    <w:rsid w:val="003743A5"/>
    <w:rsid w:val="003743DD"/>
    <w:rsid w:val="00375A95"/>
    <w:rsid w:val="00376132"/>
    <w:rsid w:val="00376691"/>
    <w:rsid w:val="00376C8C"/>
    <w:rsid w:val="003775E1"/>
    <w:rsid w:val="00377FCD"/>
    <w:rsid w:val="0038058C"/>
    <w:rsid w:val="00380F41"/>
    <w:rsid w:val="003813BD"/>
    <w:rsid w:val="00381B0C"/>
    <w:rsid w:val="00382080"/>
    <w:rsid w:val="0038273A"/>
    <w:rsid w:val="00382CEA"/>
    <w:rsid w:val="003835AF"/>
    <w:rsid w:val="00383D0E"/>
    <w:rsid w:val="0038437C"/>
    <w:rsid w:val="00384704"/>
    <w:rsid w:val="003850ED"/>
    <w:rsid w:val="003856CD"/>
    <w:rsid w:val="00386545"/>
    <w:rsid w:val="00386A6A"/>
    <w:rsid w:val="00386D51"/>
    <w:rsid w:val="003873B5"/>
    <w:rsid w:val="003878CE"/>
    <w:rsid w:val="00391708"/>
    <w:rsid w:val="003919F7"/>
    <w:rsid w:val="00391CFB"/>
    <w:rsid w:val="00393A9F"/>
    <w:rsid w:val="00393BFF"/>
    <w:rsid w:val="003946C7"/>
    <w:rsid w:val="00394CD7"/>
    <w:rsid w:val="00394FF6"/>
    <w:rsid w:val="003957C6"/>
    <w:rsid w:val="0039655A"/>
    <w:rsid w:val="00396F71"/>
    <w:rsid w:val="00397444"/>
    <w:rsid w:val="003A1171"/>
    <w:rsid w:val="003A1491"/>
    <w:rsid w:val="003A2EC2"/>
    <w:rsid w:val="003A3A76"/>
    <w:rsid w:val="003A5768"/>
    <w:rsid w:val="003A6EF6"/>
    <w:rsid w:val="003A6F2B"/>
    <w:rsid w:val="003A7725"/>
    <w:rsid w:val="003A7E31"/>
    <w:rsid w:val="003A7EF6"/>
    <w:rsid w:val="003B09EC"/>
    <w:rsid w:val="003B0F65"/>
    <w:rsid w:val="003B2A09"/>
    <w:rsid w:val="003B42E2"/>
    <w:rsid w:val="003B48CE"/>
    <w:rsid w:val="003B497A"/>
    <w:rsid w:val="003B4F40"/>
    <w:rsid w:val="003B5993"/>
    <w:rsid w:val="003B5FAE"/>
    <w:rsid w:val="003B63C6"/>
    <w:rsid w:val="003B72DC"/>
    <w:rsid w:val="003B7E59"/>
    <w:rsid w:val="003C1ED8"/>
    <w:rsid w:val="003C4F4F"/>
    <w:rsid w:val="003C5565"/>
    <w:rsid w:val="003C6052"/>
    <w:rsid w:val="003C7B64"/>
    <w:rsid w:val="003D08FB"/>
    <w:rsid w:val="003D0ADC"/>
    <w:rsid w:val="003D1805"/>
    <w:rsid w:val="003D1872"/>
    <w:rsid w:val="003D1EBE"/>
    <w:rsid w:val="003D2247"/>
    <w:rsid w:val="003D2764"/>
    <w:rsid w:val="003D318C"/>
    <w:rsid w:val="003D340F"/>
    <w:rsid w:val="003D34E3"/>
    <w:rsid w:val="003D3818"/>
    <w:rsid w:val="003D63A4"/>
    <w:rsid w:val="003D7AC7"/>
    <w:rsid w:val="003E0392"/>
    <w:rsid w:val="003E056B"/>
    <w:rsid w:val="003E0A13"/>
    <w:rsid w:val="003E0A14"/>
    <w:rsid w:val="003E27DE"/>
    <w:rsid w:val="003E29F6"/>
    <w:rsid w:val="003E36B1"/>
    <w:rsid w:val="003E37F8"/>
    <w:rsid w:val="003E3AC6"/>
    <w:rsid w:val="003E50A0"/>
    <w:rsid w:val="003E5259"/>
    <w:rsid w:val="003E581E"/>
    <w:rsid w:val="003E60FF"/>
    <w:rsid w:val="003E6549"/>
    <w:rsid w:val="003E67EF"/>
    <w:rsid w:val="003E71E9"/>
    <w:rsid w:val="003E7741"/>
    <w:rsid w:val="003F0073"/>
    <w:rsid w:val="003F00C8"/>
    <w:rsid w:val="003F06E3"/>
    <w:rsid w:val="003F1070"/>
    <w:rsid w:val="003F1161"/>
    <w:rsid w:val="003F331D"/>
    <w:rsid w:val="003F4596"/>
    <w:rsid w:val="003F49AD"/>
    <w:rsid w:val="003F55D8"/>
    <w:rsid w:val="003F5F33"/>
    <w:rsid w:val="003F60EF"/>
    <w:rsid w:val="003F74E5"/>
    <w:rsid w:val="003F7908"/>
    <w:rsid w:val="003F7D94"/>
    <w:rsid w:val="004011D5"/>
    <w:rsid w:val="00401A65"/>
    <w:rsid w:val="0040423C"/>
    <w:rsid w:val="0040445C"/>
    <w:rsid w:val="00404920"/>
    <w:rsid w:val="00404CE2"/>
    <w:rsid w:val="00404D57"/>
    <w:rsid w:val="00405073"/>
    <w:rsid w:val="00405A90"/>
    <w:rsid w:val="00406A29"/>
    <w:rsid w:val="00407356"/>
    <w:rsid w:val="00407965"/>
    <w:rsid w:val="00411738"/>
    <w:rsid w:val="00411B11"/>
    <w:rsid w:val="00412253"/>
    <w:rsid w:val="00412A84"/>
    <w:rsid w:val="0041400E"/>
    <w:rsid w:val="0041535E"/>
    <w:rsid w:val="00415BEF"/>
    <w:rsid w:val="00415DAB"/>
    <w:rsid w:val="00416112"/>
    <w:rsid w:val="0041674B"/>
    <w:rsid w:val="00417BC1"/>
    <w:rsid w:val="004212A8"/>
    <w:rsid w:val="004225A8"/>
    <w:rsid w:val="0042300A"/>
    <w:rsid w:val="004233EC"/>
    <w:rsid w:val="00423C31"/>
    <w:rsid w:val="00423F01"/>
    <w:rsid w:val="00424326"/>
    <w:rsid w:val="004244C7"/>
    <w:rsid w:val="00424787"/>
    <w:rsid w:val="00424E3B"/>
    <w:rsid w:val="00425F38"/>
    <w:rsid w:val="004261F2"/>
    <w:rsid w:val="004266D4"/>
    <w:rsid w:val="00427A61"/>
    <w:rsid w:val="00427DFB"/>
    <w:rsid w:val="004304E8"/>
    <w:rsid w:val="00430BBC"/>
    <w:rsid w:val="00431701"/>
    <w:rsid w:val="00431A8E"/>
    <w:rsid w:val="004328D8"/>
    <w:rsid w:val="00432A1E"/>
    <w:rsid w:val="00432C41"/>
    <w:rsid w:val="00432CF9"/>
    <w:rsid w:val="00433ABB"/>
    <w:rsid w:val="00435F3D"/>
    <w:rsid w:val="0043659E"/>
    <w:rsid w:val="004368CC"/>
    <w:rsid w:val="004375B1"/>
    <w:rsid w:val="00437668"/>
    <w:rsid w:val="00440350"/>
    <w:rsid w:val="00440C13"/>
    <w:rsid w:val="00440D09"/>
    <w:rsid w:val="00440FBE"/>
    <w:rsid w:val="0044168C"/>
    <w:rsid w:val="00441DF5"/>
    <w:rsid w:val="004420DE"/>
    <w:rsid w:val="00442273"/>
    <w:rsid w:val="00442C95"/>
    <w:rsid w:val="004436EB"/>
    <w:rsid w:val="00443C87"/>
    <w:rsid w:val="00444125"/>
    <w:rsid w:val="004442BB"/>
    <w:rsid w:val="004448C0"/>
    <w:rsid w:val="0044505B"/>
    <w:rsid w:val="0044678D"/>
    <w:rsid w:val="00447B13"/>
    <w:rsid w:val="00447B63"/>
    <w:rsid w:val="00447DDF"/>
    <w:rsid w:val="004507C3"/>
    <w:rsid w:val="00450B88"/>
    <w:rsid w:val="00453434"/>
    <w:rsid w:val="00453570"/>
    <w:rsid w:val="00453648"/>
    <w:rsid w:val="0045377A"/>
    <w:rsid w:val="004541FE"/>
    <w:rsid w:val="004547F6"/>
    <w:rsid w:val="00454FFE"/>
    <w:rsid w:val="00455157"/>
    <w:rsid w:val="00457B01"/>
    <w:rsid w:val="004600D0"/>
    <w:rsid w:val="00460BC0"/>
    <w:rsid w:val="00461483"/>
    <w:rsid w:val="00461F1A"/>
    <w:rsid w:val="00461F9A"/>
    <w:rsid w:val="0046263D"/>
    <w:rsid w:val="004627F8"/>
    <w:rsid w:val="00463A35"/>
    <w:rsid w:val="00463CF8"/>
    <w:rsid w:val="0046442F"/>
    <w:rsid w:val="00464D8C"/>
    <w:rsid w:val="0046571D"/>
    <w:rsid w:val="00466B07"/>
    <w:rsid w:val="00467715"/>
    <w:rsid w:val="00467EE2"/>
    <w:rsid w:val="004710D7"/>
    <w:rsid w:val="004717A3"/>
    <w:rsid w:val="004719C2"/>
    <w:rsid w:val="0047293D"/>
    <w:rsid w:val="004729CE"/>
    <w:rsid w:val="00473167"/>
    <w:rsid w:val="00476634"/>
    <w:rsid w:val="004769C4"/>
    <w:rsid w:val="00476E8A"/>
    <w:rsid w:val="00477F9E"/>
    <w:rsid w:val="0048025B"/>
    <w:rsid w:val="004805D9"/>
    <w:rsid w:val="00483265"/>
    <w:rsid w:val="004842D1"/>
    <w:rsid w:val="0048460E"/>
    <w:rsid w:val="004846D4"/>
    <w:rsid w:val="004847F6"/>
    <w:rsid w:val="00486516"/>
    <w:rsid w:val="00486845"/>
    <w:rsid w:val="0048728D"/>
    <w:rsid w:val="00487769"/>
    <w:rsid w:val="004910FF"/>
    <w:rsid w:val="00491813"/>
    <w:rsid w:val="0049204A"/>
    <w:rsid w:val="0049247A"/>
    <w:rsid w:val="00493137"/>
    <w:rsid w:val="004945D2"/>
    <w:rsid w:val="00494B8A"/>
    <w:rsid w:val="00496358"/>
    <w:rsid w:val="00496C33"/>
    <w:rsid w:val="00496C50"/>
    <w:rsid w:val="00496FF1"/>
    <w:rsid w:val="004977F8"/>
    <w:rsid w:val="00497C68"/>
    <w:rsid w:val="004A05A5"/>
    <w:rsid w:val="004A137A"/>
    <w:rsid w:val="004A154E"/>
    <w:rsid w:val="004A1BA2"/>
    <w:rsid w:val="004A27FA"/>
    <w:rsid w:val="004A3152"/>
    <w:rsid w:val="004A3D06"/>
    <w:rsid w:val="004A3E05"/>
    <w:rsid w:val="004A44A3"/>
    <w:rsid w:val="004A5518"/>
    <w:rsid w:val="004A692E"/>
    <w:rsid w:val="004A7AA0"/>
    <w:rsid w:val="004B0F9D"/>
    <w:rsid w:val="004B1963"/>
    <w:rsid w:val="004B3687"/>
    <w:rsid w:val="004B3A73"/>
    <w:rsid w:val="004B3F27"/>
    <w:rsid w:val="004B466F"/>
    <w:rsid w:val="004B4682"/>
    <w:rsid w:val="004B48F1"/>
    <w:rsid w:val="004B6668"/>
    <w:rsid w:val="004B6D2B"/>
    <w:rsid w:val="004B7138"/>
    <w:rsid w:val="004C058F"/>
    <w:rsid w:val="004C08CC"/>
    <w:rsid w:val="004C0937"/>
    <w:rsid w:val="004C098A"/>
    <w:rsid w:val="004C15A2"/>
    <w:rsid w:val="004C1803"/>
    <w:rsid w:val="004C1C43"/>
    <w:rsid w:val="004C1C5A"/>
    <w:rsid w:val="004C1CEB"/>
    <w:rsid w:val="004C2E3C"/>
    <w:rsid w:val="004C3C14"/>
    <w:rsid w:val="004C5663"/>
    <w:rsid w:val="004C58B3"/>
    <w:rsid w:val="004C6261"/>
    <w:rsid w:val="004C6422"/>
    <w:rsid w:val="004C6CAC"/>
    <w:rsid w:val="004C6DBC"/>
    <w:rsid w:val="004C6EDE"/>
    <w:rsid w:val="004C740E"/>
    <w:rsid w:val="004D184B"/>
    <w:rsid w:val="004D1C9D"/>
    <w:rsid w:val="004D225F"/>
    <w:rsid w:val="004D2821"/>
    <w:rsid w:val="004D317A"/>
    <w:rsid w:val="004D4555"/>
    <w:rsid w:val="004D621A"/>
    <w:rsid w:val="004D741E"/>
    <w:rsid w:val="004D753F"/>
    <w:rsid w:val="004E018D"/>
    <w:rsid w:val="004E0B56"/>
    <w:rsid w:val="004E0F77"/>
    <w:rsid w:val="004E1707"/>
    <w:rsid w:val="004E1CF2"/>
    <w:rsid w:val="004E2AE1"/>
    <w:rsid w:val="004E2F5F"/>
    <w:rsid w:val="004E47F4"/>
    <w:rsid w:val="004E4CDF"/>
    <w:rsid w:val="004E50FB"/>
    <w:rsid w:val="004E5881"/>
    <w:rsid w:val="004E60DC"/>
    <w:rsid w:val="004E6BC0"/>
    <w:rsid w:val="004E759B"/>
    <w:rsid w:val="004F17D8"/>
    <w:rsid w:val="004F1AE5"/>
    <w:rsid w:val="004F1C0E"/>
    <w:rsid w:val="004F2299"/>
    <w:rsid w:val="004F22E3"/>
    <w:rsid w:val="004F2BED"/>
    <w:rsid w:val="004F3897"/>
    <w:rsid w:val="004F40DA"/>
    <w:rsid w:val="004F5737"/>
    <w:rsid w:val="004F74DD"/>
    <w:rsid w:val="004F7B96"/>
    <w:rsid w:val="00500549"/>
    <w:rsid w:val="00500561"/>
    <w:rsid w:val="00500574"/>
    <w:rsid w:val="00501078"/>
    <w:rsid w:val="00501A28"/>
    <w:rsid w:val="00501C70"/>
    <w:rsid w:val="00503155"/>
    <w:rsid w:val="005048D0"/>
    <w:rsid w:val="00504EA0"/>
    <w:rsid w:val="00505B50"/>
    <w:rsid w:val="00510517"/>
    <w:rsid w:val="00510855"/>
    <w:rsid w:val="0051086D"/>
    <w:rsid w:val="00511B7E"/>
    <w:rsid w:val="0051245E"/>
    <w:rsid w:val="00512469"/>
    <w:rsid w:val="00512B2E"/>
    <w:rsid w:val="00514341"/>
    <w:rsid w:val="0051620F"/>
    <w:rsid w:val="00516469"/>
    <w:rsid w:val="00516836"/>
    <w:rsid w:val="005173F7"/>
    <w:rsid w:val="005177A1"/>
    <w:rsid w:val="005179B2"/>
    <w:rsid w:val="0052171E"/>
    <w:rsid w:val="00521A85"/>
    <w:rsid w:val="0052248C"/>
    <w:rsid w:val="005227C5"/>
    <w:rsid w:val="0052291F"/>
    <w:rsid w:val="00522F2D"/>
    <w:rsid w:val="005233EB"/>
    <w:rsid w:val="0052470B"/>
    <w:rsid w:val="0052471E"/>
    <w:rsid w:val="00524FB2"/>
    <w:rsid w:val="0052520C"/>
    <w:rsid w:val="00525D96"/>
    <w:rsid w:val="00526440"/>
    <w:rsid w:val="00526785"/>
    <w:rsid w:val="00526B09"/>
    <w:rsid w:val="0052717B"/>
    <w:rsid w:val="00530DE2"/>
    <w:rsid w:val="00530FA9"/>
    <w:rsid w:val="0053143B"/>
    <w:rsid w:val="005325A1"/>
    <w:rsid w:val="005332CD"/>
    <w:rsid w:val="005343D7"/>
    <w:rsid w:val="0053554B"/>
    <w:rsid w:val="00540A8E"/>
    <w:rsid w:val="00540CFD"/>
    <w:rsid w:val="005413D4"/>
    <w:rsid w:val="00541407"/>
    <w:rsid w:val="00541894"/>
    <w:rsid w:val="005421B0"/>
    <w:rsid w:val="005427F6"/>
    <w:rsid w:val="0054307F"/>
    <w:rsid w:val="0054468E"/>
    <w:rsid w:val="00545BCC"/>
    <w:rsid w:val="005467B1"/>
    <w:rsid w:val="00546C54"/>
    <w:rsid w:val="00546E5F"/>
    <w:rsid w:val="00550B17"/>
    <w:rsid w:val="00550E8F"/>
    <w:rsid w:val="005510A6"/>
    <w:rsid w:val="00551EB0"/>
    <w:rsid w:val="005523A5"/>
    <w:rsid w:val="0055243E"/>
    <w:rsid w:val="005528E7"/>
    <w:rsid w:val="00552CC2"/>
    <w:rsid w:val="00553488"/>
    <w:rsid w:val="00553DB0"/>
    <w:rsid w:val="005547B9"/>
    <w:rsid w:val="00554A73"/>
    <w:rsid w:val="005550BD"/>
    <w:rsid w:val="005559A1"/>
    <w:rsid w:val="00555D20"/>
    <w:rsid w:val="0055658D"/>
    <w:rsid w:val="00557087"/>
    <w:rsid w:val="00562AC7"/>
    <w:rsid w:val="005634A1"/>
    <w:rsid w:val="00563527"/>
    <w:rsid w:val="00564E07"/>
    <w:rsid w:val="00565619"/>
    <w:rsid w:val="00565A27"/>
    <w:rsid w:val="00565DDD"/>
    <w:rsid w:val="00565FAB"/>
    <w:rsid w:val="00567CCE"/>
    <w:rsid w:val="005711E3"/>
    <w:rsid w:val="005716F8"/>
    <w:rsid w:val="00571FFB"/>
    <w:rsid w:val="00572045"/>
    <w:rsid w:val="00572528"/>
    <w:rsid w:val="00572F78"/>
    <w:rsid w:val="0057411C"/>
    <w:rsid w:val="005741B2"/>
    <w:rsid w:val="005743E9"/>
    <w:rsid w:val="00574A30"/>
    <w:rsid w:val="00574A3F"/>
    <w:rsid w:val="005761D7"/>
    <w:rsid w:val="00576367"/>
    <w:rsid w:val="0057665D"/>
    <w:rsid w:val="00577101"/>
    <w:rsid w:val="00577589"/>
    <w:rsid w:val="0057793B"/>
    <w:rsid w:val="00577E45"/>
    <w:rsid w:val="00580038"/>
    <w:rsid w:val="005811D4"/>
    <w:rsid w:val="0058196C"/>
    <w:rsid w:val="005823EB"/>
    <w:rsid w:val="00582515"/>
    <w:rsid w:val="00582C58"/>
    <w:rsid w:val="005833C7"/>
    <w:rsid w:val="0058411F"/>
    <w:rsid w:val="0058570D"/>
    <w:rsid w:val="00585AD9"/>
    <w:rsid w:val="005868C3"/>
    <w:rsid w:val="0058708E"/>
    <w:rsid w:val="005909E7"/>
    <w:rsid w:val="0059184B"/>
    <w:rsid w:val="00592057"/>
    <w:rsid w:val="005927FB"/>
    <w:rsid w:val="00592BE1"/>
    <w:rsid w:val="005935B1"/>
    <w:rsid w:val="00593841"/>
    <w:rsid w:val="00593A9C"/>
    <w:rsid w:val="00593CBF"/>
    <w:rsid w:val="00594CAE"/>
    <w:rsid w:val="00595EC9"/>
    <w:rsid w:val="00596127"/>
    <w:rsid w:val="00596190"/>
    <w:rsid w:val="0059797A"/>
    <w:rsid w:val="00597E0A"/>
    <w:rsid w:val="005A0119"/>
    <w:rsid w:val="005A09A4"/>
    <w:rsid w:val="005A21D8"/>
    <w:rsid w:val="005A28FC"/>
    <w:rsid w:val="005A33CC"/>
    <w:rsid w:val="005A3BC0"/>
    <w:rsid w:val="005A4B98"/>
    <w:rsid w:val="005A56FC"/>
    <w:rsid w:val="005A5E57"/>
    <w:rsid w:val="005A5F42"/>
    <w:rsid w:val="005A5F45"/>
    <w:rsid w:val="005A6434"/>
    <w:rsid w:val="005A6FDB"/>
    <w:rsid w:val="005A71F7"/>
    <w:rsid w:val="005B0E8C"/>
    <w:rsid w:val="005B1161"/>
    <w:rsid w:val="005B121C"/>
    <w:rsid w:val="005B2127"/>
    <w:rsid w:val="005B222A"/>
    <w:rsid w:val="005B258A"/>
    <w:rsid w:val="005B2E1D"/>
    <w:rsid w:val="005B3881"/>
    <w:rsid w:val="005B4488"/>
    <w:rsid w:val="005B45DF"/>
    <w:rsid w:val="005B4871"/>
    <w:rsid w:val="005B4983"/>
    <w:rsid w:val="005B4DC6"/>
    <w:rsid w:val="005B53EE"/>
    <w:rsid w:val="005B5C76"/>
    <w:rsid w:val="005B6393"/>
    <w:rsid w:val="005B70E3"/>
    <w:rsid w:val="005C0DBC"/>
    <w:rsid w:val="005C0ECB"/>
    <w:rsid w:val="005C1060"/>
    <w:rsid w:val="005C1081"/>
    <w:rsid w:val="005C139A"/>
    <w:rsid w:val="005C1E19"/>
    <w:rsid w:val="005C205D"/>
    <w:rsid w:val="005C2A69"/>
    <w:rsid w:val="005C34A0"/>
    <w:rsid w:val="005C4308"/>
    <w:rsid w:val="005C45F1"/>
    <w:rsid w:val="005C63C6"/>
    <w:rsid w:val="005C78F6"/>
    <w:rsid w:val="005C79C8"/>
    <w:rsid w:val="005D0077"/>
    <w:rsid w:val="005D1A2C"/>
    <w:rsid w:val="005D263F"/>
    <w:rsid w:val="005D45DC"/>
    <w:rsid w:val="005D4935"/>
    <w:rsid w:val="005D51F6"/>
    <w:rsid w:val="005D6169"/>
    <w:rsid w:val="005D6589"/>
    <w:rsid w:val="005D74E4"/>
    <w:rsid w:val="005D7C6A"/>
    <w:rsid w:val="005E061D"/>
    <w:rsid w:val="005E24C4"/>
    <w:rsid w:val="005E2934"/>
    <w:rsid w:val="005E2B18"/>
    <w:rsid w:val="005E2C81"/>
    <w:rsid w:val="005E2DC9"/>
    <w:rsid w:val="005E2E82"/>
    <w:rsid w:val="005E2EEA"/>
    <w:rsid w:val="005E31B9"/>
    <w:rsid w:val="005E4883"/>
    <w:rsid w:val="005E4CDB"/>
    <w:rsid w:val="005E5AF7"/>
    <w:rsid w:val="005E5C03"/>
    <w:rsid w:val="005E65EC"/>
    <w:rsid w:val="005E6FBF"/>
    <w:rsid w:val="005E6FC6"/>
    <w:rsid w:val="005E7536"/>
    <w:rsid w:val="005E773D"/>
    <w:rsid w:val="005E7F13"/>
    <w:rsid w:val="005F06D9"/>
    <w:rsid w:val="005F104C"/>
    <w:rsid w:val="005F1E01"/>
    <w:rsid w:val="005F22A8"/>
    <w:rsid w:val="005F24E2"/>
    <w:rsid w:val="005F2B7C"/>
    <w:rsid w:val="005F2E4A"/>
    <w:rsid w:val="005F2EC8"/>
    <w:rsid w:val="005F41D5"/>
    <w:rsid w:val="005F41EC"/>
    <w:rsid w:val="005F43CF"/>
    <w:rsid w:val="005F4D27"/>
    <w:rsid w:val="005F5333"/>
    <w:rsid w:val="005F5F1F"/>
    <w:rsid w:val="005F609C"/>
    <w:rsid w:val="005F675D"/>
    <w:rsid w:val="005F6A3E"/>
    <w:rsid w:val="005F71EF"/>
    <w:rsid w:val="005F7390"/>
    <w:rsid w:val="005F7FFA"/>
    <w:rsid w:val="00600FED"/>
    <w:rsid w:val="006015AC"/>
    <w:rsid w:val="00601C19"/>
    <w:rsid w:val="006027A7"/>
    <w:rsid w:val="006038DD"/>
    <w:rsid w:val="00605024"/>
    <w:rsid w:val="006056B2"/>
    <w:rsid w:val="00605E27"/>
    <w:rsid w:val="006060E6"/>
    <w:rsid w:val="006063BE"/>
    <w:rsid w:val="006067FD"/>
    <w:rsid w:val="00606958"/>
    <w:rsid w:val="0060727C"/>
    <w:rsid w:val="00607C97"/>
    <w:rsid w:val="0061114E"/>
    <w:rsid w:val="00611B2B"/>
    <w:rsid w:val="00611F82"/>
    <w:rsid w:val="0061275D"/>
    <w:rsid w:val="0061298C"/>
    <w:rsid w:val="00612F6D"/>
    <w:rsid w:val="0061370E"/>
    <w:rsid w:val="00613B91"/>
    <w:rsid w:val="00614368"/>
    <w:rsid w:val="0061536C"/>
    <w:rsid w:val="00615437"/>
    <w:rsid w:val="006165A7"/>
    <w:rsid w:val="006173C9"/>
    <w:rsid w:val="00617823"/>
    <w:rsid w:val="00617AEC"/>
    <w:rsid w:val="00620887"/>
    <w:rsid w:val="00620F1A"/>
    <w:rsid w:val="00621403"/>
    <w:rsid w:val="006214CD"/>
    <w:rsid w:val="0062212C"/>
    <w:rsid w:val="006228FD"/>
    <w:rsid w:val="006247B6"/>
    <w:rsid w:val="00624878"/>
    <w:rsid w:val="006257C0"/>
    <w:rsid w:val="006259F6"/>
    <w:rsid w:val="00627120"/>
    <w:rsid w:val="00627153"/>
    <w:rsid w:val="0062728A"/>
    <w:rsid w:val="006279C9"/>
    <w:rsid w:val="006302E1"/>
    <w:rsid w:val="006306AE"/>
    <w:rsid w:val="0063178F"/>
    <w:rsid w:val="00632257"/>
    <w:rsid w:val="00632A5C"/>
    <w:rsid w:val="00632A6C"/>
    <w:rsid w:val="00632EF2"/>
    <w:rsid w:val="006339DA"/>
    <w:rsid w:val="00634556"/>
    <w:rsid w:val="00634656"/>
    <w:rsid w:val="00634E14"/>
    <w:rsid w:val="00635397"/>
    <w:rsid w:val="006354B5"/>
    <w:rsid w:val="00635BBA"/>
    <w:rsid w:val="00635C47"/>
    <w:rsid w:val="00636022"/>
    <w:rsid w:val="00636E56"/>
    <w:rsid w:val="0063759A"/>
    <w:rsid w:val="00637681"/>
    <w:rsid w:val="0063788A"/>
    <w:rsid w:val="00637B97"/>
    <w:rsid w:val="00637F6E"/>
    <w:rsid w:val="00640249"/>
    <w:rsid w:val="00640F30"/>
    <w:rsid w:val="00641D5C"/>
    <w:rsid w:val="00642022"/>
    <w:rsid w:val="0064217D"/>
    <w:rsid w:val="00642BA5"/>
    <w:rsid w:val="006443F7"/>
    <w:rsid w:val="0064458D"/>
    <w:rsid w:val="00645299"/>
    <w:rsid w:val="00645806"/>
    <w:rsid w:val="0064582D"/>
    <w:rsid w:val="00645C8D"/>
    <w:rsid w:val="00646776"/>
    <w:rsid w:val="00647241"/>
    <w:rsid w:val="00647813"/>
    <w:rsid w:val="00650129"/>
    <w:rsid w:val="006503DD"/>
    <w:rsid w:val="00650478"/>
    <w:rsid w:val="006507E2"/>
    <w:rsid w:val="00651424"/>
    <w:rsid w:val="0065180D"/>
    <w:rsid w:val="006529E3"/>
    <w:rsid w:val="00652C0B"/>
    <w:rsid w:val="006530F2"/>
    <w:rsid w:val="00653B02"/>
    <w:rsid w:val="006560BE"/>
    <w:rsid w:val="006578A4"/>
    <w:rsid w:val="00657CC1"/>
    <w:rsid w:val="0066097D"/>
    <w:rsid w:val="00660CC7"/>
    <w:rsid w:val="00661802"/>
    <w:rsid w:val="00661F4C"/>
    <w:rsid w:val="00662B97"/>
    <w:rsid w:val="0066376C"/>
    <w:rsid w:val="00663983"/>
    <w:rsid w:val="00664585"/>
    <w:rsid w:val="00664ACB"/>
    <w:rsid w:val="00664BD3"/>
    <w:rsid w:val="00664E77"/>
    <w:rsid w:val="00665CB2"/>
    <w:rsid w:val="006660AE"/>
    <w:rsid w:val="00666803"/>
    <w:rsid w:val="00666F27"/>
    <w:rsid w:val="006678FC"/>
    <w:rsid w:val="00670700"/>
    <w:rsid w:val="00670F5D"/>
    <w:rsid w:val="00671538"/>
    <w:rsid w:val="00672BB3"/>
    <w:rsid w:val="00672E59"/>
    <w:rsid w:val="0067352D"/>
    <w:rsid w:val="00673EBE"/>
    <w:rsid w:val="0067448E"/>
    <w:rsid w:val="0067520B"/>
    <w:rsid w:val="00677470"/>
    <w:rsid w:val="0067753E"/>
    <w:rsid w:val="00681488"/>
    <w:rsid w:val="00682EDB"/>
    <w:rsid w:val="00683B18"/>
    <w:rsid w:val="00683C97"/>
    <w:rsid w:val="00685B30"/>
    <w:rsid w:val="00685F9D"/>
    <w:rsid w:val="006865D8"/>
    <w:rsid w:val="00686B7C"/>
    <w:rsid w:val="006870A5"/>
    <w:rsid w:val="006900F2"/>
    <w:rsid w:val="0069011A"/>
    <w:rsid w:val="0069034A"/>
    <w:rsid w:val="00690730"/>
    <w:rsid w:val="006918B2"/>
    <w:rsid w:val="00692084"/>
    <w:rsid w:val="00692CC6"/>
    <w:rsid w:val="00692EF1"/>
    <w:rsid w:val="0069339D"/>
    <w:rsid w:val="00694A3D"/>
    <w:rsid w:val="00695160"/>
    <w:rsid w:val="0069552B"/>
    <w:rsid w:val="00695739"/>
    <w:rsid w:val="00696AFF"/>
    <w:rsid w:val="0069728C"/>
    <w:rsid w:val="006973F0"/>
    <w:rsid w:val="00697590"/>
    <w:rsid w:val="0069765C"/>
    <w:rsid w:val="006A0774"/>
    <w:rsid w:val="006A0A45"/>
    <w:rsid w:val="006A293A"/>
    <w:rsid w:val="006A31F9"/>
    <w:rsid w:val="006A32B5"/>
    <w:rsid w:val="006A379C"/>
    <w:rsid w:val="006A3C0F"/>
    <w:rsid w:val="006A408D"/>
    <w:rsid w:val="006A533F"/>
    <w:rsid w:val="006A6F03"/>
    <w:rsid w:val="006A7777"/>
    <w:rsid w:val="006B0673"/>
    <w:rsid w:val="006B07D2"/>
    <w:rsid w:val="006B0D88"/>
    <w:rsid w:val="006B26C9"/>
    <w:rsid w:val="006B29D6"/>
    <w:rsid w:val="006B33E5"/>
    <w:rsid w:val="006B388E"/>
    <w:rsid w:val="006B3C54"/>
    <w:rsid w:val="006B429F"/>
    <w:rsid w:val="006B4547"/>
    <w:rsid w:val="006B563D"/>
    <w:rsid w:val="006B5671"/>
    <w:rsid w:val="006B5DA7"/>
    <w:rsid w:val="006B6340"/>
    <w:rsid w:val="006B6805"/>
    <w:rsid w:val="006B6872"/>
    <w:rsid w:val="006B692C"/>
    <w:rsid w:val="006C009A"/>
    <w:rsid w:val="006C0596"/>
    <w:rsid w:val="006C0CB8"/>
    <w:rsid w:val="006C116A"/>
    <w:rsid w:val="006C18C4"/>
    <w:rsid w:val="006C2032"/>
    <w:rsid w:val="006C2150"/>
    <w:rsid w:val="006C29DC"/>
    <w:rsid w:val="006C2DC1"/>
    <w:rsid w:val="006C3392"/>
    <w:rsid w:val="006C33C4"/>
    <w:rsid w:val="006C3433"/>
    <w:rsid w:val="006C37E2"/>
    <w:rsid w:val="006C3853"/>
    <w:rsid w:val="006C431B"/>
    <w:rsid w:val="006C4DAE"/>
    <w:rsid w:val="006C5912"/>
    <w:rsid w:val="006D1431"/>
    <w:rsid w:val="006D1FD3"/>
    <w:rsid w:val="006D20E6"/>
    <w:rsid w:val="006D2244"/>
    <w:rsid w:val="006D2FD7"/>
    <w:rsid w:val="006D320A"/>
    <w:rsid w:val="006D3B7D"/>
    <w:rsid w:val="006D41EC"/>
    <w:rsid w:val="006D458D"/>
    <w:rsid w:val="006D4C7C"/>
    <w:rsid w:val="006D4D11"/>
    <w:rsid w:val="006D6180"/>
    <w:rsid w:val="006D646A"/>
    <w:rsid w:val="006D6DBD"/>
    <w:rsid w:val="006D719C"/>
    <w:rsid w:val="006D7701"/>
    <w:rsid w:val="006D7A59"/>
    <w:rsid w:val="006D7CB8"/>
    <w:rsid w:val="006D7CF6"/>
    <w:rsid w:val="006D7E0B"/>
    <w:rsid w:val="006E18B7"/>
    <w:rsid w:val="006E1F16"/>
    <w:rsid w:val="006E2965"/>
    <w:rsid w:val="006E2C3B"/>
    <w:rsid w:val="006E3F69"/>
    <w:rsid w:val="006E5A0E"/>
    <w:rsid w:val="006E62FE"/>
    <w:rsid w:val="006E7597"/>
    <w:rsid w:val="006E766C"/>
    <w:rsid w:val="006F0A7D"/>
    <w:rsid w:val="006F1C88"/>
    <w:rsid w:val="006F22BC"/>
    <w:rsid w:val="006F2C15"/>
    <w:rsid w:val="006F2EC6"/>
    <w:rsid w:val="006F3303"/>
    <w:rsid w:val="006F4B79"/>
    <w:rsid w:val="006F5471"/>
    <w:rsid w:val="006F55C9"/>
    <w:rsid w:val="006F57AD"/>
    <w:rsid w:val="006F5BB6"/>
    <w:rsid w:val="006F5F7A"/>
    <w:rsid w:val="006F757F"/>
    <w:rsid w:val="006F78D9"/>
    <w:rsid w:val="00701F7F"/>
    <w:rsid w:val="00702A58"/>
    <w:rsid w:val="007046C6"/>
    <w:rsid w:val="00704CEA"/>
    <w:rsid w:val="0070505E"/>
    <w:rsid w:val="007058CB"/>
    <w:rsid w:val="00706883"/>
    <w:rsid w:val="00706ABB"/>
    <w:rsid w:val="00706E78"/>
    <w:rsid w:val="00706F48"/>
    <w:rsid w:val="007073CA"/>
    <w:rsid w:val="00707664"/>
    <w:rsid w:val="007106CC"/>
    <w:rsid w:val="00710F67"/>
    <w:rsid w:val="0071114E"/>
    <w:rsid w:val="0071183F"/>
    <w:rsid w:val="007119C9"/>
    <w:rsid w:val="007120CE"/>
    <w:rsid w:val="00712635"/>
    <w:rsid w:val="0071316D"/>
    <w:rsid w:val="00713951"/>
    <w:rsid w:val="007139B3"/>
    <w:rsid w:val="0071475E"/>
    <w:rsid w:val="00715BF3"/>
    <w:rsid w:val="00716DBB"/>
    <w:rsid w:val="00717350"/>
    <w:rsid w:val="007175FC"/>
    <w:rsid w:val="00717626"/>
    <w:rsid w:val="007207DD"/>
    <w:rsid w:val="007218AE"/>
    <w:rsid w:val="00722093"/>
    <w:rsid w:val="00723B62"/>
    <w:rsid w:val="00724C35"/>
    <w:rsid w:val="007253A5"/>
    <w:rsid w:val="007260F8"/>
    <w:rsid w:val="0072642E"/>
    <w:rsid w:val="00727C24"/>
    <w:rsid w:val="00727E2B"/>
    <w:rsid w:val="007309FC"/>
    <w:rsid w:val="00731019"/>
    <w:rsid w:val="00731834"/>
    <w:rsid w:val="00731C03"/>
    <w:rsid w:val="00732215"/>
    <w:rsid w:val="0073244D"/>
    <w:rsid w:val="00732FB7"/>
    <w:rsid w:val="007331EF"/>
    <w:rsid w:val="00734564"/>
    <w:rsid w:val="00734F93"/>
    <w:rsid w:val="00736D6D"/>
    <w:rsid w:val="00736D9D"/>
    <w:rsid w:val="007375E6"/>
    <w:rsid w:val="00741121"/>
    <w:rsid w:val="007429D4"/>
    <w:rsid w:val="00742FFF"/>
    <w:rsid w:val="00743A18"/>
    <w:rsid w:val="00743E1F"/>
    <w:rsid w:val="00743F6B"/>
    <w:rsid w:val="0074413F"/>
    <w:rsid w:val="00744223"/>
    <w:rsid w:val="00744403"/>
    <w:rsid w:val="0074514F"/>
    <w:rsid w:val="007451CC"/>
    <w:rsid w:val="00745444"/>
    <w:rsid w:val="007454BD"/>
    <w:rsid w:val="00745B7A"/>
    <w:rsid w:val="00745F00"/>
    <w:rsid w:val="00747044"/>
    <w:rsid w:val="007472BA"/>
    <w:rsid w:val="00747E52"/>
    <w:rsid w:val="00747F1A"/>
    <w:rsid w:val="0075008B"/>
    <w:rsid w:val="007502A8"/>
    <w:rsid w:val="00750D8E"/>
    <w:rsid w:val="00752683"/>
    <w:rsid w:val="00753655"/>
    <w:rsid w:val="00753722"/>
    <w:rsid w:val="00753C13"/>
    <w:rsid w:val="0075465F"/>
    <w:rsid w:val="00754908"/>
    <w:rsid w:val="00754B1C"/>
    <w:rsid w:val="00754DD7"/>
    <w:rsid w:val="00754F5C"/>
    <w:rsid w:val="00755624"/>
    <w:rsid w:val="007559B7"/>
    <w:rsid w:val="0075613C"/>
    <w:rsid w:val="007563C9"/>
    <w:rsid w:val="00757F48"/>
    <w:rsid w:val="00760287"/>
    <w:rsid w:val="00760B7E"/>
    <w:rsid w:val="00760D3C"/>
    <w:rsid w:val="00760D77"/>
    <w:rsid w:val="00760FD4"/>
    <w:rsid w:val="00761557"/>
    <w:rsid w:val="00761A01"/>
    <w:rsid w:val="00762E5E"/>
    <w:rsid w:val="00763233"/>
    <w:rsid w:val="0076323E"/>
    <w:rsid w:val="00763E78"/>
    <w:rsid w:val="00763FC0"/>
    <w:rsid w:val="00764A37"/>
    <w:rsid w:val="00766BCE"/>
    <w:rsid w:val="0076718E"/>
    <w:rsid w:val="00770D40"/>
    <w:rsid w:val="00770E5C"/>
    <w:rsid w:val="00770FD2"/>
    <w:rsid w:val="007712FC"/>
    <w:rsid w:val="007713F4"/>
    <w:rsid w:val="0077145A"/>
    <w:rsid w:val="00771AD6"/>
    <w:rsid w:val="00771E0F"/>
    <w:rsid w:val="00772951"/>
    <w:rsid w:val="00772F0F"/>
    <w:rsid w:val="0077355D"/>
    <w:rsid w:val="007736A5"/>
    <w:rsid w:val="00773956"/>
    <w:rsid w:val="00774C56"/>
    <w:rsid w:val="00774D01"/>
    <w:rsid w:val="00775326"/>
    <w:rsid w:val="00776077"/>
    <w:rsid w:val="007767FC"/>
    <w:rsid w:val="00776BA1"/>
    <w:rsid w:val="00777856"/>
    <w:rsid w:val="007800AA"/>
    <w:rsid w:val="00780294"/>
    <w:rsid w:val="0078102F"/>
    <w:rsid w:val="00781044"/>
    <w:rsid w:val="0078110A"/>
    <w:rsid w:val="0078264D"/>
    <w:rsid w:val="0078358F"/>
    <w:rsid w:val="00783ADE"/>
    <w:rsid w:val="00783CA8"/>
    <w:rsid w:val="00783CDD"/>
    <w:rsid w:val="00783FCC"/>
    <w:rsid w:val="00784A10"/>
    <w:rsid w:val="0078511A"/>
    <w:rsid w:val="00785999"/>
    <w:rsid w:val="00787B3C"/>
    <w:rsid w:val="00787B89"/>
    <w:rsid w:val="00787FBB"/>
    <w:rsid w:val="00790846"/>
    <w:rsid w:val="0079351A"/>
    <w:rsid w:val="007946E3"/>
    <w:rsid w:val="0079483B"/>
    <w:rsid w:val="00795494"/>
    <w:rsid w:val="00795706"/>
    <w:rsid w:val="00795830"/>
    <w:rsid w:val="00795EBD"/>
    <w:rsid w:val="00796461"/>
    <w:rsid w:val="00796A58"/>
    <w:rsid w:val="00796BF3"/>
    <w:rsid w:val="0079711C"/>
    <w:rsid w:val="007971ED"/>
    <w:rsid w:val="007976C8"/>
    <w:rsid w:val="0079778A"/>
    <w:rsid w:val="00797A1E"/>
    <w:rsid w:val="00797AF6"/>
    <w:rsid w:val="00797D23"/>
    <w:rsid w:val="007A0318"/>
    <w:rsid w:val="007A077B"/>
    <w:rsid w:val="007A1EA8"/>
    <w:rsid w:val="007A2E3A"/>
    <w:rsid w:val="007A3014"/>
    <w:rsid w:val="007A32B2"/>
    <w:rsid w:val="007A36D9"/>
    <w:rsid w:val="007A3E49"/>
    <w:rsid w:val="007A3EC0"/>
    <w:rsid w:val="007A442E"/>
    <w:rsid w:val="007A598D"/>
    <w:rsid w:val="007A5E1F"/>
    <w:rsid w:val="007A5FC1"/>
    <w:rsid w:val="007A6199"/>
    <w:rsid w:val="007A64A0"/>
    <w:rsid w:val="007A72F3"/>
    <w:rsid w:val="007A7D84"/>
    <w:rsid w:val="007B009E"/>
    <w:rsid w:val="007B040D"/>
    <w:rsid w:val="007B12DC"/>
    <w:rsid w:val="007B1578"/>
    <w:rsid w:val="007B17A4"/>
    <w:rsid w:val="007B3006"/>
    <w:rsid w:val="007B3BC9"/>
    <w:rsid w:val="007B3D5E"/>
    <w:rsid w:val="007B4149"/>
    <w:rsid w:val="007B51B9"/>
    <w:rsid w:val="007B656C"/>
    <w:rsid w:val="007B6F42"/>
    <w:rsid w:val="007B72FA"/>
    <w:rsid w:val="007B78E4"/>
    <w:rsid w:val="007B7BAF"/>
    <w:rsid w:val="007C0934"/>
    <w:rsid w:val="007C0DDB"/>
    <w:rsid w:val="007C128E"/>
    <w:rsid w:val="007C157F"/>
    <w:rsid w:val="007C1E50"/>
    <w:rsid w:val="007C30D4"/>
    <w:rsid w:val="007C34A4"/>
    <w:rsid w:val="007C3563"/>
    <w:rsid w:val="007C356A"/>
    <w:rsid w:val="007C5359"/>
    <w:rsid w:val="007C55DD"/>
    <w:rsid w:val="007C578A"/>
    <w:rsid w:val="007C6721"/>
    <w:rsid w:val="007C6D2F"/>
    <w:rsid w:val="007D0753"/>
    <w:rsid w:val="007D0A95"/>
    <w:rsid w:val="007D1059"/>
    <w:rsid w:val="007D1BF3"/>
    <w:rsid w:val="007D2880"/>
    <w:rsid w:val="007D3987"/>
    <w:rsid w:val="007D3A06"/>
    <w:rsid w:val="007D4074"/>
    <w:rsid w:val="007D4581"/>
    <w:rsid w:val="007D49E2"/>
    <w:rsid w:val="007D51B8"/>
    <w:rsid w:val="007D5344"/>
    <w:rsid w:val="007D5457"/>
    <w:rsid w:val="007D7674"/>
    <w:rsid w:val="007E02AC"/>
    <w:rsid w:val="007E05AB"/>
    <w:rsid w:val="007E065C"/>
    <w:rsid w:val="007E0D40"/>
    <w:rsid w:val="007E14F9"/>
    <w:rsid w:val="007E2AE3"/>
    <w:rsid w:val="007E2EC1"/>
    <w:rsid w:val="007E3155"/>
    <w:rsid w:val="007E5509"/>
    <w:rsid w:val="007E5EB3"/>
    <w:rsid w:val="007E67E9"/>
    <w:rsid w:val="007E711B"/>
    <w:rsid w:val="007E73E4"/>
    <w:rsid w:val="007E7EAC"/>
    <w:rsid w:val="007F010C"/>
    <w:rsid w:val="007F09F9"/>
    <w:rsid w:val="007F15B5"/>
    <w:rsid w:val="007F21E2"/>
    <w:rsid w:val="007F3536"/>
    <w:rsid w:val="007F35E6"/>
    <w:rsid w:val="007F3A3A"/>
    <w:rsid w:val="007F5506"/>
    <w:rsid w:val="007F60D2"/>
    <w:rsid w:val="007F6D91"/>
    <w:rsid w:val="007F7D25"/>
    <w:rsid w:val="00800574"/>
    <w:rsid w:val="0080066B"/>
    <w:rsid w:val="008011AD"/>
    <w:rsid w:val="008020F5"/>
    <w:rsid w:val="00804107"/>
    <w:rsid w:val="00804479"/>
    <w:rsid w:val="00804C88"/>
    <w:rsid w:val="00805D43"/>
    <w:rsid w:val="00805DD1"/>
    <w:rsid w:val="008066AD"/>
    <w:rsid w:val="00810346"/>
    <w:rsid w:val="00810F23"/>
    <w:rsid w:val="0081133B"/>
    <w:rsid w:val="00811799"/>
    <w:rsid w:val="00812244"/>
    <w:rsid w:val="00813558"/>
    <w:rsid w:val="00815012"/>
    <w:rsid w:val="00816112"/>
    <w:rsid w:val="00816260"/>
    <w:rsid w:val="0081699B"/>
    <w:rsid w:val="00817607"/>
    <w:rsid w:val="00817753"/>
    <w:rsid w:val="0081775C"/>
    <w:rsid w:val="008178AD"/>
    <w:rsid w:val="00820DA8"/>
    <w:rsid w:val="00821699"/>
    <w:rsid w:val="00821ADC"/>
    <w:rsid w:val="00821F32"/>
    <w:rsid w:val="00823474"/>
    <w:rsid w:val="00823559"/>
    <w:rsid w:val="00823732"/>
    <w:rsid w:val="00823F68"/>
    <w:rsid w:val="0082486C"/>
    <w:rsid w:val="00825288"/>
    <w:rsid w:val="00830DB4"/>
    <w:rsid w:val="00831EB5"/>
    <w:rsid w:val="00832773"/>
    <w:rsid w:val="00832831"/>
    <w:rsid w:val="008328FE"/>
    <w:rsid w:val="00833649"/>
    <w:rsid w:val="00833CB7"/>
    <w:rsid w:val="00833DC4"/>
    <w:rsid w:val="008343CC"/>
    <w:rsid w:val="008345F3"/>
    <w:rsid w:val="00834EE4"/>
    <w:rsid w:val="00835BF0"/>
    <w:rsid w:val="00835E60"/>
    <w:rsid w:val="0083609F"/>
    <w:rsid w:val="00836194"/>
    <w:rsid w:val="0083699C"/>
    <w:rsid w:val="00836E52"/>
    <w:rsid w:val="008404EC"/>
    <w:rsid w:val="00840B6C"/>
    <w:rsid w:val="00840D4B"/>
    <w:rsid w:val="00841616"/>
    <w:rsid w:val="00842A8D"/>
    <w:rsid w:val="00843C32"/>
    <w:rsid w:val="008448C7"/>
    <w:rsid w:val="008448CF"/>
    <w:rsid w:val="0084496A"/>
    <w:rsid w:val="008468D7"/>
    <w:rsid w:val="0084764F"/>
    <w:rsid w:val="0085100D"/>
    <w:rsid w:val="00851482"/>
    <w:rsid w:val="0085260F"/>
    <w:rsid w:val="008531E2"/>
    <w:rsid w:val="00854141"/>
    <w:rsid w:val="008545EE"/>
    <w:rsid w:val="00854A17"/>
    <w:rsid w:val="00854C1E"/>
    <w:rsid w:val="0085571D"/>
    <w:rsid w:val="00857ECD"/>
    <w:rsid w:val="00860954"/>
    <w:rsid w:val="008609FD"/>
    <w:rsid w:val="00860F1A"/>
    <w:rsid w:val="00861287"/>
    <w:rsid w:val="008625CE"/>
    <w:rsid w:val="00862CAA"/>
    <w:rsid w:val="008634BA"/>
    <w:rsid w:val="00863B7E"/>
    <w:rsid w:val="00863BDE"/>
    <w:rsid w:val="008652E1"/>
    <w:rsid w:val="00865905"/>
    <w:rsid w:val="008669DE"/>
    <w:rsid w:val="00870289"/>
    <w:rsid w:val="0087149C"/>
    <w:rsid w:val="00872649"/>
    <w:rsid w:val="00872D85"/>
    <w:rsid w:val="00872F5E"/>
    <w:rsid w:val="00873380"/>
    <w:rsid w:val="00873AF6"/>
    <w:rsid w:val="0087506F"/>
    <w:rsid w:val="00875ED8"/>
    <w:rsid w:val="00876D94"/>
    <w:rsid w:val="0087716C"/>
    <w:rsid w:val="008776BF"/>
    <w:rsid w:val="00877D36"/>
    <w:rsid w:val="008809E1"/>
    <w:rsid w:val="00881137"/>
    <w:rsid w:val="008824EE"/>
    <w:rsid w:val="008829E2"/>
    <w:rsid w:val="00882AD2"/>
    <w:rsid w:val="00882C93"/>
    <w:rsid w:val="00883AAF"/>
    <w:rsid w:val="00883DBC"/>
    <w:rsid w:val="00885982"/>
    <w:rsid w:val="00887415"/>
    <w:rsid w:val="008904E0"/>
    <w:rsid w:val="008921D6"/>
    <w:rsid w:val="008928C4"/>
    <w:rsid w:val="0089426D"/>
    <w:rsid w:val="00894D4E"/>
    <w:rsid w:val="00894FD0"/>
    <w:rsid w:val="008955CD"/>
    <w:rsid w:val="0089570C"/>
    <w:rsid w:val="008963CA"/>
    <w:rsid w:val="00896518"/>
    <w:rsid w:val="008965BF"/>
    <w:rsid w:val="00896713"/>
    <w:rsid w:val="00897753"/>
    <w:rsid w:val="008A00F2"/>
    <w:rsid w:val="008A0503"/>
    <w:rsid w:val="008A0A37"/>
    <w:rsid w:val="008A2D0C"/>
    <w:rsid w:val="008A337E"/>
    <w:rsid w:val="008A37CA"/>
    <w:rsid w:val="008A3E00"/>
    <w:rsid w:val="008A4EF0"/>
    <w:rsid w:val="008A55E1"/>
    <w:rsid w:val="008A62E4"/>
    <w:rsid w:val="008A7523"/>
    <w:rsid w:val="008B1269"/>
    <w:rsid w:val="008B12F5"/>
    <w:rsid w:val="008B3D73"/>
    <w:rsid w:val="008B6D3C"/>
    <w:rsid w:val="008B7282"/>
    <w:rsid w:val="008B7B04"/>
    <w:rsid w:val="008B7C6E"/>
    <w:rsid w:val="008C0E6A"/>
    <w:rsid w:val="008C1191"/>
    <w:rsid w:val="008C1254"/>
    <w:rsid w:val="008C154D"/>
    <w:rsid w:val="008C1ACD"/>
    <w:rsid w:val="008C3EA2"/>
    <w:rsid w:val="008C49BC"/>
    <w:rsid w:val="008C4CAA"/>
    <w:rsid w:val="008C6007"/>
    <w:rsid w:val="008C698F"/>
    <w:rsid w:val="008C6BD9"/>
    <w:rsid w:val="008C7A84"/>
    <w:rsid w:val="008D0F24"/>
    <w:rsid w:val="008D14CA"/>
    <w:rsid w:val="008D1937"/>
    <w:rsid w:val="008D1E1F"/>
    <w:rsid w:val="008D2219"/>
    <w:rsid w:val="008D495B"/>
    <w:rsid w:val="008D6410"/>
    <w:rsid w:val="008D6582"/>
    <w:rsid w:val="008D65EE"/>
    <w:rsid w:val="008D7A02"/>
    <w:rsid w:val="008E060A"/>
    <w:rsid w:val="008E0C91"/>
    <w:rsid w:val="008E0D12"/>
    <w:rsid w:val="008E1982"/>
    <w:rsid w:val="008E234C"/>
    <w:rsid w:val="008E31FC"/>
    <w:rsid w:val="008E377E"/>
    <w:rsid w:val="008E3B50"/>
    <w:rsid w:val="008E3BB7"/>
    <w:rsid w:val="008E4457"/>
    <w:rsid w:val="008E4530"/>
    <w:rsid w:val="008E7297"/>
    <w:rsid w:val="008F0380"/>
    <w:rsid w:val="008F0977"/>
    <w:rsid w:val="008F0B81"/>
    <w:rsid w:val="008F0F27"/>
    <w:rsid w:val="008F3527"/>
    <w:rsid w:val="008F3914"/>
    <w:rsid w:val="008F3C37"/>
    <w:rsid w:val="008F617F"/>
    <w:rsid w:val="008F684C"/>
    <w:rsid w:val="008F706C"/>
    <w:rsid w:val="008F7C5E"/>
    <w:rsid w:val="00900843"/>
    <w:rsid w:val="00900DCC"/>
    <w:rsid w:val="00901151"/>
    <w:rsid w:val="0090123D"/>
    <w:rsid w:val="00902072"/>
    <w:rsid w:val="009020D8"/>
    <w:rsid w:val="0090320C"/>
    <w:rsid w:val="0090353B"/>
    <w:rsid w:val="00905910"/>
    <w:rsid w:val="00906119"/>
    <w:rsid w:val="009061EA"/>
    <w:rsid w:val="00906CFB"/>
    <w:rsid w:val="00907CDC"/>
    <w:rsid w:val="00911E2A"/>
    <w:rsid w:val="009121D3"/>
    <w:rsid w:val="009122DB"/>
    <w:rsid w:val="009128C5"/>
    <w:rsid w:val="00913498"/>
    <w:rsid w:val="00914CB5"/>
    <w:rsid w:val="00914DB1"/>
    <w:rsid w:val="00914FF1"/>
    <w:rsid w:val="0091699E"/>
    <w:rsid w:val="00917217"/>
    <w:rsid w:val="0092019E"/>
    <w:rsid w:val="009202E2"/>
    <w:rsid w:val="009206F3"/>
    <w:rsid w:val="009209A7"/>
    <w:rsid w:val="00921480"/>
    <w:rsid w:val="00921495"/>
    <w:rsid w:val="00922086"/>
    <w:rsid w:val="009222CD"/>
    <w:rsid w:val="009222E4"/>
    <w:rsid w:val="00923AD5"/>
    <w:rsid w:val="00923FC3"/>
    <w:rsid w:val="0092475C"/>
    <w:rsid w:val="00924BEB"/>
    <w:rsid w:val="009253BA"/>
    <w:rsid w:val="009255FF"/>
    <w:rsid w:val="00925C95"/>
    <w:rsid w:val="00925FE5"/>
    <w:rsid w:val="0092610E"/>
    <w:rsid w:val="0093056A"/>
    <w:rsid w:val="00930B3B"/>
    <w:rsid w:val="00933256"/>
    <w:rsid w:val="00933B06"/>
    <w:rsid w:val="0093418E"/>
    <w:rsid w:val="00934C75"/>
    <w:rsid w:val="00935763"/>
    <w:rsid w:val="0093742D"/>
    <w:rsid w:val="009377A1"/>
    <w:rsid w:val="00940B4F"/>
    <w:rsid w:val="009413FD"/>
    <w:rsid w:val="0094184B"/>
    <w:rsid w:val="00942062"/>
    <w:rsid w:val="00942B26"/>
    <w:rsid w:val="00943623"/>
    <w:rsid w:val="0094381C"/>
    <w:rsid w:val="00943B55"/>
    <w:rsid w:val="0094434D"/>
    <w:rsid w:val="00944881"/>
    <w:rsid w:val="00944883"/>
    <w:rsid w:val="00944FCC"/>
    <w:rsid w:val="00945845"/>
    <w:rsid w:val="00945F32"/>
    <w:rsid w:val="00946AAA"/>
    <w:rsid w:val="00947892"/>
    <w:rsid w:val="0095088D"/>
    <w:rsid w:val="009517C0"/>
    <w:rsid w:val="00951B00"/>
    <w:rsid w:val="00951C4F"/>
    <w:rsid w:val="00952029"/>
    <w:rsid w:val="00952C31"/>
    <w:rsid w:val="009538C2"/>
    <w:rsid w:val="009542E4"/>
    <w:rsid w:val="0095441C"/>
    <w:rsid w:val="00954A0B"/>
    <w:rsid w:val="00956233"/>
    <w:rsid w:val="00956CC8"/>
    <w:rsid w:val="00956D12"/>
    <w:rsid w:val="00957359"/>
    <w:rsid w:val="00957474"/>
    <w:rsid w:val="0096003C"/>
    <w:rsid w:val="0096015F"/>
    <w:rsid w:val="00960532"/>
    <w:rsid w:val="0096132E"/>
    <w:rsid w:val="009614AD"/>
    <w:rsid w:val="00961DA6"/>
    <w:rsid w:val="00963058"/>
    <w:rsid w:val="009638E7"/>
    <w:rsid w:val="0096471D"/>
    <w:rsid w:val="00964DCF"/>
    <w:rsid w:val="00965A50"/>
    <w:rsid w:val="00965B88"/>
    <w:rsid w:val="00967238"/>
    <w:rsid w:val="00967D28"/>
    <w:rsid w:val="00971261"/>
    <w:rsid w:val="00972D41"/>
    <w:rsid w:val="0097313C"/>
    <w:rsid w:val="00973601"/>
    <w:rsid w:val="00973DD7"/>
    <w:rsid w:val="00973DEA"/>
    <w:rsid w:val="00974661"/>
    <w:rsid w:val="009747C4"/>
    <w:rsid w:val="009752EB"/>
    <w:rsid w:val="00975F89"/>
    <w:rsid w:val="00980111"/>
    <w:rsid w:val="009803F2"/>
    <w:rsid w:val="00980E72"/>
    <w:rsid w:val="009812B1"/>
    <w:rsid w:val="009820AB"/>
    <w:rsid w:val="009826D2"/>
    <w:rsid w:val="00984FD4"/>
    <w:rsid w:val="0098520E"/>
    <w:rsid w:val="009855A2"/>
    <w:rsid w:val="009860DF"/>
    <w:rsid w:val="009875EB"/>
    <w:rsid w:val="009876C3"/>
    <w:rsid w:val="009877CC"/>
    <w:rsid w:val="009914CE"/>
    <w:rsid w:val="00991A86"/>
    <w:rsid w:val="00992209"/>
    <w:rsid w:val="00993821"/>
    <w:rsid w:val="00993C59"/>
    <w:rsid w:val="009949A3"/>
    <w:rsid w:val="00995F19"/>
    <w:rsid w:val="00995F29"/>
    <w:rsid w:val="0099611C"/>
    <w:rsid w:val="009967B2"/>
    <w:rsid w:val="0099683B"/>
    <w:rsid w:val="00996D12"/>
    <w:rsid w:val="0099736D"/>
    <w:rsid w:val="00997BB0"/>
    <w:rsid w:val="00997FDA"/>
    <w:rsid w:val="009A0113"/>
    <w:rsid w:val="009A03C0"/>
    <w:rsid w:val="009A0760"/>
    <w:rsid w:val="009A1564"/>
    <w:rsid w:val="009A1C1A"/>
    <w:rsid w:val="009A2C04"/>
    <w:rsid w:val="009A2E1C"/>
    <w:rsid w:val="009A3B99"/>
    <w:rsid w:val="009A4F9B"/>
    <w:rsid w:val="009A56CB"/>
    <w:rsid w:val="009A709C"/>
    <w:rsid w:val="009B037A"/>
    <w:rsid w:val="009B08D3"/>
    <w:rsid w:val="009B1D0F"/>
    <w:rsid w:val="009B20D0"/>
    <w:rsid w:val="009B2384"/>
    <w:rsid w:val="009B414A"/>
    <w:rsid w:val="009B48BB"/>
    <w:rsid w:val="009B4E8F"/>
    <w:rsid w:val="009B589D"/>
    <w:rsid w:val="009B6077"/>
    <w:rsid w:val="009B66B3"/>
    <w:rsid w:val="009B70BA"/>
    <w:rsid w:val="009B7211"/>
    <w:rsid w:val="009B774E"/>
    <w:rsid w:val="009C24A9"/>
    <w:rsid w:val="009C388A"/>
    <w:rsid w:val="009C4148"/>
    <w:rsid w:val="009C417C"/>
    <w:rsid w:val="009C47A2"/>
    <w:rsid w:val="009C4A03"/>
    <w:rsid w:val="009C4AAA"/>
    <w:rsid w:val="009C4DF3"/>
    <w:rsid w:val="009C5BB5"/>
    <w:rsid w:val="009C5C38"/>
    <w:rsid w:val="009C638F"/>
    <w:rsid w:val="009C68F7"/>
    <w:rsid w:val="009C6F14"/>
    <w:rsid w:val="009C739B"/>
    <w:rsid w:val="009D09AA"/>
    <w:rsid w:val="009D119A"/>
    <w:rsid w:val="009D1A52"/>
    <w:rsid w:val="009D2255"/>
    <w:rsid w:val="009D2323"/>
    <w:rsid w:val="009D3495"/>
    <w:rsid w:val="009D419F"/>
    <w:rsid w:val="009D4E38"/>
    <w:rsid w:val="009D53AC"/>
    <w:rsid w:val="009D61E7"/>
    <w:rsid w:val="009D6DB6"/>
    <w:rsid w:val="009D6EA4"/>
    <w:rsid w:val="009D6F4E"/>
    <w:rsid w:val="009D7381"/>
    <w:rsid w:val="009D7D1E"/>
    <w:rsid w:val="009D7FDB"/>
    <w:rsid w:val="009E005E"/>
    <w:rsid w:val="009E009D"/>
    <w:rsid w:val="009E2C9D"/>
    <w:rsid w:val="009E37AB"/>
    <w:rsid w:val="009E4127"/>
    <w:rsid w:val="009E464E"/>
    <w:rsid w:val="009E5401"/>
    <w:rsid w:val="009E5D3B"/>
    <w:rsid w:val="009E6B57"/>
    <w:rsid w:val="009E70F9"/>
    <w:rsid w:val="009F0EEA"/>
    <w:rsid w:val="009F138D"/>
    <w:rsid w:val="009F40E4"/>
    <w:rsid w:val="009F5B6C"/>
    <w:rsid w:val="009F653A"/>
    <w:rsid w:val="009F65BA"/>
    <w:rsid w:val="009F7E9D"/>
    <w:rsid w:val="00A00137"/>
    <w:rsid w:val="00A01B1C"/>
    <w:rsid w:val="00A02912"/>
    <w:rsid w:val="00A03351"/>
    <w:rsid w:val="00A03F7F"/>
    <w:rsid w:val="00A0462E"/>
    <w:rsid w:val="00A048CA"/>
    <w:rsid w:val="00A06263"/>
    <w:rsid w:val="00A064DE"/>
    <w:rsid w:val="00A065C5"/>
    <w:rsid w:val="00A07250"/>
    <w:rsid w:val="00A07468"/>
    <w:rsid w:val="00A07D12"/>
    <w:rsid w:val="00A107A4"/>
    <w:rsid w:val="00A10DD9"/>
    <w:rsid w:val="00A11335"/>
    <w:rsid w:val="00A1242C"/>
    <w:rsid w:val="00A131DE"/>
    <w:rsid w:val="00A13C8D"/>
    <w:rsid w:val="00A15F6F"/>
    <w:rsid w:val="00A164C2"/>
    <w:rsid w:val="00A167B9"/>
    <w:rsid w:val="00A17043"/>
    <w:rsid w:val="00A17CB9"/>
    <w:rsid w:val="00A20219"/>
    <w:rsid w:val="00A20230"/>
    <w:rsid w:val="00A215F3"/>
    <w:rsid w:val="00A21BB8"/>
    <w:rsid w:val="00A220CC"/>
    <w:rsid w:val="00A224A8"/>
    <w:rsid w:val="00A22B36"/>
    <w:rsid w:val="00A22DC5"/>
    <w:rsid w:val="00A23162"/>
    <w:rsid w:val="00A243D0"/>
    <w:rsid w:val="00A244A7"/>
    <w:rsid w:val="00A244D8"/>
    <w:rsid w:val="00A24B97"/>
    <w:rsid w:val="00A25707"/>
    <w:rsid w:val="00A26443"/>
    <w:rsid w:val="00A267D4"/>
    <w:rsid w:val="00A279AD"/>
    <w:rsid w:val="00A27F36"/>
    <w:rsid w:val="00A302C4"/>
    <w:rsid w:val="00A312AE"/>
    <w:rsid w:val="00A33A20"/>
    <w:rsid w:val="00A33AF3"/>
    <w:rsid w:val="00A368B5"/>
    <w:rsid w:val="00A36A97"/>
    <w:rsid w:val="00A37271"/>
    <w:rsid w:val="00A37BBE"/>
    <w:rsid w:val="00A41008"/>
    <w:rsid w:val="00A418D4"/>
    <w:rsid w:val="00A41E11"/>
    <w:rsid w:val="00A41F7A"/>
    <w:rsid w:val="00A422BA"/>
    <w:rsid w:val="00A422DC"/>
    <w:rsid w:val="00A424FC"/>
    <w:rsid w:val="00A4289A"/>
    <w:rsid w:val="00A448C7"/>
    <w:rsid w:val="00A44CBF"/>
    <w:rsid w:val="00A453BC"/>
    <w:rsid w:val="00A455B6"/>
    <w:rsid w:val="00A45A97"/>
    <w:rsid w:val="00A467D7"/>
    <w:rsid w:val="00A46D33"/>
    <w:rsid w:val="00A47167"/>
    <w:rsid w:val="00A4792D"/>
    <w:rsid w:val="00A50BCB"/>
    <w:rsid w:val="00A51348"/>
    <w:rsid w:val="00A513F3"/>
    <w:rsid w:val="00A5316B"/>
    <w:rsid w:val="00A540AA"/>
    <w:rsid w:val="00A54533"/>
    <w:rsid w:val="00A54F34"/>
    <w:rsid w:val="00A55207"/>
    <w:rsid w:val="00A55287"/>
    <w:rsid w:val="00A569CE"/>
    <w:rsid w:val="00A57671"/>
    <w:rsid w:val="00A57C10"/>
    <w:rsid w:val="00A57EED"/>
    <w:rsid w:val="00A61123"/>
    <w:rsid w:val="00A618B5"/>
    <w:rsid w:val="00A62054"/>
    <w:rsid w:val="00A624CE"/>
    <w:rsid w:val="00A6292B"/>
    <w:rsid w:val="00A635C1"/>
    <w:rsid w:val="00A63856"/>
    <w:rsid w:val="00A638EE"/>
    <w:rsid w:val="00A63B5F"/>
    <w:rsid w:val="00A64668"/>
    <w:rsid w:val="00A647E4"/>
    <w:rsid w:val="00A64D04"/>
    <w:rsid w:val="00A65F2D"/>
    <w:rsid w:val="00A663FF"/>
    <w:rsid w:val="00A678A1"/>
    <w:rsid w:val="00A67E2C"/>
    <w:rsid w:val="00A70443"/>
    <w:rsid w:val="00A7097B"/>
    <w:rsid w:val="00A71017"/>
    <w:rsid w:val="00A72457"/>
    <w:rsid w:val="00A741FA"/>
    <w:rsid w:val="00A7439E"/>
    <w:rsid w:val="00A749E1"/>
    <w:rsid w:val="00A74BB4"/>
    <w:rsid w:val="00A751A0"/>
    <w:rsid w:val="00A75383"/>
    <w:rsid w:val="00A759D2"/>
    <w:rsid w:val="00A76E68"/>
    <w:rsid w:val="00A76ED0"/>
    <w:rsid w:val="00A77B1E"/>
    <w:rsid w:val="00A77DFB"/>
    <w:rsid w:val="00A804C9"/>
    <w:rsid w:val="00A80DBB"/>
    <w:rsid w:val="00A80E2E"/>
    <w:rsid w:val="00A81393"/>
    <w:rsid w:val="00A81B4A"/>
    <w:rsid w:val="00A8247F"/>
    <w:rsid w:val="00A825CF"/>
    <w:rsid w:val="00A828D4"/>
    <w:rsid w:val="00A82C7F"/>
    <w:rsid w:val="00A83151"/>
    <w:rsid w:val="00A83A53"/>
    <w:rsid w:val="00A845D8"/>
    <w:rsid w:val="00A8524D"/>
    <w:rsid w:val="00A85AE7"/>
    <w:rsid w:val="00A85CAD"/>
    <w:rsid w:val="00A86405"/>
    <w:rsid w:val="00A86707"/>
    <w:rsid w:val="00A87771"/>
    <w:rsid w:val="00A87787"/>
    <w:rsid w:val="00A904DC"/>
    <w:rsid w:val="00A909FA"/>
    <w:rsid w:val="00A90C84"/>
    <w:rsid w:val="00A910EA"/>
    <w:rsid w:val="00A9157A"/>
    <w:rsid w:val="00A9159E"/>
    <w:rsid w:val="00A92562"/>
    <w:rsid w:val="00A92B33"/>
    <w:rsid w:val="00A92BF9"/>
    <w:rsid w:val="00A93279"/>
    <w:rsid w:val="00A93573"/>
    <w:rsid w:val="00A93AAD"/>
    <w:rsid w:val="00A94DCE"/>
    <w:rsid w:val="00A955C6"/>
    <w:rsid w:val="00A96761"/>
    <w:rsid w:val="00A96D05"/>
    <w:rsid w:val="00A970AB"/>
    <w:rsid w:val="00A9782B"/>
    <w:rsid w:val="00AA0802"/>
    <w:rsid w:val="00AA14F5"/>
    <w:rsid w:val="00AA2681"/>
    <w:rsid w:val="00AA2ABC"/>
    <w:rsid w:val="00AA377A"/>
    <w:rsid w:val="00AA3C73"/>
    <w:rsid w:val="00AA4886"/>
    <w:rsid w:val="00AA48FE"/>
    <w:rsid w:val="00AA494F"/>
    <w:rsid w:val="00AA77AD"/>
    <w:rsid w:val="00AB0083"/>
    <w:rsid w:val="00AB0D11"/>
    <w:rsid w:val="00AB16A0"/>
    <w:rsid w:val="00AB1BFF"/>
    <w:rsid w:val="00AB2596"/>
    <w:rsid w:val="00AB30E4"/>
    <w:rsid w:val="00AB37EE"/>
    <w:rsid w:val="00AB3C04"/>
    <w:rsid w:val="00AB4040"/>
    <w:rsid w:val="00AB4D82"/>
    <w:rsid w:val="00AB5799"/>
    <w:rsid w:val="00AB6ACA"/>
    <w:rsid w:val="00AB6D0B"/>
    <w:rsid w:val="00AB730F"/>
    <w:rsid w:val="00AB788A"/>
    <w:rsid w:val="00AC04F6"/>
    <w:rsid w:val="00AC05C7"/>
    <w:rsid w:val="00AC0CA2"/>
    <w:rsid w:val="00AC111F"/>
    <w:rsid w:val="00AC21DA"/>
    <w:rsid w:val="00AC21ED"/>
    <w:rsid w:val="00AC2348"/>
    <w:rsid w:val="00AC3C68"/>
    <w:rsid w:val="00AC3DC3"/>
    <w:rsid w:val="00AC4F64"/>
    <w:rsid w:val="00AC54B7"/>
    <w:rsid w:val="00AC5797"/>
    <w:rsid w:val="00AC60E7"/>
    <w:rsid w:val="00AC6737"/>
    <w:rsid w:val="00AC798B"/>
    <w:rsid w:val="00AC7E7D"/>
    <w:rsid w:val="00AD032D"/>
    <w:rsid w:val="00AD22B3"/>
    <w:rsid w:val="00AD3597"/>
    <w:rsid w:val="00AD360C"/>
    <w:rsid w:val="00AD4306"/>
    <w:rsid w:val="00AD449D"/>
    <w:rsid w:val="00AD45D7"/>
    <w:rsid w:val="00AD551A"/>
    <w:rsid w:val="00AE0B33"/>
    <w:rsid w:val="00AE0F76"/>
    <w:rsid w:val="00AE10AA"/>
    <w:rsid w:val="00AE18E7"/>
    <w:rsid w:val="00AE2274"/>
    <w:rsid w:val="00AE228A"/>
    <w:rsid w:val="00AE248E"/>
    <w:rsid w:val="00AE3DEE"/>
    <w:rsid w:val="00AE44DC"/>
    <w:rsid w:val="00AE4912"/>
    <w:rsid w:val="00AE50A4"/>
    <w:rsid w:val="00AE6588"/>
    <w:rsid w:val="00AE7049"/>
    <w:rsid w:val="00AE7361"/>
    <w:rsid w:val="00AF00DD"/>
    <w:rsid w:val="00AF04B0"/>
    <w:rsid w:val="00AF1555"/>
    <w:rsid w:val="00AF18D9"/>
    <w:rsid w:val="00AF1F00"/>
    <w:rsid w:val="00AF1F3A"/>
    <w:rsid w:val="00AF25C1"/>
    <w:rsid w:val="00AF352B"/>
    <w:rsid w:val="00AF4C15"/>
    <w:rsid w:val="00AF5234"/>
    <w:rsid w:val="00AF76BD"/>
    <w:rsid w:val="00AF7C98"/>
    <w:rsid w:val="00B00B54"/>
    <w:rsid w:val="00B01AEA"/>
    <w:rsid w:val="00B022BB"/>
    <w:rsid w:val="00B02407"/>
    <w:rsid w:val="00B0379D"/>
    <w:rsid w:val="00B039F7"/>
    <w:rsid w:val="00B044A8"/>
    <w:rsid w:val="00B04B29"/>
    <w:rsid w:val="00B04EAD"/>
    <w:rsid w:val="00B06029"/>
    <w:rsid w:val="00B066F5"/>
    <w:rsid w:val="00B06C44"/>
    <w:rsid w:val="00B10C41"/>
    <w:rsid w:val="00B10F96"/>
    <w:rsid w:val="00B110EC"/>
    <w:rsid w:val="00B1111B"/>
    <w:rsid w:val="00B11783"/>
    <w:rsid w:val="00B126B4"/>
    <w:rsid w:val="00B1305B"/>
    <w:rsid w:val="00B14229"/>
    <w:rsid w:val="00B14610"/>
    <w:rsid w:val="00B1644A"/>
    <w:rsid w:val="00B17C20"/>
    <w:rsid w:val="00B2082B"/>
    <w:rsid w:val="00B20A6D"/>
    <w:rsid w:val="00B2116B"/>
    <w:rsid w:val="00B219C6"/>
    <w:rsid w:val="00B225DF"/>
    <w:rsid w:val="00B2277A"/>
    <w:rsid w:val="00B22A81"/>
    <w:rsid w:val="00B23604"/>
    <w:rsid w:val="00B25354"/>
    <w:rsid w:val="00B25AF2"/>
    <w:rsid w:val="00B2643E"/>
    <w:rsid w:val="00B27D76"/>
    <w:rsid w:val="00B30ACB"/>
    <w:rsid w:val="00B3104C"/>
    <w:rsid w:val="00B31C86"/>
    <w:rsid w:val="00B32173"/>
    <w:rsid w:val="00B32179"/>
    <w:rsid w:val="00B32920"/>
    <w:rsid w:val="00B32DE1"/>
    <w:rsid w:val="00B32EEB"/>
    <w:rsid w:val="00B337ED"/>
    <w:rsid w:val="00B33B3B"/>
    <w:rsid w:val="00B346F4"/>
    <w:rsid w:val="00B34AD7"/>
    <w:rsid w:val="00B355D2"/>
    <w:rsid w:val="00B35DC7"/>
    <w:rsid w:val="00B35FC5"/>
    <w:rsid w:val="00B368A4"/>
    <w:rsid w:val="00B36B6D"/>
    <w:rsid w:val="00B36BB1"/>
    <w:rsid w:val="00B401D7"/>
    <w:rsid w:val="00B4045A"/>
    <w:rsid w:val="00B41287"/>
    <w:rsid w:val="00B412CB"/>
    <w:rsid w:val="00B41FD4"/>
    <w:rsid w:val="00B429E4"/>
    <w:rsid w:val="00B42BB8"/>
    <w:rsid w:val="00B45230"/>
    <w:rsid w:val="00B458C2"/>
    <w:rsid w:val="00B45F5D"/>
    <w:rsid w:val="00B4627F"/>
    <w:rsid w:val="00B462AE"/>
    <w:rsid w:val="00B46B4B"/>
    <w:rsid w:val="00B46E5B"/>
    <w:rsid w:val="00B47AA6"/>
    <w:rsid w:val="00B47F55"/>
    <w:rsid w:val="00B47FC7"/>
    <w:rsid w:val="00B50375"/>
    <w:rsid w:val="00B50714"/>
    <w:rsid w:val="00B50C3C"/>
    <w:rsid w:val="00B5229F"/>
    <w:rsid w:val="00B5236E"/>
    <w:rsid w:val="00B52BE4"/>
    <w:rsid w:val="00B5303F"/>
    <w:rsid w:val="00B53EC7"/>
    <w:rsid w:val="00B5460E"/>
    <w:rsid w:val="00B5517D"/>
    <w:rsid w:val="00B55424"/>
    <w:rsid w:val="00B611EA"/>
    <w:rsid w:val="00B61A83"/>
    <w:rsid w:val="00B62873"/>
    <w:rsid w:val="00B635B8"/>
    <w:rsid w:val="00B63626"/>
    <w:rsid w:val="00B63BD7"/>
    <w:rsid w:val="00B641CB"/>
    <w:rsid w:val="00B64280"/>
    <w:rsid w:val="00B646DA"/>
    <w:rsid w:val="00B648A8"/>
    <w:rsid w:val="00B65C90"/>
    <w:rsid w:val="00B65F8E"/>
    <w:rsid w:val="00B67446"/>
    <w:rsid w:val="00B704E5"/>
    <w:rsid w:val="00B70C6C"/>
    <w:rsid w:val="00B721BF"/>
    <w:rsid w:val="00B722A3"/>
    <w:rsid w:val="00B72738"/>
    <w:rsid w:val="00B72772"/>
    <w:rsid w:val="00B72BDC"/>
    <w:rsid w:val="00B73BEC"/>
    <w:rsid w:val="00B73BF9"/>
    <w:rsid w:val="00B7579C"/>
    <w:rsid w:val="00B75BA7"/>
    <w:rsid w:val="00B75E6E"/>
    <w:rsid w:val="00B76807"/>
    <w:rsid w:val="00B770CD"/>
    <w:rsid w:val="00B80364"/>
    <w:rsid w:val="00B810A5"/>
    <w:rsid w:val="00B81233"/>
    <w:rsid w:val="00B81328"/>
    <w:rsid w:val="00B8194F"/>
    <w:rsid w:val="00B82378"/>
    <w:rsid w:val="00B84683"/>
    <w:rsid w:val="00B85A41"/>
    <w:rsid w:val="00B85DB8"/>
    <w:rsid w:val="00B86874"/>
    <w:rsid w:val="00B874D9"/>
    <w:rsid w:val="00B87C2D"/>
    <w:rsid w:val="00B90987"/>
    <w:rsid w:val="00B91878"/>
    <w:rsid w:val="00B91D1D"/>
    <w:rsid w:val="00B930C3"/>
    <w:rsid w:val="00B9313E"/>
    <w:rsid w:val="00B93E62"/>
    <w:rsid w:val="00B941E1"/>
    <w:rsid w:val="00B94395"/>
    <w:rsid w:val="00B9481D"/>
    <w:rsid w:val="00B9503B"/>
    <w:rsid w:val="00B954BA"/>
    <w:rsid w:val="00B95E16"/>
    <w:rsid w:val="00B9607E"/>
    <w:rsid w:val="00B97350"/>
    <w:rsid w:val="00B9765E"/>
    <w:rsid w:val="00BA0F8D"/>
    <w:rsid w:val="00BA10BE"/>
    <w:rsid w:val="00BA14FE"/>
    <w:rsid w:val="00BA151B"/>
    <w:rsid w:val="00BA1C2E"/>
    <w:rsid w:val="00BA2647"/>
    <w:rsid w:val="00BA2DC5"/>
    <w:rsid w:val="00BA4B9F"/>
    <w:rsid w:val="00BA5537"/>
    <w:rsid w:val="00BA5A47"/>
    <w:rsid w:val="00BA6241"/>
    <w:rsid w:val="00BA634B"/>
    <w:rsid w:val="00BA64EB"/>
    <w:rsid w:val="00BA6724"/>
    <w:rsid w:val="00BA6B94"/>
    <w:rsid w:val="00BA6CD7"/>
    <w:rsid w:val="00BA7138"/>
    <w:rsid w:val="00BA7AF7"/>
    <w:rsid w:val="00BB0140"/>
    <w:rsid w:val="00BB123A"/>
    <w:rsid w:val="00BB254B"/>
    <w:rsid w:val="00BB28E9"/>
    <w:rsid w:val="00BB3399"/>
    <w:rsid w:val="00BB41B9"/>
    <w:rsid w:val="00BB472B"/>
    <w:rsid w:val="00BB4C62"/>
    <w:rsid w:val="00BB5825"/>
    <w:rsid w:val="00BB6460"/>
    <w:rsid w:val="00BB6A62"/>
    <w:rsid w:val="00BB6AEB"/>
    <w:rsid w:val="00BB7248"/>
    <w:rsid w:val="00BB72AF"/>
    <w:rsid w:val="00BB74F0"/>
    <w:rsid w:val="00BC0410"/>
    <w:rsid w:val="00BC056B"/>
    <w:rsid w:val="00BC0B51"/>
    <w:rsid w:val="00BC115C"/>
    <w:rsid w:val="00BC2420"/>
    <w:rsid w:val="00BC26D0"/>
    <w:rsid w:val="00BC27F2"/>
    <w:rsid w:val="00BC3B76"/>
    <w:rsid w:val="00BC414A"/>
    <w:rsid w:val="00BC4FC7"/>
    <w:rsid w:val="00BC5402"/>
    <w:rsid w:val="00BC576F"/>
    <w:rsid w:val="00BC623D"/>
    <w:rsid w:val="00BC6831"/>
    <w:rsid w:val="00BC72A1"/>
    <w:rsid w:val="00BC7F5C"/>
    <w:rsid w:val="00BD0F34"/>
    <w:rsid w:val="00BD21BF"/>
    <w:rsid w:val="00BD21F0"/>
    <w:rsid w:val="00BD2357"/>
    <w:rsid w:val="00BD38BC"/>
    <w:rsid w:val="00BD412C"/>
    <w:rsid w:val="00BD43B4"/>
    <w:rsid w:val="00BD4F32"/>
    <w:rsid w:val="00BD4FB7"/>
    <w:rsid w:val="00BD5864"/>
    <w:rsid w:val="00BD58E5"/>
    <w:rsid w:val="00BD6C1F"/>
    <w:rsid w:val="00BD729D"/>
    <w:rsid w:val="00BD73C6"/>
    <w:rsid w:val="00BE0597"/>
    <w:rsid w:val="00BE0655"/>
    <w:rsid w:val="00BE082D"/>
    <w:rsid w:val="00BE13FF"/>
    <w:rsid w:val="00BE2273"/>
    <w:rsid w:val="00BE3467"/>
    <w:rsid w:val="00BE57FD"/>
    <w:rsid w:val="00BE657A"/>
    <w:rsid w:val="00BE65D6"/>
    <w:rsid w:val="00BE7393"/>
    <w:rsid w:val="00BF0087"/>
    <w:rsid w:val="00BF0208"/>
    <w:rsid w:val="00BF0286"/>
    <w:rsid w:val="00BF12E6"/>
    <w:rsid w:val="00BF14E9"/>
    <w:rsid w:val="00BF1662"/>
    <w:rsid w:val="00BF2018"/>
    <w:rsid w:val="00BF2EA6"/>
    <w:rsid w:val="00BF2F75"/>
    <w:rsid w:val="00BF3B32"/>
    <w:rsid w:val="00BF454A"/>
    <w:rsid w:val="00BF5679"/>
    <w:rsid w:val="00BF5DC8"/>
    <w:rsid w:val="00C00198"/>
    <w:rsid w:val="00C00852"/>
    <w:rsid w:val="00C01864"/>
    <w:rsid w:val="00C025EB"/>
    <w:rsid w:val="00C032A7"/>
    <w:rsid w:val="00C036D4"/>
    <w:rsid w:val="00C03739"/>
    <w:rsid w:val="00C054BC"/>
    <w:rsid w:val="00C0582F"/>
    <w:rsid w:val="00C058FB"/>
    <w:rsid w:val="00C05F1F"/>
    <w:rsid w:val="00C05FFC"/>
    <w:rsid w:val="00C0611F"/>
    <w:rsid w:val="00C06D7A"/>
    <w:rsid w:val="00C07B86"/>
    <w:rsid w:val="00C07E12"/>
    <w:rsid w:val="00C07E70"/>
    <w:rsid w:val="00C10B13"/>
    <w:rsid w:val="00C10C13"/>
    <w:rsid w:val="00C10E54"/>
    <w:rsid w:val="00C10F95"/>
    <w:rsid w:val="00C12780"/>
    <w:rsid w:val="00C1286A"/>
    <w:rsid w:val="00C13112"/>
    <w:rsid w:val="00C1418D"/>
    <w:rsid w:val="00C14E0D"/>
    <w:rsid w:val="00C17194"/>
    <w:rsid w:val="00C176E1"/>
    <w:rsid w:val="00C178E2"/>
    <w:rsid w:val="00C210FB"/>
    <w:rsid w:val="00C21611"/>
    <w:rsid w:val="00C21CF7"/>
    <w:rsid w:val="00C22092"/>
    <w:rsid w:val="00C23181"/>
    <w:rsid w:val="00C2322A"/>
    <w:rsid w:val="00C233D6"/>
    <w:rsid w:val="00C2355B"/>
    <w:rsid w:val="00C24454"/>
    <w:rsid w:val="00C24633"/>
    <w:rsid w:val="00C269CF"/>
    <w:rsid w:val="00C271D3"/>
    <w:rsid w:val="00C275A3"/>
    <w:rsid w:val="00C27698"/>
    <w:rsid w:val="00C30627"/>
    <w:rsid w:val="00C309D3"/>
    <w:rsid w:val="00C3111D"/>
    <w:rsid w:val="00C316F2"/>
    <w:rsid w:val="00C31B85"/>
    <w:rsid w:val="00C32386"/>
    <w:rsid w:val="00C3282E"/>
    <w:rsid w:val="00C3335F"/>
    <w:rsid w:val="00C3373F"/>
    <w:rsid w:val="00C33A82"/>
    <w:rsid w:val="00C36460"/>
    <w:rsid w:val="00C36816"/>
    <w:rsid w:val="00C36BD6"/>
    <w:rsid w:val="00C3711A"/>
    <w:rsid w:val="00C3737D"/>
    <w:rsid w:val="00C3758A"/>
    <w:rsid w:val="00C4039C"/>
    <w:rsid w:val="00C40465"/>
    <w:rsid w:val="00C405A9"/>
    <w:rsid w:val="00C40E06"/>
    <w:rsid w:val="00C43590"/>
    <w:rsid w:val="00C43B63"/>
    <w:rsid w:val="00C4500E"/>
    <w:rsid w:val="00C46328"/>
    <w:rsid w:val="00C46DB9"/>
    <w:rsid w:val="00C46ED2"/>
    <w:rsid w:val="00C50590"/>
    <w:rsid w:val="00C50E93"/>
    <w:rsid w:val="00C50F00"/>
    <w:rsid w:val="00C51A24"/>
    <w:rsid w:val="00C52409"/>
    <w:rsid w:val="00C5244A"/>
    <w:rsid w:val="00C536C5"/>
    <w:rsid w:val="00C5419C"/>
    <w:rsid w:val="00C56AFA"/>
    <w:rsid w:val="00C57578"/>
    <w:rsid w:val="00C57668"/>
    <w:rsid w:val="00C57E62"/>
    <w:rsid w:val="00C60CB8"/>
    <w:rsid w:val="00C62636"/>
    <w:rsid w:val="00C62E42"/>
    <w:rsid w:val="00C63D3C"/>
    <w:rsid w:val="00C64CDA"/>
    <w:rsid w:val="00C64E4B"/>
    <w:rsid w:val="00C64F7C"/>
    <w:rsid w:val="00C66D76"/>
    <w:rsid w:val="00C67A86"/>
    <w:rsid w:val="00C67F37"/>
    <w:rsid w:val="00C67F38"/>
    <w:rsid w:val="00C70463"/>
    <w:rsid w:val="00C71028"/>
    <w:rsid w:val="00C71B01"/>
    <w:rsid w:val="00C72529"/>
    <w:rsid w:val="00C7350D"/>
    <w:rsid w:val="00C73969"/>
    <w:rsid w:val="00C73F96"/>
    <w:rsid w:val="00C75AE9"/>
    <w:rsid w:val="00C75DF6"/>
    <w:rsid w:val="00C8013C"/>
    <w:rsid w:val="00C81F43"/>
    <w:rsid w:val="00C8224A"/>
    <w:rsid w:val="00C82268"/>
    <w:rsid w:val="00C82A76"/>
    <w:rsid w:val="00C85A59"/>
    <w:rsid w:val="00C8617F"/>
    <w:rsid w:val="00C861C8"/>
    <w:rsid w:val="00C8621F"/>
    <w:rsid w:val="00C87865"/>
    <w:rsid w:val="00C87B9C"/>
    <w:rsid w:val="00C907E4"/>
    <w:rsid w:val="00C90A74"/>
    <w:rsid w:val="00C913DD"/>
    <w:rsid w:val="00C928AE"/>
    <w:rsid w:val="00C929B6"/>
    <w:rsid w:val="00C92F34"/>
    <w:rsid w:val="00C948DE"/>
    <w:rsid w:val="00C96D94"/>
    <w:rsid w:val="00C97404"/>
    <w:rsid w:val="00C97681"/>
    <w:rsid w:val="00C979A4"/>
    <w:rsid w:val="00C97A50"/>
    <w:rsid w:val="00C97E3A"/>
    <w:rsid w:val="00CA0EE4"/>
    <w:rsid w:val="00CA0F59"/>
    <w:rsid w:val="00CA1EF6"/>
    <w:rsid w:val="00CA453C"/>
    <w:rsid w:val="00CA4AAC"/>
    <w:rsid w:val="00CA5E9C"/>
    <w:rsid w:val="00CA610D"/>
    <w:rsid w:val="00CA6AEC"/>
    <w:rsid w:val="00CA6E1C"/>
    <w:rsid w:val="00CA6FE4"/>
    <w:rsid w:val="00CB0204"/>
    <w:rsid w:val="00CB17C1"/>
    <w:rsid w:val="00CB1A98"/>
    <w:rsid w:val="00CB1E02"/>
    <w:rsid w:val="00CB1EE6"/>
    <w:rsid w:val="00CB224F"/>
    <w:rsid w:val="00CB2C2F"/>
    <w:rsid w:val="00CB3169"/>
    <w:rsid w:val="00CB3979"/>
    <w:rsid w:val="00CB45A3"/>
    <w:rsid w:val="00CB468E"/>
    <w:rsid w:val="00CB4B1F"/>
    <w:rsid w:val="00CB6F8E"/>
    <w:rsid w:val="00CB7358"/>
    <w:rsid w:val="00CC1A54"/>
    <w:rsid w:val="00CC2D43"/>
    <w:rsid w:val="00CC323C"/>
    <w:rsid w:val="00CC37CD"/>
    <w:rsid w:val="00CC39AE"/>
    <w:rsid w:val="00CC3DBD"/>
    <w:rsid w:val="00CC3F0C"/>
    <w:rsid w:val="00CC4C90"/>
    <w:rsid w:val="00CC50C9"/>
    <w:rsid w:val="00CC5170"/>
    <w:rsid w:val="00CC594B"/>
    <w:rsid w:val="00CC6026"/>
    <w:rsid w:val="00CC66BA"/>
    <w:rsid w:val="00CD0202"/>
    <w:rsid w:val="00CD099D"/>
    <w:rsid w:val="00CD1029"/>
    <w:rsid w:val="00CD1442"/>
    <w:rsid w:val="00CD1706"/>
    <w:rsid w:val="00CD2F60"/>
    <w:rsid w:val="00CD3E02"/>
    <w:rsid w:val="00CD418A"/>
    <w:rsid w:val="00CD44E8"/>
    <w:rsid w:val="00CD679E"/>
    <w:rsid w:val="00CE00C1"/>
    <w:rsid w:val="00CE4246"/>
    <w:rsid w:val="00CE477E"/>
    <w:rsid w:val="00CE49F0"/>
    <w:rsid w:val="00CE4C32"/>
    <w:rsid w:val="00CE6246"/>
    <w:rsid w:val="00CE6490"/>
    <w:rsid w:val="00CE673E"/>
    <w:rsid w:val="00CE696A"/>
    <w:rsid w:val="00CE6AFE"/>
    <w:rsid w:val="00CE7298"/>
    <w:rsid w:val="00CF197D"/>
    <w:rsid w:val="00CF2E21"/>
    <w:rsid w:val="00CF3C1F"/>
    <w:rsid w:val="00CF3F6C"/>
    <w:rsid w:val="00CF51D1"/>
    <w:rsid w:val="00CF5CE7"/>
    <w:rsid w:val="00CF6150"/>
    <w:rsid w:val="00CF738F"/>
    <w:rsid w:val="00CF786C"/>
    <w:rsid w:val="00D00D75"/>
    <w:rsid w:val="00D0115E"/>
    <w:rsid w:val="00D0163B"/>
    <w:rsid w:val="00D038AD"/>
    <w:rsid w:val="00D04CFC"/>
    <w:rsid w:val="00D05AD5"/>
    <w:rsid w:val="00D06492"/>
    <w:rsid w:val="00D066F3"/>
    <w:rsid w:val="00D06756"/>
    <w:rsid w:val="00D06D66"/>
    <w:rsid w:val="00D07570"/>
    <w:rsid w:val="00D07E31"/>
    <w:rsid w:val="00D1186F"/>
    <w:rsid w:val="00D11DD5"/>
    <w:rsid w:val="00D11E85"/>
    <w:rsid w:val="00D133DE"/>
    <w:rsid w:val="00D1413D"/>
    <w:rsid w:val="00D149F8"/>
    <w:rsid w:val="00D15362"/>
    <w:rsid w:val="00D15704"/>
    <w:rsid w:val="00D20129"/>
    <w:rsid w:val="00D20A0C"/>
    <w:rsid w:val="00D22008"/>
    <w:rsid w:val="00D22055"/>
    <w:rsid w:val="00D225EA"/>
    <w:rsid w:val="00D24470"/>
    <w:rsid w:val="00D251F0"/>
    <w:rsid w:val="00D25EA2"/>
    <w:rsid w:val="00D26A0A"/>
    <w:rsid w:val="00D26A28"/>
    <w:rsid w:val="00D2757F"/>
    <w:rsid w:val="00D27E7A"/>
    <w:rsid w:val="00D30F17"/>
    <w:rsid w:val="00D30F8D"/>
    <w:rsid w:val="00D31BA0"/>
    <w:rsid w:val="00D32748"/>
    <w:rsid w:val="00D32975"/>
    <w:rsid w:val="00D32B21"/>
    <w:rsid w:val="00D330EE"/>
    <w:rsid w:val="00D332F4"/>
    <w:rsid w:val="00D33A7A"/>
    <w:rsid w:val="00D34A3D"/>
    <w:rsid w:val="00D34DDE"/>
    <w:rsid w:val="00D352BB"/>
    <w:rsid w:val="00D352DD"/>
    <w:rsid w:val="00D35EB4"/>
    <w:rsid w:val="00D36243"/>
    <w:rsid w:val="00D368FF"/>
    <w:rsid w:val="00D378B9"/>
    <w:rsid w:val="00D37E3D"/>
    <w:rsid w:val="00D40193"/>
    <w:rsid w:val="00D40B15"/>
    <w:rsid w:val="00D411E6"/>
    <w:rsid w:val="00D427C0"/>
    <w:rsid w:val="00D43582"/>
    <w:rsid w:val="00D43BC6"/>
    <w:rsid w:val="00D44038"/>
    <w:rsid w:val="00D45CC8"/>
    <w:rsid w:val="00D4721D"/>
    <w:rsid w:val="00D50108"/>
    <w:rsid w:val="00D50581"/>
    <w:rsid w:val="00D50A3D"/>
    <w:rsid w:val="00D5130C"/>
    <w:rsid w:val="00D51BCF"/>
    <w:rsid w:val="00D5520F"/>
    <w:rsid w:val="00D55481"/>
    <w:rsid w:val="00D55F66"/>
    <w:rsid w:val="00D5715A"/>
    <w:rsid w:val="00D57247"/>
    <w:rsid w:val="00D579B6"/>
    <w:rsid w:val="00D615E7"/>
    <w:rsid w:val="00D63E91"/>
    <w:rsid w:val="00D644F8"/>
    <w:rsid w:val="00D648BF"/>
    <w:rsid w:val="00D64A9B"/>
    <w:rsid w:val="00D66375"/>
    <w:rsid w:val="00D6654D"/>
    <w:rsid w:val="00D66602"/>
    <w:rsid w:val="00D66678"/>
    <w:rsid w:val="00D6773F"/>
    <w:rsid w:val="00D67A05"/>
    <w:rsid w:val="00D67DDD"/>
    <w:rsid w:val="00D705EF"/>
    <w:rsid w:val="00D71312"/>
    <w:rsid w:val="00D715DD"/>
    <w:rsid w:val="00D71892"/>
    <w:rsid w:val="00D74A6C"/>
    <w:rsid w:val="00D74DC6"/>
    <w:rsid w:val="00D74F0E"/>
    <w:rsid w:val="00D76484"/>
    <w:rsid w:val="00D766A7"/>
    <w:rsid w:val="00D804B9"/>
    <w:rsid w:val="00D81F34"/>
    <w:rsid w:val="00D82BEE"/>
    <w:rsid w:val="00D83328"/>
    <w:rsid w:val="00D83B96"/>
    <w:rsid w:val="00D83C86"/>
    <w:rsid w:val="00D84D1D"/>
    <w:rsid w:val="00D84E8B"/>
    <w:rsid w:val="00D84F32"/>
    <w:rsid w:val="00D87C3F"/>
    <w:rsid w:val="00D87D1F"/>
    <w:rsid w:val="00D9250C"/>
    <w:rsid w:val="00D92AEA"/>
    <w:rsid w:val="00D93B94"/>
    <w:rsid w:val="00D94A1B"/>
    <w:rsid w:val="00D95E83"/>
    <w:rsid w:val="00D95F4C"/>
    <w:rsid w:val="00DA0199"/>
    <w:rsid w:val="00DA0723"/>
    <w:rsid w:val="00DA178F"/>
    <w:rsid w:val="00DA179E"/>
    <w:rsid w:val="00DA2645"/>
    <w:rsid w:val="00DA39B7"/>
    <w:rsid w:val="00DA3D93"/>
    <w:rsid w:val="00DA4DDB"/>
    <w:rsid w:val="00DA5225"/>
    <w:rsid w:val="00DA57D1"/>
    <w:rsid w:val="00DA582A"/>
    <w:rsid w:val="00DA5A2D"/>
    <w:rsid w:val="00DA5C60"/>
    <w:rsid w:val="00DA637D"/>
    <w:rsid w:val="00DA6482"/>
    <w:rsid w:val="00DA6703"/>
    <w:rsid w:val="00DA706B"/>
    <w:rsid w:val="00DA72AC"/>
    <w:rsid w:val="00DA7CFD"/>
    <w:rsid w:val="00DA7D76"/>
    <w:rsid w:val="00DB1CEE"/>
    <w:rsid w:val="00DB35F4"/>
    <w:rsid w:val="00DB37A6"/>
    <w:rsid w:val="00DB48C2"/>
    <w:rsid w:val="00DB5671"/>
    <w:rsid w:val="00DB702D"/>
    <w:rsid w:val="00DB762F"/>
    <w:rsid w:val="00DB7FE1"/>
    <w:rsid w:val="00DC0433"/>
    <w:rsid w:val="00DC04D8"/>
    <w:rsid w:val="00DC1140"/>
    <w:rsid w:val="00DC1FB0"/>
    <w:rsid w:val="00DC2449"/>
    <w:rsid w:val="00DC2A78"/>
    <w:rsid w:val="00DC2AA3"/>
    <w:rsid w:val="00DC2D18"/>
    <w:rsid w:val="00DC3EF8"/>
    <w:rsid w:val="00DC4725"/>
    <w:rsid w:val="00DC4A87"/>
    <w:rsid w:val="00DC60D9"/>
    <w:rsid w:val="00DC61B9"/>
    <w:rsid w:val="00DC7317"/>
    <w:rsid w:val="00DD0100"/>
    <w:rsid w:val="00DD0705"/>
    <w:rsid w:val="00DD0753"/>
    <w:rsid w:val="00DD16CF"/>
    <w:rsid w:val="00DD1D69"/>
    <w:rsid w:val="00DD21A7"/>
    <w:rsid w:val="00DD21EE"/>
    <w:rsid w:val="00DD22D5"/>
    <w:rsid w:val="00DD28C2"/>
    <w:rsid w:val="00DD2D39"/>
    <w:rsid w:val="00DD2FC1"/>
    <w:rsid w:val="00DD3A41"/>
    <w:rsid w:val="00DD45D9"/>
    <w:rsid w:val="00DD531B"/>
    <w:rsid w:val="00DD7DFB"/>
    <w:rsid w:val="00DE0992"/>
    <w:rsid w:val="00DE1383"/>
    <w:rsid w:val="00DE1390"/>
    <w:rsid w:val="00DE1B73"/>
    <w:rsid w:val="00DE1EF0"/>
    <w:rsid w:val="00DE22FE"/>
    <w:rsid w:val="00DE2AC8"/>
    <w:rsid w:val="00DE2F05"/>
    <w:rsid w:val="00DE30FD"/>
    <w:rsid w:val="00DE3B0E"/>
    <w:rsid w:val="00DE4AEA"/>
    <w:rsid w:val="00DE4C84"/>
    <w:rsid w:val="00DE4D2D"/>
    <w:rsid w:val="00DE5742"/>
    <w:rsid w:val="00DE5A9E"/>
    <w:rsid w:val="00DE5F8B"/>
    <w:rsid w:val="00DE6069"/>
    <w:rsid w:val="00DE61BF"/>
    <w:rsid w:val="00DE6467"/>
    <w:rsid w:val="00DE6A46"/>
    <w:rsid w:val="00DE797E"/>
    <w:rsid w:val="00DE7A17"/>
    <w:rsid w:val="00DE7F20"/>
    <w:rsid w:val="00DF1B33"/>
    <w:rsid w:val="00DF2056"/>
    <w:rsid w:val="00DF2E7E"/>
    <w:rsid w:val="00DF3E3E"/>
    <w:rsid w:val="00DF443D"/>
    <w:rsid w:val="00DF4A44"/>
    <w:rsid w:val="00DF4F92"/>
    <w:rsid w:val="00DF74BF"/>
    <w:rsid w:val="00DF7924"/>
    <w:rsid w:val="00E00277"/>
    <w:rsid w:val="00E003CC"/>
    <w:rsid w:val="00E008AD"/>
    <w:rsid w:val="00E00ED6"/>
    <w:rsid w:val="00E01000"/>
    <w:rsid w:val="00E022D2"/>
    <w:rsid w:val="00E02BFA"/>
    <w:rsid w:val="00E02F4D"/>
    <w:rsid w:val="00E03751"/>
    <w:rsid w:val="00E03809"/>
    <w:rsid w:val="00E03A29"/>
    <w:rsid w:val="00E047E0"/>
    <w:rsid w:val="00E04FDA"/>
    <w:rsid w:val="00E05337"/>
    <w:rsid w:val="00E05724"/>
    <w:rsid w:val="00E068E5"/>
    <w:rsid w:val="00E06D17"/>
    <w:rsid w:val="00E1011D"/>
    <w:rsid w:val="00E107DE"/>
    <w:rsid w:val="00E11D38"/>
    <w:rsid w:val="00E125B4"/>
    <w:rsid w:val="00E12A63"/>
    <w:rsid w:val="00E14159"/>
    <w:rsid w:val="00E14B76"/>
    <w:rsid w:val="00E1501A"/>
    <w:rsid w:val="00E150CB"/>
    <w:rsid w:val="00E15144"/>
    <w:rsid w:val="00E154E8"/>
    <w:rsid w:val="00E15F19"/>
    <w:rsid w:val="00E1664B"/>
    <w:rsid w:val="00E16F72"/>
    <w:rsid w:val="00E17196"/>
    <w:rsid w:val="00E17B56"/>
    <w:rsid w:val="00E17D08"/>
    <w:rsid w:val="00E2125E"/>
    <w:rsid w:val="00E21C5D"/>
    <w:rsid w:val="00E22182"/>
    <w:rsid w:val="00E223B0"/>
    <w:rsid w:val="00E22926"/>
    <w:rsid w:val="00E22973"/>
    <w:rsid w:val="00E23686"/>
    <w:rsid w:val="00E24580"/>
    <w:rsid w:val="00E246C4"/>
    <w:rsid w:val="00E24F84"/>
    <w:rsid w:val="00E25142"/>
    <w:rsid w:val="00E260E5"/>
    <w:rsid w:val="00E2616C"/>
    <w:rsid w:val="00E26D72"/>
    <w:rsid w:val="00E26E46"/>
    <w:rsid w:val="00E27C47"/>
    <w:rsid w:val="00E30683"/>
    <w:rsid w:val="00E3075E"/>
    <w:rsid w:val="00E30FED"/>
    <w:rsid w:val="00E31605"/>
    <w:rsid w:val="00E3220D"/>
    <w:rsid w:val="00E32D69"/>
    <w:rsid w:val="00E33838"/>
    <w:rsid w:val="00E34A11"/>
    <w:rsid w:val="00E35240"/>
    <w:rsid w:val="00E3550F"/>
    <w:rsid w:val="00E35845"/>
    <w:rsid w:val="00E35878"/>
    <w:rsid w:val="00E373BA"/>
    <w:rsid w:val="00E3788A"/>
    <w:rsid w:val="00E37B6D"/>
    <w:rsid w:val="00E37E6B"/>
    <w:rsid w:val="00E41B43"/>
    <w:rsid w:val="00E41D16"/>
    <w:rsid w:val="00E41EB6"/>
    <w:rsid w:val="00E4219A"/>
    <w:rsid w:val="00E42ED9"/>
    <w:rsid w:val="00E43B28"/>
    <w:rsid w:val="00E44F94"/>
    <w:rsid w:val="00E45108"/>
    <w:rsid w:val="00E4517A"/>
    <w:rsid w:val="00E465BD"/>
    <w:rsid w:val="00E46968"/>
    <w:rsid w:val="00E5008F"/>
    <w:rsid w:val="00E510F4"/>
    <w:rsid w:val="00E525A6"/>
    <w:rsid w:val="00E54219"/>
    <w:rsid w:val="00E544B0"/>
    <w:rsid w:val="00E5484E"/>
    <w:rsid w:val="00E55E5F"/>
    <w:rsid w:val="00E5739C"/>
    <w:rsid w:val="00E57E27"/>
    <w:rsid w:val="00E6077E"/>
    <w:rsid w:val="00E625A3"/>
    <w:rsid w:val="00E62691"/>
    <w:rsid w:val="00E637E8"/>
    <w:rsid w:val="00E6455C"/>
    <w:rsid w:val="00E64C61"/>
    <w:rsid w:val="00E64C91"/>
    <w:rsid w:val="00E6565B"/>
    <w:rsid w:val="00E65B67"/>
    <w:rsid w:val="00E65E8D"/>
    <w:rsid w:val="00E67B4B"/>
    <w:rsid w:val="00E67E3F"/>
    <w:rsid w:val="00E70447"/>
    <w:rsid w:val="00E70967"/>
    <w:rsid w:val="00E70F0C"/>
    <w:rsid w:val="00E713F3"/>
    <w:rsid w:val="00E718A7"/>
    <w:rsid w:val="00E729CD"/>
    <w:rsid w:val="00E73B2A"/>
    <w:rsid w:val="00E73B62"/>
    <w:rsid w:val="00E746B9"/>
    <w:rsid w:val="00E74C86"/>
    <w:rsid w:val="00E75805"/>
    <w:rsid w:val="00E75B95"/>
    <w:rsid w:val="00E76651"/>
    <w:rsid w:val="00E7689C"/>
    <w:rsid w:val="00E76FA9"/>
    <w:rsid w:val="00E778D4"/>
    <w:rsid w:val="00E80603"/>
    <w:rsid w:val="00E82155"/>
    <w:rsid w:val="00E8259B"/>
    <w:rsid w:val="00E82DC8"/>
    <w:rsid w:val="00E83366"/>
    <w:rsid w:val="00E84486"/>
    <w:rsid w:val="00E84635"/>
    <w:rsid w:val="00E84DB6"/>
    <w:rsid w:val="00E8503B"/>
    <w:rsid w:val="00E851F3"/>
    <w:rsid w:val="00E85ED4"/>
    <w:rsid w:val="00E862AA"/>
    <w:rsid w:val="00E863A5"/>
    <w:rsid w:val="00E865EA"/>
    <w:rsid w:val="00E86D08"/>
    <w:rsid w:val="00E87037"/>
    <w:rsid w:val="00E87ADB"/>
    <w:rsid w:val="00E87EDE"/>
    <w:rsid w:val="00E9056B"/>
    <w:rsid w:val="00E92B01"/>
    <w:rsid w:val="00E938D5"/>
    <w:rsid w:val="00E93ABC"/>
    <w:rsid w:val="00E96955"/>
    <w:rsid w:val="00E96F54"/>
    <w:rsid w:val="00E976A7"/>
    <w:rsid w:val="00E97841"/>
    <w:rsid w:val="00E97D67"/>
    <w:rsid w:val="00EA0236"/>
    <w:rsid w:val="00EA12A9"/>
    <w:rsid w:val="00EA2EAC"/>
    <w:rsid w:val="00EA68BA"/>
    <w:rsid w:val="00EA727C"/>
    <w:rsid w:val="00EA7C8C"/>
    <w:rsid w:val="00EB008E"/>
    <w:rsid w:val="00EB0244"/>
    <w:rsid w:val="00EB0935"/>
    <w:rsid w:val="00EB10C0"/>
    <w:rsid w:val="00EB132F"/>
    <w:rsid w:val="00EB1C5C"/>
    <w:rsid w:val="00EB2224"/>
    <w:rsid w:val="00EB42DF"/>
    <w:rsid w:val="00EB484E"/>
    <w:rsid w:val="00EB519C"/>
    <w:rsid w:val="00EB5B13"/>
    <w:rsid w:val="00EB6AC0"/>
    <w:rsid w:val="00EB6F73"/>
    <w:rsid w:val="00EB72CD"/>
    <w:rsid w:val="00EC04FE"/>
    <w:rsid w:val="00EC152E"/>
    <w:rsid w:val="00EC17F4"/>
    <w:rsid w:val="00EC1D0E"/>
    <w:rsid w:val="00EC35B1"/>
    <w:rsid w:val="00EC5F92"/>
    <w:rsid w:val="00EC6650"/>
    <w:rsid w:val="00EC723F"/>
    <w:rsid w:val="00ED0A0D"/>
    <w:rsid w:val="00ED12B4"/>
    <w:rsid w:val="00ED268A"/>
    <w:rsid w:val="00ED2B2B"/>
    <w:rsid w:val="00ED4DD7"/>
    <w:rsid w:val="00ED6397"/>
    <w:rsid w:val="00ED641E"/>
    <w:rsid w:val="00ED748B"/>
    <w:rsid w:val="00ED7BE3"/>
    <w:rsid w:val="00EE00D1"/>
    <w:rsid w:val="00EE10D3"/>
    <w:rsid w:val="00EE13B0"/>
    <w:rsid w:val="00EE1F34"/>
    <w:rsid w:val="00EE25A7"/>
    <w:rsid w:val="00EE3F04"/>
    <w:rsid w:val="00EE3FDF"/>
    <w:rsid w:val="00EE7557"/>
    <w:rsid w:val="00EE7E21"/>
    <w:rsid w:val="00EF0F76"/>
    <w:rsid w:val="00EF132C"/>
    <w:rsid w:val="00EF1395"/>
    <w:rsid w:val="00EF2148"/>
    <w:rsid w:val="00EF302D"/>
    <w:rsid w:val="00EF5A52"/>
    <w:rsid w:val="00EF6FD1"/>
    <w:rsid w:val="00EF76AD"/>
    <w:rsid w:val="00EF7E67"/>
    <w:rsid w:val="00F010E3"/>
    <w:rsid w:val="00F01CEC"/>
    <w:rsid w:val="00F01EE1"/>
    <w:rsid w:val="00F032A5"/>
    <w:rsid w:val="00F03932"/>
    <w:rsid w:val="00F0410A"/>
    <w:rsid w:val="00F04426"/>
    <w:rsid w:val="00F04524"/>
    <w:rsid w:val="00F05936"/>
    <w:rsid w:val="00F059A3"/>
    <w:rsid w:val="00F059E3"/>
    <w:rsid w:val="00F05BA3"/>
    <w:rsid w:val="00F06241"/>
    <w:rsid w:val="00F06249"/>
    <w:rsid w:val="00F068BD"/>
    <w:rsid w:val="00F06D25"/>
    <w:rsid w:val="00F072EB"/>
    <w:rsid w:val="00F10064"/>
    <w:rsid w:val="00F10E7D"/>
    <w:rsid w:val="00F111C6"/>
    <w:rsid w:val="00F118C0"/>
    <w:rsid w:val="00F11C22"/>
    <w:rsid w:val="00F11FF0"/>
    <w:rsid w:val="00F128B8"/>
    <w:rsid w:val="00F1299F"/>
    <w:rsid w:val="00F12F16"/>
    <w:rsid w:val="00F131D6"/>
    <w:rsid w:val="00F1339C"/>
    <w:rsid w:val="00F13853"/>
    <w:rsid w:val="00F13C95"/>
    <w:rsid w:val="00F1439A"/>
    <w:rsid w:val="00F14F17"/>
    <w:rsid w:val="00F151D4"/>
    <w:rsid w:val="00F151ED"/>
    <w:rsid w:val="00F154DE"/>
    <w:rsid w:val="00F15C72"/>
    <w:rsid w:val="00F15DE5"/>
    <w:rsid w:val="00F1636C"/>
    <w:rsid w:val="00F174C2"/>
    <w:rsid w:val="00F20C29"/>
    <w:rsid w:val="00F21783"/>
    <w:rsid w:val="00F217DD"/>
    <w:rsid w:val="00F2251C"/>
    <w:rsid w:val="00F228D8"/>
    <w:rsid w:val="00F23665"/>
    <w:rsid w:val="00F246AE"/>
    <w:rsid w:val="00F255B2"/>
    <w:rsid w:val="00F27510"/>
    <w:rsid w:val="00F27C61"/>
    <w:rsid w:val="00F27E49"/>
    <w:rsid w:val="00F30BAE"/>
    <w:rsid w:val="00F313BE"/>
    <w:rsid w:val="00F31640"/>
    <w:rsid w:val="00F3167E"/>
    <w:rsid w:val="00F31803"/>
    <w:rsid w:val="00F31926"/>
    <w:rsid w:val="00F3422C"/>
    <w:rsid w:val="00F34285"/>
    <w:rsid w:val="00F34C31"/>
    <w:rsid w:val="00F356F3"/>
    <w:rsid w:val="00F36116"/>
    <w:rsid w:val="00F36C98"/>
    <w:rsid w:val="00F37EA2"/>
    <w:rsid w:val="00F40105"/>
    <w:rsid w:val="00F40339"/>
    <w:rsid w:val="00F40587"/>
    <w:rsid w:val="00F406FA"/>
    <w:rsid w:val="00F4097F"/>
    <w:rsid w:val="00F412AA"/>
    <w:rsid w:val="00F41FF9"/>
    <w:rsid w:val="00F4240A"/>
    <w:rsid w:val="00F43309"/>
    <w:rsid w:val="00F43CC2"/>
    <w:rsid w:val="00F45062"/>
    <w:rsid w:val="00F45A65"/>
    <w:rsid w:val="00F46161"/>
    <w:rsid w:val="00F462C9"/>
    <w:rsid w:val="00F475B9"/>
    <w:rsid w:val="00F50DC8"/>
    <w:rsid w:val="00F50EEE"/>
    <w:rsid w:val="00F51A24"/>
    <w:rsid w:val="00F53008"/>
    <w:rsid w:val="00F5333D"/>
    <w:rsid w:val="00F54196"/>
    <w:rsid w:val="00F543E4"/>
    <w:rsid w:val="00F54899"/>
    <w:rsid w:val="00F54FE0"/>
    <w:rsid w:val="00F5556F"/>
    <w:rsid w:val="00F55DFD"/>
    <w:rsid w:val="00F56308"/>
    <w:rsid w:val="00F56569"/>
    <w:rsid w:val="00F5684F"/>
    <w:rsid w:val="00F56F40"/>
    <w:rsid w:val="00F570EA"/>
    <w:rsid w:val="00F57211"/>
    <w:rsid w:val="00F57289"/>
    <w:rsid w:val="00F57ED1"/>
    <w:rsid w:val="00F60439"/>
    <w:rsid w:val="00F60E4C"/>
    <w:rsid w:val="00F6168C"/>
    <w:rsid w:val="00F631EE"/>
    <w:rsid w:val="00F63FB7"/>
    <w:rsid w:val="00F644BB"/>
    <w:rsid w:val="00F64AAF"/>
    <w:rsid w:val="00F650B9"/>
    <w:rsid w:val="00F662DB"/>
    <w:rsid w:val="00F6644B"/>
    <w:rsid w:val="00F7032F"/>
    <w:rsid w:val="00F70A51"/>
    <w:rsid w:val="00F70A80"/>
    <w:rsid w:val="00F70CBF"/>
    <w:rsid w:val="00F7146E"/>
    <w:rsid w:val="00F71EBC"/>
    <w:rsid w:val="00F722A2"/>
    <w:rsid w:val="00F7374A"/>
    <w:rsid w:val="00F73A8E"/>
    <w:rsid w:val="00F74580"/>
    <w:rsid w:val="00F74A74"/>
    <w:rsid w:val="00F74D1C"/>
    <w:rsid w:val="00F754FE"/>
    <w:rsid w:val="00F76092"/>
    <w:rsid w:val="00F76FB1"/>
    <w:rsid w:val="00F772E7"/>
    <w:rsid w:val="00F776F7"/>
    <w:rsid w:val="00F77CF1"/>
    <w:rsid w:val="00F81962"/>
    <w:rsid w:val="00F81C8A"/>
    <w:rsid w:val="00F826F3"/>
    <w:rsid w:val="00F82772"/>
    <w:rsid w:val="00F82E68"/>
    <w:rsid w:val="00F840E9"/>
    <w:rsid w:val="00F84648"/>
    <w:rsid w:val="00F850BB"/>
    <w:rsid w:val="00F86EAD"/>
    <w:rsid w:val="00F90BB4"/>
    <w:rsid w:val="00F911A3"/>
    <w:rsid w:val="00F91200"/>
    <w:rsid w:val="00F91A3D"/>
    <w:rsid w:val="00F93273"/>
    <w:rsid w:val="00F9408A"/>
    <w:rsid w:val="00F94CFD"/>
    <w:rsid w:val="00F95349"/>
    <w:rsid w:val="00F960A9"/>
    <w:rsid w:val="00F96DB7"/>
    <w:rsid w:val="00FA0576"/>
    <w:rsid w:val="00FA06D1"/>
    <w:rsid w:val="00FA0F6C"/>
    <w:rsid w:val="00FA1435"/>
    <w:rsid w:val="00FA18E7"/>
    <w:rsid w:val="00FA2131"/>
    <w:rsid w:val="00FA3AAB"/>
    <w:rsid w:val="00FA3E34"/>
    <w:rsid w:val="00FA42D3"/>
    <w:rsid w:val="00FA4953"/>
    <w:rsid w:val="00FA6370"/>
    <w:rsid w:val="00FA67B5"/>
    <w:rsid w:val="00FA7283"/>
    <w:rsid w:val="00FB0239"/>
    <w:rsid w:val="00FB407B"/>
    <w:rsid w:val="00FB51EE"/>
    <w:rsid w:val="00FB55AC"/>
    <w:rsid w:val="00FB6A3D"/>
    <w:rsid w:val="00FB748A"/>
    <w:rsid w:val="00FB79DE"/>
    <w:rsid w:val="00FC1187"/>
    <w:rsid w:val="00FC16D1"/>
    <w:rsid w:val="00FC2562"/>
    <w:rsid w:val="00FC27BB"/>
    <w:rsid w:val="00FC359E"/>
    <w:rsid w:val="00FC47BE"/>
    <w:rsid w:val="00FC4B76"/>
    <w:rsid w:val="00FC61D2"/>
    <w:rsid w:val="00FC642D"/>
    <w:rsid w:val="00FC733C"/>
    <w:rsid w:val="00FC73B7"/>
    <w:rsid w:val="00FC7B21"/>
    <w:rsid w:val="00FC955A"/>
    <w:rsid w:val="00FD0419"/>
    <w:rsid w:val="00FD1B75"/>
    <w:rsid w:val="00FD1BDF"/>
    <w:rsid w:val="00FD1F86"/>
    <w:rsid w:val="00FD3718"/>
    <w:rsid w:val="00FD3CCB"/>
    <w:rsid w:val="00FD3F68"/>
    <w:rsid w:val="00FD42DC"/>
    <w:rsid w:val="00FD4325"/>
    <w:rsid w:val="00FD4C77"/>
    <w:rsid w:val="00FD5332"/>
    <w:rsid w:val="00FD6205"/>
    <w:rsid w:val="00FD6433"/>
    <w:rsid w:val="00FD6C05"/>
    <w:rsid w:val="00FD6D97"/>
    <w:rsid w:val="00FD76AA"/>
    <w:rsid w:val="00FE1DF3"/>
    <w:rsid w:val="00FE2DF7"/>
    <w:rsid w:val="00FE3060"/>
    <w:rsid w:val="00FE3964"/>
    <w:rsid w:val="00FE3E58"/>
    <w:rsid w:val="00FE3EFE"/>
    <w:rsid w:val="00FE3F68"/>
    <w:rsid w:val="00FE4045"/>
    <w:rsid w:val="00FE50FF"/>
    <w:rsid w:val="00FE54BA"/>
    <w:rsid w:val="00FE7B75"/>
    <w:rsid w:val="00FF035B"/>
    <w:rsid w:val="00FF0368"/>
    <w:rsid w:val="00FF057D"/>
    <w:rsid w:val="00FF2B5B"/>
    <w:rsid w:val="00FF3F3F"/>
    <w:rsid w:val="00FF6070"/>
    <w:rsid w:val="00FF6344"/>
    <w:rsid w:val="00FF64A5"/>
    <w:rsid w:val="00FF64EB"/>
    <w:rsid w:val="00FF6F49"/>
    <w:rsid w:val="00FF7AD3"/>
    <w:rsid w:val="00FF7DBD"/>
    <w:rsid w:val="00FF7DEF"/>
    <w:rsid w:val="0336B1BB"/>
    <w:rsid w:val="043A1C33"/>
    <w:rsid w:val="04E45693"/>
    <w:rsid w:val="05DDCEE1"/>
    <w:rsid w:val="0734BA22"/>
    <w:rsid w:val="086F6A74"/>
    <w:rsid w:val="0BB60AC1"/>
    <w:rsid w:val="0CA1AEF1"/>
    <w:rsid w:val="0E5A84F3"/>
    <w:rsid w:val="0F654219"/>
    <w:rsid w:val="11459BCA"/>
    <w:rsid w:val="114859D2"/>
    <w:rsid w:val="11A14ED8"/>
    <w:rsid w:val="1479C286"/>
    <w:rsid w:val="16032447"/>
    <w:rsid w:val="181E0223"/>
    <w:rsid w:val="1B28A245"/>
    <w:rsid w:val="1F9D2023"/>
    <w:rsid w:val="23F27A13"/>
    <w:rsid w:val="253B5C6D"/>
    <w:rsid w:val="26A17C2D"/>
    <w:rsid w:val="280D0D76"/>
    <w:rsid w:val="2E41AEF5"/>
    <w:rsid w:val="2F38CBE9"/>
    <w:rsid w:val="30D98600"/>
    <w:rsid w:val="326CD62A"/>
    <w:rsid w:val="32C998D0"/>
    <w:rsid w:val="33E704EF"/>
    <w:rsid w:val="34036730"/>
    <w:rsid w:val="35149C70"/>
    <w:rsid w:val="36DA1AA0"/>
    <w:rsid w:val="3A14497F"/>
    <w:rsid w:val="3C433AE9"/>
    <w:rsid w:val="3E20A47C"/>
    <w:rsid w:val="3F873E34"/>
    <w:rsid w:val="410ED7B4"/>
    <w:rsid w:val="41B94574"/>
    <w:rsid w:val="41F1C84A"/>
    <w:rsid w:val="41F1E233"/>
    <w:rsid w:val="4243DB86"/>
    <w:rsid w:val="4332454C"/>
    <w:rsid w:val="478806A7"/>
    <w:rsid w:val="48B05FF6"/>
    <w:rsid w:val="4DF3F7CC"/>
    <w:rsid w:val="4E0A3F49"/>
    <w:rsid w:val="4E184285"/>
    <w:rsid w:val="4E80ED85"/>
    <w:rsid w:val="4F8ECD72"/>
    <w:rsid w:val="50D9B7F5"/>
    <w:rsid w:val="54BD4785"/>
    <w:rsid w:val="56944A09"/>
    <w:rsid w:val="56AFC142"/>
    <w:rsid w:val="57380C7B"/>
    <w:rsid w:val="577F53F3"/>
    <w:rsid w:val="59E5AE36"/>
    <w:rsid w:val="5D82EB05"/>
    <w:rsid w:val="5E536BC8"/>
    <w:rsid w:val="5E6E7C68"/>
    <w:rsid w:val="6284F6C3"/>
    <w:rsid w:val="635C735C"/>
    <w:rsid w:val="6626562E"/>
    <w:rsid w:val="67438818"/>
    <w:rsid w:val="67532736"/>
    <w:rsid w:val="683BFF4C"/>
    <w:rsid w:val="6AB9BF3F"/>
    <w:rsid w:val="6D641C21"/>
    <w:rsid w:val="6DAF69E7"/>
    <w:rsid w:val="6EC3B2BA"/>
    <w:rsid w:val="6FC6D1A0"/>
    <w:rsid w:val="728B0C4A"/>
    <w:rsid w:val="72A810E5"/>
    <w:rsid w:val="7492DA22"/>
    <w:rsid w:val="780A90F9"/>
    <w:rsid w:val="7AB340AD"/>
    <w:rsid w:val="7AFBB9E0"/>
    <w:rsid w:val="7C105AE3"/>
    <w:rsid w:val="7C61D9B1"/>
    <w:rsid w:val="7D81A4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F3F8A"/>
  <w15:chartTrackingRefBased/>
  <w15:docId w15:val="{C5338592-EFF1-4B35-949B-86E25868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4B0"/>
    <w:pPr>
      <w:spacing w:before="240" w:after="300" w:line="360" w:lineRule="auto"/>
      <w:contextualSpacing/>
      <w:outlineLvl w:val="0"/>
    </w:pPr>
    <w:rPr>
      <w:rFonts w:ascii="Arial" w:eastAsia="Times New Roman" w:hAnsi="Arial" w:cs="Arial"/>
      <w:b/>
      <w:bCs/>
      <w:color w:val="500061"/>
      <w:kern w:val="28"/>
      <w:sz w:val="44"/>
      <w:szCs w:val="40"/>
    </w:rPr>
  </w:style>
  <w:style w:type="paragraph" w:styleId="Heading2">
    <w:name w:val="heading 2"/>
    <w:basedOn w:val="Normal"/>
    <w:next w:val="Normal"/>
    <w:link w:val="Heading2Char"/>
    <w:uiPriority w:val="9"/>
    <w:unhideWhenUsed/>
    <w:qFormat/>
    <w:rsid w:val="00AF04B0"/>
    <w:pPr>
      <w:keepNext/>
      <w:pBdr>
        <w:bottom w:val="single" w:sz="8" w:space="4" w:color="E7E6E6"/>
      </w:pBdr>
      <w:spacing w:before="240" w:after="240" w:line="360" w:lineRule="auto"/>
      <w:contextualSpacing/>
      <w:outlineLvl w:val="1"/>
    </w:pPr>
    <w:rPr>
      <w:rFonts w:ascii="Arial" w:eastAsia="MS Gothic" w:hAnsi="Arial" w:cs="Arial"/>
      <w:b/>
      <w:color w:val="4F2260"/>
      <w:kern w:val="28"/>
      <w:sz w:val="40"/>
      <w:szCs w:val="26"/>
      <w:lang w:eastAsia="ja-JP"/>
    </w:rPr>
  </w:style>
  <w:style w:type="paragraph" w:styleId="Heading3">
    <w:name w:val="heading 3"/>
    <w:basedOn w:val="Normal"/>
    <w:next w:val="Normal"/>
    <w:link w:val="Heading3Char"/>
    <w:uiPriority w:val="9"/>
    <w:unhideWhenUsed/>
    <w:qFormat/>
    <w:rsid w:val="00AF04B0"/>
    <w:pPr>
      <w:keepNext/>
      <w:keepLines/>
      <w:spacing w:before="360" w:after="0" w:line="360" w:lineRule="auto"/>
      <w:contextualSpacing/>
      <w:outlineLvl w:val="2"/>
    </w:pPr>
    <w:rPr>
      <w:rFonts w:ascii="Arial" w:eastAsia="MS Gothic" w:hAnsi="Arial" w:cs="Arial"/>
      <w:b/>
      <w:color w:val="4F2260"/>
      <w:sz w:val="32"/>
      <w:szCs w:val="24"/>
      <w:lang w:eastAsia="ja-JP"/>
    </w:rPr>
  </w:style>
  <w:style w:type="paragraph" w:styleId="Heading4">
    <w:name w:val="heading 4"/>
    <w:basedOn w:val="Normal"/>
    <w:next w:val="Normal"/>
    <w:link w:val="Heading4Char"/>
    <w:uiPriority w:val="9"/>
    <w:unhideWhenUsed/>
    <w:qFormat/>
    <w:rsid w:val="00AF04B0"/>
    <w:pPr>
      <w:keepNext/>
      <w:keepLines/>
      <w:spacing w:before="40" w:after="0" w:line="360" w:lineRule="auto"/>
      <w:ind w:left="284"/>
      <w:contextualSpacing/>
      <w:outlineLvl w:val="3"/>
    </w:pPr>
    <w:rPr>
      <w:rFonts w:ascii="Arial" w:eastAsia="MS Gothic" w:hAnsi="Arial" w:cs="Times New Roman"/>
      <w:bCs/>
      <w:iCs/>
      <w:color w:val="4F2260"/>
      <w:sz w:val="28"/>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7E3155"/>
    <w:rPr>
      <w:color w:val="44546A"/>
      <w:u w:val="single"/>
    </w:rPr>
  </w:style>
  <w:style w:type="character" w:styleId="EndnoteReference">
    <w:name w:val="endnote reference"/>
    <w:basedOn w:val="DefaultParagraphFont"/>
    <w:uiPriority w:val="99"/>
    <w:unhideWhenUsed/>
    <w:rsid w:val="007E3155"/>
    <w:rPr>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 Char,5_G"/>
    <w:basedOn w:val="Normal"/>
    <w:link w:val="FootnoteTextChar"/>
    <w:uiPriority w:val="99"/>
    <w:unhideWhenUsed/>
    <w:qFormat/>
    <w:rsid w:val="007E3155"/>
    <w:pPr>
      <w:spacing w:after="0" w:line="240" w:lineRule="auto"/>
    </w:pPr>
    <w:rPr>
      <w:rFonts w:ascii="Arial" w:eastAsia="MS Mincho" w:hAnsi="Arial" w:cs="Arial"/>
      <w:sz w:val="20"/>
      <w:szCs w:val="20"/>
      <w:lang w:eastAsia="ja-JP"/>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7E3155"/>
    <w:rPr>
      <w:rFonts w:ascii="Arial" w:eastAsia="MS Mincho" w:hAnsi="Arial" w:cs="Arial"/>
      <w:sz w:val="20"/>
      <w:szCs w:val="20"/>
      <w:lang w:eastAsia="ja-JP"/>
    </w:rPr>
  </w:style>
  <w:style w:type="character" w:styleId="FootnoteReference">
    <w:name w:val="footnote reference"/>
    <w:aliases w:val="Footnotes refss,Ref,de nota al pie,Footnote number,Footnote,4_G"/>
    <w:basedOn w:val="DefaultParagraphFont"/>
    <w:uiPriority w:val="99"/>
    <w:unhideWhenUsed/>
    <w:qFormat/>
    <w:rsid w:val="007E3155"/>
    <w:rPr>
      <w:vertAlign w:val="superscript"/>
    </w:rPr>
  </w:style>
  <w:style w:type="paragraph" w:styleId="EndnoteText">
    <w:name w:val="endnote text"/>
    <w:basedOn w:val="Normal"/>
    <w:link w:val="EndnoteTextChar"/>
    <w:uiPriority w:val="99"/>
    <w:semiHidden/>
    <w:unhideWhenUsed/>
    <w:rsid w:val="007E3155"/>
    <w:pPr>
      <w:spacing w:after="0" w:line="240" w:lineRule="auto"/>
    </w:pPr>
    <w:rPr>
      <w:rFonts w:ascii="Arial" w:eastAsia="MS Mincho" w:hAnsi="Arial" w:cs="Arial"/>
      <w:sz w:val="20"/>
      <w:szCs w:val="20"/>
      <w:lang w:eastAsia="ja-JP"/>
    </w:rPr>
  </w:style>
  <w:style w:type="character" w:customStyle="1" w:styleId="EndnoteTextChar">
    <w:name w:val="Endnote Text Char"/>
    <w:basedOn w:val="DefaultParagraphFont"/>
    <w:link w:val="EndnoteText"/>
    <w:uiPriority w:val="99"/>
    <w:semiHidden/>
    <w:rsid w:val="007E3155"/>
    <w:rPr>
      <w:rFonts w:ascii="Arial" w:eastAsia="MS Mincho" w:hAnsi="Arial" w:cs="Arial"/>
      <w:sz w:val="20"/>
      <w:szCs w:val="20"/>
      <w:lang w:eastAsia="ja-JP"/>
    </w:rPr>
  </w:style>
  <w:style w:type="character" w:styleId="Hyperlink">
    <w:name w:val="Hyperlink"/>
    <w:basedOn w:val="DefaultParagraphFont"/>
    <w:uiPriority w:val="99"/>
    <w:unhideWhenUsed/>
    <w:qFormat/>
    <w:rsid w:val="007E3155"/>
    <w:rPr>
      <w:color w:val="0563C1" w:themeColor="hyperlink"/>
      <w:u w:val="single"/>
    </w:rPr>
  </w:style>
  <w:style w:type="character" w:styleId="UnresolvedMention">
    <w:name w:val="Unresolved Mention"/>
    <w:basedOn w:val="DefaultParagraphFont"/>
    <w:uiPriority w:val="99"/>
    <w:semiHidden/>
    <w:unhideWhenUsed/>
    <w:rsid w:val="007E3155"/>
    <w:rPr>
      <w:color w:val="605E5C"/>
      <w:shd w:val="clear" w:color="auto" w:fill="E1DFDD"/>
    </w:rPr>
  </w:style>
  <w:style w:type="paragraph" w:styleId="Header">
    <w:name w:val="header"/>
    <w:basedOn w:val="Normal"/>
    <w:link w:val="HeaderChar"/>
    <w:uiPriority w:val="99"/>
    <w:unhideWhenUsed/>
    <w:rsid w:val="007E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155"/>
  </w:style>
  <w:style w:type="paragraph" w:styleId="Footer">
    <w:name w:val="footer"/>
    <w:basedOn w:val="Normal"/>
    <w:link w:val="FooterChar"/>
    <w:uiPriority w:val="99"/>
    <w:unhideWhenUsed/>
    <w:rsid w:val="007E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155"/>
  </w:style>
  <w:style w:type="character" w:styleId="FollowedHyperlink">
    <w:name w:val="FollowedHyperlink"/>
    <w:basedOn w:val="DefaultParagraphFont"/>
    <w:uiPriority w:val="99"/>
    <w:semiHidden/>
    <w:unhideWhenUsed/>
    <w:rsid w:val="00095F54"/>
    <w:rPr>
      <w:color w:val="954F72" w:themeColor="followedHyperlink"/>
      <w:u w:val="single"/>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34"/>
    <w:qFormat/>
    <w:rsid w:val="00642BA5"/>
    <w:pPr>
      <w:ind w:left="720"/>
      <w:contextualSpacing/>
    </w:pPr>
  </w:style>
  <w:style w:type="paragraph" w:styleId="TOC1">
    <w:name w:val="toc 1"/>
    <w:basedOn w:val="Normal"/>
    <w:next w:val="Normal"/>
    <w:autoRedefine/>
    <w:uiPriority w:val="39"/>
    <w:unhideWhenUsed/>
    <w:rsid w:val="00A94DCE"/>
    <w:pPr>
      <w:tabs>
        <w:tab w:val="right" w:leader="dot" w:pos="9016"/>
      </w:tabs>
      <w:spacing w:after="100" w:line="360" w:lineRule="auto"/>
    </w:pPr>
    <w:rPr>
      <w:rFonts w:ascii="Arial" w:eastAsia="Times New Roman" w:hAnsi="Arial" w:cs="Arial"/>
      <w:noProof/>
      <w:kern w:val="28"/>
      <w:sz w:val="24"/>
      <w:szCs w:val="24"/>
    </w:rPr>
  </w:style>
  <w:style w:type="paragraph" w:styleId="TOC2">
    <w:name w:val="toc 2"/>
    <w:basedOn w:val="Normal"/>
    <w:next w:val="Normal"/>
    <w:autoRedefine/>
    <w:uiPriority w:val="39"/>
    <w:unhideWhenUsed/>
    <w:rsid w:val="00185304"/>
    <w:pPr>
      <w:tabs>
        <w:tab w:val="right" w:leader="dot" w:pos="9016"/>
      </w:tabs>
      <w:spacing w:after="100" w:line="360" w:lineRule="auto"/>
      <w:ind w:left="220"/>
    </w:pPr>
  </w:style>
  <w:style w:type="paragraph" w:styleId="TOC3">
    <w:name w:val="toc 3"/>
    <w:basedOn w:val="Normal"/>
    <w:next w:val="Normal"/>
    <w:autoRedefine/>
    <w:uiPriority w:val="39"/>
    <w:unhideWhenUsed/>
    <w:rsid w:val="00110E39"/>
    <w:pPr>
      <w:tabs>
        <w:tab w:val="right" w:leader="dot" w:pos="9016"/>
      </w:tabs>
      <w:spacing w:after="100" w:line="360" w:lineRule="auto"/>
      <w:ind w:left="440"/>
    </w:pPr>
  </w:style>
  <w:style w:type="paragraph" w:styleId="Revision">
    <w:name w:val="Revision"/>
    <w:hidden/>
    <w:uiPriority w:val="99"/>
    <w:semiHidden/>
    <w:rsid w:val="00AF04B0"/>
    <w:pPr>
      <w:spacing w:after="0" w:line="240" w:lineRule="auto"/>
    </w:pPr>
  </w:style>
  <w:style w:type="character" w:customStyle="1" w:styleId="Heading1Char">
    <w:name w:val="Heading 1 Char"/>
    <w:basedOn w:val="DefaultParagraphFont"/>
    <w:link w:val="Heading1"/>
    <w:uiPriority w:val="9"/>
    <w:rsid w:val="00AF04B0"/>
    <w:rPr>
      <w:rFonts w:ascii="Arial" w:eastAsia="Times New Roman" w:hAnsi="Arial" w:cs="Arial"/>
      <w:b/>
      <w:bCs/>
      <w:color w:val="500061"/>
      <w:kern w:val="28"/>
      <w:sz w:val="44"/>
      <w:szCs w:val="40"/>
    </w:rPr>
  </w:style>
  <w:style w:type="character" w:customStyle="1" w:styleId="Heading2Char">
    <w:name w:val="Heading 2 Char"/>
    <w:basedOn w:val="DefaultParagraphFont"/>
    <w:link w:val="Heading2"/>
    <w:uiPriority w:val="9"/>
    <w:rsid w:val="00AF04B0"/>
    <w:rPr>
      <w:rFonts w:ascii="Arial" w:eastAsia="MS Gothic" w:hAnsi="Arial" w:cs="Arial"/>
      <w:b/>
      <w:color w:val="4F2260"/>
      <w:kern w:val="28"/>
      <w:sz w:val="40"/>
      <w:szCs w:val="26"/>
      <w:lang w:eastAsia="ja-JP"/>
    </w:rPr>
  </w:style>
  <w:style w:type="character" w:customStyle="1" w:styleId="Heading3Char">
    <w:name w:val="Heading 3 Char"/>
    <w:basedOn w:val="DefaultParagraphFont"/>
    <w:link w:val="Heading3"/>
    <w:uiPriority w:val="9"/>
    <w:rsid w:val="00AF04B0"/>
    <w:rPr>
      <w:rFonts w:ascii="Arial" w:eastAsia="MS Gothic" w:hAnsi="Arial" w:cs="Arial"/>
      <w:b/>
      <w:color w:val="4F2260"/>
      <w:sz w:val="32"/>
      <w:szCs w:val="24"/>
      <w:lang w:eastAsia="ja-JP"/>
    </w:rPr>
  </w:style>
  <w:style w:type="character" w:customStyle="1" w:styleId="Heading4Char">
    <w:name w:val="Heading 4 Char"/>
    <w:basedOn w:val="DefaultParagraphFont"/>
    <w:link w:val="Heading4"/>
    <w:uiPriority w:val="9"/>
    <w:rsid w:val="00AF04B0"/>
    <w:rPr>
      <w:rFonts w:ascii="Arial" w:eastAsia="MS Gothic" w:hAnsi="Arial" w:cs="Times New Roman"/>
      <w:bCs/>
      <w:iCs/>
      <w:color w:val="4F2260"/>
      <w:sz w:val="28"/>
      <w:szCs w:val="24"/>
      <w:lang w:eastAsia="ja-JP"/>
    </w:rPr>
  </w:style>
  <w:style w:type="character" w:styleId="CommentReference">
    <w:name w:val="annotation reference"/>
    <w:basedOn w:val="DefaultParagraphFont"/>
    <w:semiHidden/>
    <w:unhideWhenUsed/>
    <w:rsid w:val="00047B4D"/>
    <w:rPr>
      <w:sz w:val="16"/>
      <w:szCs w:val="16"/>
    </w:rPr>
  </w:style>
  <w:style w:type="paragraph" w:styleId="CommentText">
    <w:name w:val="annotation text"/>
    <w:basedOn w:val="Normal"/>
    <w:link w:val="CommentTextChar"/>
    <w:unhideWhenUsed/>
    <w:rsid w:val="00047B4D"/>
    <w:pPr>
      <w:spacing w:line="240" w:lineRule="auto"/>
    </w:pPr>
    <w:rPr>
      <w:sz w:val="20"/>
      <w:szCs w:val="20"/>
    </w:rPr>
  </w:style>
  <w:style w:type="character" w:customStyle="1" w:styleId="CommentTextChar">
    <w:name w:val="Comment Text Char"/>
    <w:basedOn w:val="DefaultParagraphFont"/>
    <w:link w:val="CommentText"/>
    <w:rsid w:val="00047B4D"/>
    <w:rPr>
      <w:sz w:val="20"/>
      <w:szCs w:val="20"/>
    </w:rPr>
  </w:style>
  <w:style w:type="paragraph" w:styleId="CommentSubject">
    <w:name w:val="annotation subject"/>
    <w:basedOn w:val="CommentText"/>
    <w:next w:val="CommentText"/>
    <w:link w:val="CommentSubjectChar"/>
    <w:uiPriority w:val="99"/>
    <w:semiHidden/>
    <w:unhideWhenUsed/>
    <w:rsid w:val="00047B4D"/>
    <w:rPr>
      <w:b/>
      <w:bCs/>
    </w:rPr>
  </w:style>
  <w:style w:type="character" w:customStyle="1" w:styleId="CommentSubjectChar">
    <w:name w:val="Comment Subject Char"/>
    <w:basedOn w:val="CommentTextChar"/>
    <w:link w:val="CommentSubject"/>
    <w:uiPriority w:val="99"/>
    <w:semiHidden/>
    <w:rsid w:val="00047B4D"/>
    <w:rPr>
      <w:b/>
      <w:bCs/>
      <w:sz w:val="20"/>
      <w:szCs w:val="20"/>
    </w:rPr>
  </w:style>
  <w:style w:type="paragraph" w:styleId="PlainText">
    <w:name w:val="Plain Text"/>
    <w:basedOn w:val="Normal"/>
    <w:link w:val="PlainTextChar"/>
    <w:uiPriority w:val="99"/>
    <w:unhideWhenUsed/>
    <w:rsid w:val="00B4627F"/>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B4627F"/>
    <w:rPr>
      <w:rFonts w:ascii="Consolas" w:hAnsi="Consolas"/>
      <w:kern w:val="2"/>
      <w:sz w:val="21"/>
      <w:szCs w:val="21"/>
      <w14:ligatures w14:val="standardContextual"/>
    </w:rPr>
  </w:style>
  <w:style w:type="paragraph" w:styleId="NormalWeb">
    <w:name w:val="Normal (Web)"/>
    <w:basedOn w:val="Normal"/>
    <w:uiPriority w:val="99"/>
    <w:semiHidden/>
    <w:unhideWhenUsed/>
    <w:rsid w:val="004442BB"/>
    <w:rPr>
      <w:rFonts w:ascii="Times New Roman" w:hAnsi="Times New Roman" w:cs="Times New Roman"/>
      <w:sz w:val="24"/>
      <w:szCs w:val="24"/>
    </w:rPr>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9A1C1A"/>
  </w:style>
  <w:style w:type="paragraph" w:styleId="ListBullet">
    <w:name w:val="List Bullet"/>
    <w:basedOn w:val="Normal"/>
    <w:uiPriority w:val="99"/>
    <w:unhideWhenUsed/>
    <w:rsid w:val="00FB407B"/>
    <w:pPr>
      <w:numPr>
        <w:numId w:val="3"/>
      </w:numPr>
      <w:contextualSpacing/>
    </w:pPr>
  </w:style>
  <w:style w:type="character" w:styleId="Strong">
    <w:name w:val="Strong"/>
    <w:basedOn w:val="DefaultParagraphFont"/>
    <w:uiPriority w:val="22"/>
    <w:qFormat/>
    <w:rsid w:val="00B81233"/>
    <w:rPr>
      <w:b/>
      <w:bCs/>
    </w:rPr>
  </w:style>
  <w:style w:type="paragraph" w:customStyle="1" w:styleId="paragraph">
    <w:name w:val="paragraph"/>
    <w:basedOn w:val="Normal"/>
    <w:rsid w:val="00C3282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3282E"/>
  </w:style>
  <w:style w:type="character" w:customStyle="1" w:styleId="eop">
    <w:name w:val="eop"/>
    <w:basedOn w:val="DefaultParagraphFont"/>
    <w:rsid w:val="00C3282E"/>
  </w:style>
  <w:style w:type="paragraph" w:styleId="TOCHeading">
    <w:name w:val="TOC Heading"/>
    <w:basedOn w:val="Heading1"/>
    <w:next w:val="Normal"/>
    <w:uiPriority w:val="39"/>
    <w:unhideWhenUsed/>
    <w:qFormat/>
    <w:rsid w:val="007D51B8"/>
    <w:pPr>
      <w:keepNext/>
      <w:keepLines/>
      <w:spacing w:after="0" w:line="259" w:lineRule="auto"/>
      <w:contextualSpacing w:val="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NoSpacing">
    <w:name w:val="No Spacing"/>
    <w:uiPriority w:val="1"/>
    <w:qFormat/>
    <w:rsid w:val="000C2D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4458">
      <w:bodyDiv w:val="1"/>
      <w:marLeft w:val="0"/>
      <w:marRight w:val="0"/>
      <w:marTop w:val="0"/>
      <w:marBottom w:val="0"/>
      <w:divBdr>
        <w:top w:val="none" w:sz="0" w:space="0" w:color="auto"/>
        <w:left w:val="none" w:sz="0" w:space="0" w:color="auto"/>
        <w:bottom w:val="none" w:sz="0" w:space="0" w:color="auto"/>
        <w:right w:val="none" w:sz="0" w:space="0" w:color="auto"/>
      </w:divBdr>
    </w:div>
    <w:div w:id="199979498">
      <w:bodyDiv w:val="1"/>
      <w:marLeft w:val="0"/>
      <w:marRight w:val="0"/>
      <w:marTop w:val="0"/>
      <w:marBottom w:val="0"/>
      <w:divBdr>
        <w:top w:val="none" w:sz="0" w:space="0" w:color="auto"/>
        <w:left w:val="none" w:sz="0" w:space="0" w:color="auto"/>
        <w:bottom w:val="none" w:sz="0" w:space="0" w:color="auto"/>
        <w:right w:val="none" w:sz="0" w:space="0" w:color="auto"/>
      </w:divBdr>
    </w:div>
    <w:div w:id="570623272">
      <w:bodyDiv w:val="1"/>
      <w:marLeft w:val="0"/>
      <w:marRight w:val="0"/>
      <w:marTop w:val="0"/>
      <w:marBottom w:val="0"/>
      <w:divBdr>
        <w:top w:val="none" w:sz="0" w:space="0" w:color="auto"/>
        <w:left w:val="none" w:sz="0" w:space="0" w:color="auto"/>
        <w:bottom w:val="none" w:sz="0" w:space="0" w:color="auto"/>
        <w:right w:val="none" w:sz="0" w:space="0" w:color="auto"/>
      </w:divBdr>
    </w:div>
    <w:div w:id="593709299">
      <w:bodyDiv w:val="1"/>
      <w:marLeft w:val="0"/>
      <w:marRight w:val="0"/>
      <w:marTop w:val="0"/>
      <w:marBottom w:val="0"/>
      <w:divBdr>
        <w:top w:val="none" w:sz="0" w:space="0" w:color="auto"/>
        <w:left w:val="none" w:sz="0" w:space="0" w:color="auto"/>
        <w:bottom w:val="none" w:sz="0" w:space="0" w:color="auto"/>
        <w:right w:val="none" w:sz="0" w:space="0" w:color="auto"/>
      </w:divBdr>
    </w:div>
    <w:div w:id="831487476">
      <w:bodyDiv w:val="1"/>
      <w:marLeft w:val="0"/>
      <w:marRight w:val="0"/>
      <w:marTop w:val="0"/>
      <w:marBottom w:val="0"/>
      <w:divBdr>
        <w:top w:val="none" w:sz="0" w:space="0" w:color="auto"/>
        <w:left w:val="none" w:sz="0" w:space="0" w:color="auto"/>
        <w:bottom w:val="none" w:sz="0" w:space="0" w:color="auto"/>
        <w:right w:val="none" w:sz="0" w:space="0" w:color="auto"/>
      </w:divBdr>
    </w:div>
    <w:div w:id="874926197">
      <w:bodyDiv w:val="1"/>
      <w:marLeft w:val="0"/>
      <w:marRight w:val="0"/>
      <w:marTop w:val="0"/>
      <w:marBottom w:val="0"/>
      <w:divBdr>
        <w:top w:val="none" w:sz="0" w:space="0" w:color="auto"/>
        <w:left w:val="none" w:sz="0" w:space="0" w:color="auto"/>
        <w:bottom w:val="none" w:sz="0" w:space="0" w:color="auto"/>
        <w:right w:val="none" w:sz="0" w:space="0" w:color="auto"/>
      </w:divBdr>
    </w:div>
    <w:div w:id="945386731">
      <w:bodyDiv w:val="1"/>
      <w:marLeft w:val="0"/>
      <w:marRight w:val="0"/>
      <w:marTop w:val="0"/>
      <w:marBottom w:val="0"/>
      <w:divBdr>
        <w:top w:val="none" w:sz="0" w:space="0" w:color="auto"/>
        <w:left w:val="none" w:sz="0" w:space="0" w:color="auto"/>
        <w:bottom w:val="none" w:sz="0" w:space="0" w:color="auto"/>
        <w:right w:val="none" w:sz="0" w:space="0" w:color="auto"/>
      </w:divBdr>
    </w:div>
    <w:div w:id="1379235280">
      <w:bodyDiv w:val="1"/>
      <w:marLeft w:val="0"/>
      <w:marRight w:val="0"/>
      <w:marTop w:val="0"/>
      <w:marBottom w:val="0"/>
      <w:divBdr>
        <w:top w:val="none" w:sz="0" w:space="0" w:color="auto"/>
        <w:left w:val="none" w:sz="0" w:space="0" w:color="auto"/>
        <w:bottom w:val="none" w:sz="0" w:space="0" w:color="auto"/>
        <w:right w:val="none" w:sz="0" w:space="0" w:color="auto"/>
      </w:divBdr>
    </w:div>
    <w:div w:id="1411540116">
      <w:bodyDiv w:val="1"/>
      <w:marLeft w:val="0"/>
      <w:marRight w:val="0"/>
      <w:marTop w:val="0"/>
      <w:marBottom w:val="0"/>
      <w:divBdr>
        <w:top w:val="none" w:sz="0" w:space="0" w:color="auto"/>
        <w:left w:val="none" w:sz="0" w:space="0" w:color="auto"/>
        <w:bottom w:val="none" w:sz="0" w:space="0" w:color="auto"/>
        <w:right w:val="none" w:sz="0" w:space="0" w:color="auto"/>
      </w:divBdr>
    </w:div>
    <w:div w:id="1515529849">
      <w:bodyDiv w:val="1"/>
      <w:marLeft w:val="0"/>
      <w:marRight w:val="0"/>
      <w:marTop w:val="0"/>
      <w:marBottom w:val="0"/>
      <w:divBdr>
        <w:top w:val="none" w:sz="0" w:space="0" w:color="auto"/>
        <w:left w:val="none" w:sz="0" w:space="0" w:color="auto"/>
        <w:bottom w:val="none" w:sz="0" w:space="0" w:color="auto"/>
        <w:right w:val="none" w:sz="0" w:space="0" w:color="auto"/>
      </w:divBdr>
    </w:div>
    <w:div w:id="1610819460">
      <w:bodyDiv w:val="1"/>
      <w:marLeft w:val="0"/>
      <w:marRight w:val="0"/>
      <w:marTop w:val="0"/>
      <w:marBottom w:val="0"/>
      <w:divBdr>
        <w:top w:val="none" w:sz="0" w:space="0" w:color="auto"/>
        <w:left w:val="none" w:sz="0" w:space="0" w:color="auto"/>
        <w:bottom w:val="none" w:sz="0" w:space="0" w:color="auto"/>
        <w:right w:val="none" w:sz="0" w:space="0" w:color="auto"/>
      </w:divBdr>
    </w:div>
    <w:div w:id="1965578164">
      <w:bodyDiv w:val="1"/>
      <w:marLeft w:val="0"/>
      <w:marRight w:val="0"/>
      <w:marTop w:val="0"/>
      <w:marBottom w:val="0"/>
      <w:divBdr>
        <w:top w:val="none" w:sz="0" w:space="0" w:color="auto"/>
        <w:left w:val="none" w:sz="0" w:space="0" w:color="auto"/>
        <w:bottom w:val="none" w:sz="0" w:space="0" w:color="auto"/>
        <w:right w:val="none" w:sz="0" w:space="0" w:color="auto"/>
      </w:divBdr>
    </w:div>
    <w:div w:id="199255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ca.org.au/" TargetMode="External"/><Relationship Id="rId18" Type="http://schemas.openxmlformats.org/officeDocument/2006/relationships/hyperlink" Target="https://www.aihw.gov.au/australias-disability-strategy/outcomes/education-and-learning/higher-education-completion?utm_source=chatgpt.com" TargetMode="External"/><Relationship Id="rId3" Type="http://schemas.openxmlformats.org/officeDocument/2006/relationships/customXml" Target="../customXml/item3.xml"/><Relationship Id="rId21" Type="http://schemas.openxmlformats.org/officeDocument/2006/relationships/hyperlink" Target="https://unitedblindleaders.org/news-updates/ubl-update-webinar-recap-research-launch-and-free-embership?ss_source=sscampaigns&amp;ss_campaign_id=69d8957a5102a377969a7d6f&amp;ss_email_id=69d895e074fd1a04ef12f90e&amp;ss_campaign_name=UBL+Update%3A+Webinar+Recap%2C+Research+Launch%2C+and+Free+embership&amp;ss_campaign_sent_date=2026-04-10T06%3A17%3A08Z" TargetMode="External"/><Relationship Id="rId7" Type="http://schemas.openxmlformats.org/officeDocument/2006/relationships/settings" Target="settings.xml"/><Relationship Id="rId12" Type="http://schemas.openxmlformats.org/officeDocument/2006/relationships/hyperlink" Target="mailto:bca@bca.org.au" TargetMode="External"/><Relationship Id="rId17" Type="http://schemas.openxmlformats.org/officeDocument/2006/relationships/hyperlink" Target="https://view.officeapps.live.com/op/view.aspx?src=https%3A%2F%2Fwww.visionaustralia.org%2Fsites%2Fdefault%2Ffiles%2F2021-09%2F31385%2520-%2520Employer%2520Research%2520Report%2520Final%2520V2%252017JUN2021.docx&amp;wdOrigin=BROWSELINK" TargetMode="External"/><Relationship Id="rId2" Type="http://schemas.openxmlformats.org/officeDocument/2006/relationships/customXml" Target="../customXml/item2.xml"/><Relationship Id="rId16" Type="http://schemas.openxmlformats.org/officeDocument/2006/relationships/hyperlink" Target="https://data.gov.au/data/dataset/disability-employment-services-monthly-data/resource/88b96940-4ee1-4163-8a1c-1a9e0f2be70f" TargetMode="External"/><Relationship Id="rId20" Type="http://schemas.openxmlformats.org/officeDocument/2006/relationships/hyperlink" Target="https://v2020.org.au/resources/clear-focus-the-economic-impact-of-vision-loss-in-austral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inisters.dewr.gov.au/burke/government-response-house-select-committee-workforce-australia-employment-servic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nimelb.edu.au/accessibility/training/user-grou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ultations.dewr.gov.au/employment-services-reform-discussion-paper/submission?page=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167980590E0644B29A54F4150AFD74" ma:contentTypeVersion="18" ma:contentTypeDescription="Create a new document." ma:contentTypeScope="" ma:versionID="545c728d0da3ed1b921bbdcfe300bfcb">
  <xsd:schema xmlns:xsd="http://www.w3.org/2001/XMLSchema" xmlns:xs="http://www.w3.org/2001/XMLSchema" xmlns:p="http://schemas.microsoft.com/office/2006/metadata/properties" xmlns:ns2="0bec18fc-f114-415a-892c-7a4e80c68006" xmlns:ns3="e6b92012-73ef-42fe-b930-ea647f4e298e" targetNamespace="http://schemas.microsoft.com/office/2006/metadata/properties" ma:root="true" ma:fieldsID="f4d6a6b92538bf80940887da3ebd3498" ns2:_="" ns3:_="">
    <xsd:import namespace="0bec18fc-f114-415a-892c-7a4e80c68006"/>
    <xsd:import namespace="e6b92012-73ef-42fe-b930-ea647f4e2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c18fc-f114-415a-892c-7a4e80c680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8bf5a4-7a59-4bdb-a290-f06a4b4fda02}" ma:internalName="TaxCatchAll" ma:showField="CatchAllData" ma:web="0bec18fc-f114-415a-892c-7a4e80c680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92012-73ef-42fe-b930-ea647f4e298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e01812-f59d-44d9-ad51-72a85d65cb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b92012-73ef-42fe-b930-ea647f4e298e">
      <Terms xmlns="http://schemas.microsoft.com/office/infopath/2007/PartnerControls"/>
    </lcf76f155ced4ddcb4097134ff3c332f>
    <TaxCatchAll xmlns="0bec18fc-f114-415a-892c-7a4e80c680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A5901-12BC-4FEE-8B2D-1D2A342C5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c18fc-f114-415a-892c-7a4e80c68006"/>
    <ds:schemaRef ds:uri="e6b92012-73ef-42fe-b930-ea647f4e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3E2B8-D89D-442E-93DC-43DB7840581F}">
  <ds:schemaRefs>
    <ds:schemaRef ds:uri="http://schemas.microsoft.com/sharepoint/v3/contenttype/forms"/>
  </ds:schemaRefs>
</ds:datastoreItem>
</file>

<file path=customXml/itemProps3.xml><?xml version="1.0" encoding="utf-8"?>
<ds:datastoreItem xmlns:ds="http://schemas.openxmlformats.org/officeDocument/2006/customXml" ds:itemID="{0B74F1E0-E1F1-4B22-AA00-D15DB3FCBFF1}">
  <ds:schemaRefs>
    <ds:schemaRef ds:uri="http://schemas.microsoft.com/office/2006/metadata/properties"/>
    <ds:schemaRef ds:uri="http://schemas.microsoft.com/office/infopath/2007/PartnerControls"/>
    <ds:schemaRef ds:uri="e6b92012-73ef-42fe-b930-ea647f4e298e"/>
    <ds:schemaRef ds:uri="0bec18fc-f114-415a-892c-7a4e80c68006"/>
  </ds:schemaRefs>
</ds:datastoreItem>
</file>

<file path=customXml/itemProps4.xml><?xml version="1.0" encoding="utf-8"?>
<ds:datastoreItem xmlns:ds="http://schemas.openxmlformats.org/officeDocument/2006/customXml" ds:itemID="{10AC6701-0C80-402F-B9F8-7D86F8186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5335</Words>
  <Characters>30416</Characters>
  <Application>Microsoft Office Word</Application>
  <DocSecurity>0</DocSecurity>
  <Lines>253</Lines>
  <Paragraphs>71</Paragraphs>
  <ScaleCrop>false</ScaleCrop>
  <Company/>
  <LinksUpToDate>false</LinksUpToDate>
  <CharactersWithSpaces>35680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Crawford</dc:creator>
  <cp:keywords/>
  <dc:description/>
  <cp:lastModifiedBy>Melanie Chatfield</cp:lastModifiedBy>
  <cp:revision>206</cp:revision>
  <dcterms:created xsi:type="dcterms:W3CDTF">2026-06-18T11:11:00Z</dcterms:created>
  <dcterms:modified xsi:type="dcterms:W3CDTF">2026-07-31T03:10:00Z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0x01010064167980590E0644B29A54F4150AFD74</vt:lpwstr>
  </property>
</Properties>
</file>